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4C7" w:rsidR="004004C7" w:rsidP="004004C7" w:rsidRDefault="004004C7" w14:paraId="1E0D7AC0" w14:textId="77777777">
      <w:pPr>
        <w:rPr>
          <w:rFonts w:eastAsia="Times New Roman" w:cs="Times New Roman"/>
          <w:kern w:val="0"/>
          <w:sz w:val="2"/>
          <w:szCs w:val="2"/>
          <w14:ligatures w14:val="none"/>
        </w:rPr>
      </w:pPr>
      <w:bookmarkStart w:name="gfpea0251021-6k_lakeshore.htm" w:id="0"/>
      <w:bookmarkEnd w:id="0"/>
      <w:r w:rsidRPr="004004C7">
        <w:rPr>
          <w:rFonts w:eastAsia="Times New Roman" w:cs="Times New Roman"/>
          <w:kern w:val="0"/>
          <w:sz w:val="2"/>
          <w:szCs w:val="2"/>
          <w14:ligatures w14:val="none"/>
        </w:rPr>
        <w:t> </w:t>
      </w:r>
    </w:p>
    <w:p w:rsidRPr="004004C7" w:rsidR="004004C7" w:rsidP="004004C7" w:rsidRDefault="004004C7" w14:paraId="062ACAA1"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32AC42C7"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UNITED STATES</w:t>
      </w:r>
    </w:p>
    <w:p w:rsidRPr="004004C7" w:rsidR="004004C7" w:rsidP="004004C7" w:rsidRDefault="004004C7" w14:paraId="158AA04A"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SECURITIES AND EXCHANGE COMMISSION</w:t>
      </w:r>
    </w:p>
    <w:p w:rsidRPr="004004C7" w:rsidR="004004C7" w:rsidP="004004C7" w:rsidRDefault="004004C7" w14:paraId="0234021D"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Washington, D.C. 20549</w:t>
      </w:r>
    </w:p>
    <w:p w:rsidRPr="004004C7" w:rsidR="004004C7" w:rsidP="004004C7" w:rsidRDefault="004004C7" w14:paraId="2041D41A"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18729A74"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p w:rsidRPr="004004C7" w:rsidR="004004C7" w:rsidP="004004C7" w:rsidRDefault="004004C7" w14:paraId="7F9C16AC"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21ED014" w14:textId="77777777">
      <w:pPr>
        <w:shd w:val="clear" w:color="auto" w:fill="FFFFFF"/>
        <w:jc w:val="center"/>
        <w:rPr>
          <w:rFonts w:eastAsia="Times New Roman" w:cs="Times New Roman"/>
          <w:kern w:val="0"/>
          <w:szCs w:val="20"/>
          <w14:ligatures w14:val="none"/>
        </w:rPr>
      </w:pPr>
      <w:r w:rsidRPr="004004C7">
        <w:rPr>
          <w:rFonts w:eastAsia="Times New Roman" w:cs="Times New Roman"/>
          <w:b/>
          <w:bCs/>
          <w:kern w:val="0"/>
          <w:szCs w:val="20"/>
          <w14:ligatures w14:val="none"/>
        </w:rPr>
        <w:t>FORM 6-K</w:t>
      </w:r>
    </w:p>
    <w:p w:rsidRPr="004004C7" w:rsidR="004004C7" w:rsidP="004004C7" w:rsidRDefault="004004C7" w14:paraId="13215208" w14:textId="77777777">
      <w:pPr>
        <w:shd w:val="clear" w:color="auto" w:fill="FFFFFF"/>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0054AA51"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p w:rsidRPr="004004C7" w:rsidR="004004C7" w:rsidP="004004C7" w:rsidRDefault="004004C7" w14:paraId="4B169BC0"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D61E2AD"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REPORT OF FOREIGN PRIVATE ISSUER</w:t>
      </w:r>
      <w:r w:rsidRPr="004004C7">
        <w:rPr>
          <w:rFonts w:eastAsia="Times New Roman" w:cs="Times New Roman"/>
          <w:b/>
          <w:bCs/>
          <w:kern w:val="0"/>
          <w:szCs w:val="20"/>
          <w14:ligatures w14:val="none"/>
        </w:rPr>
        <w:br/>
        <w:t>PURSUANT TO RULE 13a-16 OR 15d-16 UNDER</w:t>
      </w:r>
      <w:r w:rsidRPr="004004C7">
        <w:rPr>
          <w:rFonts w:eastAsia="Times New Roman" w:cs="Times New Roman"/>
          <w:b/>
          <w:bCs/>
          <w:kern w:val="0"/>
          <w:szCs w:val="20"/>
          <w14:ligatures w14:val="none"/>
        </w:rPr>
        <w:br/>
        <w:t>THE SECURITIES EXCHANGE ACT OF 1934</w:t>
      </w:r>
    </w:p>
    <w:p w:rsidRPr="004004C7" w:rsidR="004004C7" w:rsidP="004004C7" w:rsidRDefault="004004C7" w14:paraId="6F41EB79"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4EF37EFC"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For the month of July 2025</w:t>
      </w:r>
    </w:p>
    <w:p w:rsidRPr="004004C7" w:rsidR="004004C7" w:rsidP="004004C7" w:rsidRDefault="004004C7" w14:paraId="6E5B7777"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4602FBFA"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Commission file number: 001-41598</w:t>
      </w:r>
    </w:p>
    <w:p w:rsidRPr="004004C7" w:rsidR="004004C7" w:rsidP="004004C7" w:rsidRDefault="004004C7" w14:paraId="7B898773"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661E3A9D"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p w:rsidRPr="004004C7" w:rsidR="004004C7" w:rsidP="004004C7" w:rsidRDefault="004004C7" w14:paraId="30BB9258"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6EA16BB"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LAKESHORE BIOPHARMA CO., LTD</w:t>
      </w:r>
    </w:p>
    <w:p w:rsidRPr="004004C7" w:rsidR="004004C7" w:rsidP="004004C7" w:rsidRDefault="004004C7" w14:paraId="7D76D8D3"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(Exact name of registrant as specified in its charter)</w:t>
      </w:r>
    </w:p>
    <w:p w:rsidRPr="004004C7" w:rsidR="004004C7" w:rsidP="004004C7" w:rsidRDefault="004004C7" w14:paraId="53690F23"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00768E8E"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p w:rsidRPr="004004C7" w:rsidR="004004C7" w:rsidP="004004C7" w:rsidRDefault="004004C7" w14:paraId="5F479315"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7E280FE"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Building No. 2, 38 Yongda Road</w:t>
      </w:r>
    </w:p>
    <w:p w:rsidRPr="004004C7" w:rsidR="004004C7" w:rsidP="004004C7" w:rsidRDefault="004004C7" w14:paraId="277B78F3"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Daxing Biomedical Industry Park</w:t>
      </w:r>
    </w:p>
    <w:p w:rsidRPr="004004C7" w:rsidR="004004C7" w:rsidP="004004C7" w:rsidRDefault="004004C7" w14:paraId="46DBD29A"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Daxing District, Beijing, PRC</w:t>
      </w:r>
    </w:p>
    <w:p w:rsidRPr="004004C7" w:rsidR="004004C7" w:rsidP="004004C7" w:rsidRDefault="004004C7" w14:paraId="7A2B2CFE"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Tel: 010-89202086</w:t>
      </w:r>
    </w:p>
    <w:p w:rsidRPr="004004C7" w:rsidR="004004C7" w:rsidP="004004C7" w:rsidRDefault="004004C7" w14:paraId="6569FE50"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(Address of Principal Executive Offices)</w:t>
      </w:r>
    </w:p>
    <w:p w:rsidRPr="004004C7" w:rsidR="004004C7" w:rsidP="004004C7" w:rsidRDefault="004004C7" w14:paraId="2E4E2E96"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085DFD13"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p w:rsidRPr="004004C7" w:rsidR="004004C7" w:rsidP="004004C7" w:rsidRDefault="004004C7" w14:paraId="18C26772"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750733F6"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Indicate by check mark whether the registrant files or will file annual reports under cover of Form 20-F or Form 40-F.</w:t>
      </w:r>
    </w:p>
    <w:p w:rsidRPr="004004C7" w:rsidR="004004C7" w:rsidP="004004C7" w:rsidRDefault="004004C7" w14:paraId="3061635F"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232E08DB"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Form 20-F  </w:t>
      </w:r>
      <w:r w:rsidRPr="004004C7">
        <w:rPr>
          <w:rFonts w:ascii="Segoe UI Symbol" w:hAnsi="Segoe UI Symbol" w:eastAsia="Times New Roman" w:cs="Segoe UI Symbol"/>
          <w:kern w:val="0"/>
          <w:szCs w:val="20"/>
          <w14:ligatures w14:val="none"/>
        </w:rPr>
        <w:t>☒</w:t>
      </w:r>
      <w:r w:rsidRPr="004004C7">
        <w:rPr>
          <w:rFonts w:eastAsia="Times New Roman" w:cs="Times New Roman"/>
          <w:kern w:val="0"/>
          <w:szCs w:val="20"/>
          <w14:ligatures w14:val="none"/>
        </w:rPr>
        <w:t>          Form 40-F  </w:t>
      </w:r>
      <w:r w:rsidRPr="004004C7">
        <w:rPr>
          <w:rFonts w:ascii="Segoe UI Symbol" w:hAnsi="Segoe UI Symbol" w:eastAsia="Times New Roman" w:cs="Segoe UI Symbol"/>
          <w:kern w:val="0"/>
          <w:szCs w:val="20"/>
          <w14:ligatures w14:val="none"/>
        </w:rPr>
        <w:t>☐</w:t>
      </w:r>
    </w:p>
    <w:p w:rsidRPr="004004C7" w:rsidR="004004C7" w:rsidP="004004C7" w:rsidRDefault="004004C7" w14:paraId="38168F2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47DA919"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p w:rsidRPr="004004C7" w:rsidR="004004C7" w:rsidP="004004C7" w:rsidRDefault="004004C7" w14:paraId="73CD023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1AD9F1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3600BB04"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5134CA3"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INCORPORATION BY REFERENCE</w:t>
      </w:r>
    </w:p>
    <w:p w:rsidRPr="004004C7" w:rsidR="004004C7" w:rsidP="004004C7" w:rsidRDefault="004004C7" w14:paraId="606FEE4B"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1158E5C"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xml:space="preserve">This current report on Form 6-K shall be deemed to be incorporated by reference into the LakeShore Biopharma Co., Ltd’s registration statements on Form S-8 (File No. </w:t>
      </w:r>
      <w:hyperlink w:history="1" r:id="rId4">
        <w:r w:rsidRPr="004004C7">
          <w:rPr>
            <w:rFonts w:eastAsia="Times New Roman" w:cs="Times New Roman"/>
            <w:color w:val="0000FF"/>
            <w:kern w:val="0"/>
            <w:szCs w:val="20"/>
            <w:u w:val="single"/>
            <w14:ligatures w14:val="none"/>
          </w:rPr>
          <w:t>333-279544</w:t>
        </w:r>
      </w:hyperlink>
      <w:r w:rsidRPr="004004C7">
        <w:rPr>
          <w:rFonts w:eastAsia="Times New Roman" w:cs="Times New Roman"/>
          <w:kern w:val="0"/>
          <w:szCs w:val="20"/>
          <w14:ligatures w14:val="none"/>
        </w:rPr>
        <w:t xml:space="preserve"> and File No. </w:t>
      </w:r>
      <w:hyperlink w:history="1" r:id="rId5">
        <w:r w:rsidRPr="004004C7">
          <w:rPr>
            <w:rFonts w:eastAsia="Times New Roman" w:cs="Times New Roman"/>
            <w:color w:val="0000FF"/>
            <w:kern w:val="0"/>
            <w:szCs w:val="20"/>
            <w:u w:val="single"/>
            <w14:ligatures w14:val="none"/>
          </w:rPr>
          <w:t>333-273165</w:t>
        </w:r>
      </w:hyperlink>
      <w:r w:rsidRPr="004004C7">
        <w:rPr>
          <w:rFonts w:eastAsia="Times New Roman" w:cs="Times New Roman"/>
          <w:kern w:val="0"/>
          <w:szCs w:val="20"/>
          <w14:ligatures w14:val="none"/>
        </w:rPr>
        <w:t>) and to be a part thereof from the date on which this current report is furnished, to the extent not superseded by documents or reports subsequently filed or furnished.</w:t>
      </w:r>
    </w:p>
    <w:p w:rsidRPr="004004C7" w:rsidR="004004C7" w:rsidP="004004C7" w:rsidRDefault="004004C7" w14:paraId="73033476"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D009949"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1</w:t>
      </w:r>
    </w:p>
    <w:p w:rsidRPr="004004C7" w:rsidR="004004C7" w:rsidP="004004C7" w:rsidRDefault="004004C7" w14:paraId="7B0580A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1D2464AD"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1836FFB7"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EXHIBITS</w:t>
      </w:r>
    </w:p>
    <w:p w:rsidRPr="004004C7" w:rsidR="004004C7" w:rsidP="004004C7" w:rsidRDefault="004004C7" w14:paraId="10FCD22B"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tbl>
      <w:tblPr>
        <w:tblW w:w="5000" w:type="pct"/>
        <w:tblCellMar>
          <w:left w:w="0" w:type="dxa"/>
          <w:right w:w="0" w:type="dxa"/>
        </w:tblCellMar>
        <w:tblLook w:val="04A0" w:firstRow="1" w:lastRow="0" w:firstColumn="1" w:lastColumn="0" w:noHBand="0" w:noVBand="1"/>
      </w:tblPr>
      <w:tblGrid>
        <w:gridCol w:w="842"/>
        <w:gridCol w:w="94"/>
        <w:gridCol w:w="8424"/>
      </w:tblGrid>
      <w:tr w:rsidRPr="004004C7" w:rsidR="004004C7" w:rsidTr="004004C7" w14:paraId="43CAD3B3" w14:textId="77777777">
        <w:tc>
          <w:tcPr>
            <w:tcW w:w="450" w:type="pct"/>
            <w:tcBorders>
              <w:bottom w:val="single" w:color="000000" w:sz="12" w:space="0"/>
            </w:tcBorders>
            <w:shd w:val="clear" w:color="auto" w:fill="FFFFFF"/>
            <w:vAlign w:val="bottom"/>
            <w:hideMark/>
          </w:tcPr>
          <w:p w:rsidRPr="004004C7" w:rsidR="004004C7" w:rsidP="004004C7" w:rsidRDefault="004004C7" w14:paraId="4E17886C"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Exhibit No.</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77D978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4500" w:type="pct"/>
            <w:tcBorders>
              <w:bottom w:val="single" w:color="000000" w:sz="12" w:space="0"/>
            </w:tcBorders>
            <w:shd w:val="clear" w:color="auto" w:fill="FFFFFF"/>
            <w:vAlign w:val="bottom"/>
            <w:hideMark/>
          </w:tcPr>
          <w:p w:rsidRPr="004004C7" w:rsidR="004004C7" w:rsidP="004004C7" w:rsidRDefault="004004C7" w14:paraId="6CDF0B8B"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Description</w:t>
            </w:r>
          </w:p>
        </w:tc>
      </w:tr>
      <w:tr w:rsidRPr="004004C7" w:rsidR="004004C7" w:rsidTr="004004C7" w14:paraId="2F44790A" w14:textId="77777777">
        <w:tc>
          <w:tcPr>
            <w:tcW w:w="0" w:type="auto"/>
            <w:shd w:val="clear" w:color="auto" w:fill="CCEEFF"/>
            <w:hideMark/>
          </w:tcPr>
          <w:p w:rsidRPr="004004C7" w:rsidR="004004C7" w:rsidP="004004C7" w:rsidRDefault="004004C7" w14:paraId="57284BC6" w14:textId="77777777">
            <w:pPr>
              <w:rPr>
                <w:rFonts w:eastAsia="Times New Roman" w:cs="Times New Roman"/>
                <w:kern w:val="0"/>
                <w:szCs w:val="20"/>
                <w14:ligatures w14:val="none"/>
              </w:rPr>
            </w:pPr>
            <w:r w:rsidRPr="004004C7">
              <w:rPr>
                <w:rFonts w:eastAsia="Times New Roman" w:cs="Times New Roman"/>
                <w:kern w:val="0"/>
                <w:szCs w:val="20"/>
                <w14:ligatures w14:val="none"/>
              </w:rPr>
              <w:t>99.1</w:t>
            </w:r>
          </w:p>
        </w:tc>
        <w:tc>
          <w:tcPr>
            <w:tcW w:w="0" w:type="auto"/>
            <w:shd w:val="clear" w:color="auto" w:fill="CCEEFF"/>
            <w:hideMark/>
          </w:tcPr>
          <w:p w:rsidRPr="004004C7" w:rsidR="004004C7" w:rsidP="004004C7" w:rsidRDefault="004004C7" w14:paraId="3FEFCB4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hideMark/>
          </w:tcPr>
          <w:p w:rsidRPr="004004C7" w:rsidR="004004C7" w:rsidP="004004C7" w:rsidRDefault="004004C7" w14:paraId="6D569FFC" w14:textId="77777777">
            <w:pPr>
              <w:rPr>
                <w:rFonts w:eastAsia="Times New Roman" w:cs="Times New Roman"/>
                <w:kern w:val="0"/>
                <w:szCs w:val="20"/>
                <w14:ligatures w14:val="none"/>
              </w:rPr>
            </w:pPr>
            <w:hyperlink w:history="1" r:id="rId6">
              <w:r w:rsidRPr="004004C7">
                <w:rPr>
                  <w:rFonts w:eastAsia="Times New Roman" w:cs="Times New Roman"/>
                  <w:color w:val="0000FF"/>
                  <w:kern w:val="0"/>
                  <w:szCs w:val="20"/>
                  <w:u w:val="single"/>
                  <w14:ligatures w14:val="none"/>
                </w:rPr>
                <w:t>Press Release - LakeShore Biopharma Announces Fiscal Year 2025 Financial Results</w:t>
              </w:r>
            </w:hyperlink>
          </w:p>
        </w:tc>
      </w:tr>
    </w:tbl>
    <w:p w:rsidRPr="004004C7" w:rsidR="004004C7" w:rsidP="004004C7" w:rsidRDefault="004004C7" w14:paraId="70E43D1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7F0867A1"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2</w:t>
      </w:r>
    </w:p>
    <w:p w:rsidRPr="004004C7" w:rsidR="004004C7" w:rsidP="004004C7" w:rsidRDefault="004004C7" w14:paraId="007C88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4895CBD"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lastRenderedPageBreak/>
        <w:t> </w:t>
      </w:r>
    </w:p>
    <w:p w:rsidRPr="004004C7" w:rsidR="004004C7" w:rsidP="004004C7" w:rsidRDefault="004004C7" w14:paraId="64B79487" w14:textId="77777777">
      <w:pPr>
        <w:jc w:val="center"/>
        <w:rPr>
          <w:rFonts w:eastAsia="Times New Roman" w:cs="Times New Roman"/>
          <w:kern w:val="0"/>
          <w:szCs w:val="20"/>
          <w14:ligatures w14:val="none"/>
        </w:rPr>
      </w:pPr>
      <w:r w:rsidRPr="004004C7">
        <w:rPr>
          <w:rFonts w:eastAsia="Times New Roman" w:cs="Times New Roman"/>
          <w:b/>
          <w:bCs/>
          <w:caps/>
          <w:kern w:val="0"/>
          <w:szCs w:val="20"/>
          <w14:ligatures w14:val="none"/>
        </w:rPr>
        <w:t>Signature</w:t>
      </w:r>
    </w:p>
    <w:p w:rsidRPr="004004C7" w:rsidR="004004C7" w:rsidP="004004C7" w:rsidRDefault="004004C7" w14:paraId="71C9EA7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A35A961"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Pursuant to the requirements of the Securities Exchange Act of 1934, the registrant has duly caused this report to be signed on its behalf by the undersigned, thereunto duly authorized.</w:t>
      </w:r>
    </w:p>
    <w:p w:rsidRPr="004004C7" w:rsidR="004004C7" w:rsidP="004004C7" w:rsidRDefault="004004C7" w14:paraId="27AFE4B4"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Mar>
          <w:left w:w="0" w:type="dxa"/>
          <w:right w:w="0" w:type="dxa"/>
        </w:tblCellMar>
        <w:tblLook w:val="04A0" w:firstRow="1" w:lastRow="0" w:firstColumn="1" w:lastColumn="0" w:noHBand="0" w:noVBand="1"/>
      </w:tblPr>
      <w:tblGrid>
        <w:gridCol w:w="5558"/>
        <w:gridCol w:w="584"/>
        <w:gridCol w:w="3218"/>
      </w:tblGrid>
      <w:tr w:rsidRPr="004004C7" w:rsidR="004004C7" w:rsidTr="004004C7" w14:paraId="35477173" w14:textId="77777777">
        <w:tc>
          <w:tcPr>
            <w:tcW w:w="0" w:type="auto"/>
            <w:hideMark/>
          </w:tcPr>
          <w:p w:rsidRPr="004004C7" w:rsidR="004004C7" w:rsidP="004004C7" w:rsidRDefault="004004C7" w14:paraId="21E5878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gridSpan w:val="2"/>
            <w:hideMark/>
          </w:tcPr>
          <w:p w:rsidRPr="004004C7" w:rsidR="004004C7" w:rsidP="004004C7" w:rsidRDefault="004004C7" w14:paraId="7D8D6ACF"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LakeShore Biopharma Co., Ltd</w:t>
            </w:r>
          </w:p>
        </w:tc>
      </w:tr>
      <w:tr w:rsidRPr="004004C7" w:rsidR="004004C7" w:rsidTr="004004C7" w14:paraId="20166C14" w14:textId="77777777">
        <w:tc>
          <w:tcPr>
            <w:tcW w:w="0" w:type="auto"/>
            <w:hideMark/>
          </w:tcPr>
          <w:p w:rsidRPr="004004C7" w:rsidR="004004C7" w:rsidP="004004C7" w:rsidRDefault="004004C7" w14:paraId="10D8122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4C3C758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hideMark/>
          </w:tcPr>
          <w:p w:rsidRPr="004004C7" w:rsidR="004004C7" w:rsidP="004004C7" w:rsidRDefault="004004C7" w14:paraId="467560F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9E12B4A" w14:textId="77777777">
        <w:tc>
          <w:tcPr>
            <w:tcW w:w="3000" w:type="pct"/>
            <w:hideMark/>
          </w:tcPr>
          <w:p w:rsidRPr="004004C7" w:rsidR="004004C7" w:rsidP="004004C7" w:rsidRDefault="004004C7" w14:paraId="173D0E8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250" w:type="pct"/>
            <w:vAlign w:val="bottom"/>
            <w:hideMark/>
          </w:tcPr>
          <w:p w:rsidRPr="004004C7" w:rsidR="004004C7" w:rsidP="004004C7" w:rsidRDefault="004004C7" w14:paraId="1C6289DD" w14:textId="77777777">
            <w:pPr>
              <w:rPr>
                <w:rFonts w:eastAsia="Times New Roman" w:cs="Times New Roman"/>
                <w:kern w:val="0"/>
                <w:szCs w:val="20"/>
                <w14:ligatures w14:val="none"/>
              </w:rPr>
            </w:pPr>
            <w:r w:rsidRPr="004004C7">
              <w:rPr>
                <w:rFonts w:eastAsia="Times New Roman" w:cs="Times New Roman"/>
                <w:kern w:val="0"/>
                <w:szCs w:val="20"/>
                <w14:ligatures w14:val="none"/>
              </w:rPr>
              <w:t>By:</w:t>
            </w:r>
          </w:p>
        </w:tc>
        <w:tc>
          <w:tcPr>
            <w:tcW w:w="1750" w:type="pct"/>
            <w:tcBorders>
              <w:bottom w:val="single" w:color="000000" w:sz="12" w:space="0"/>
            </w:tcBorders>
            <w:hideMark/>
          </w:tcPr>
          <w:p w:rsidRPr="004004C7" w:rsidR="004004C7" w:rsidP="004004C7" w:rsidRDefault="004004C7" w14:paraId="0B4FA7B3" w14:textId="77777777">
            <w:pPr>
              <w:rPr>
                <w:rFonts w:eastAsia="Times New Roman" w:cs="Times New Roman"/>
                <w:kern w:val="0"/>
                <w:szCs w:val="20"/>
                <w14:ligatures w14:val="none"/>
              </w:rPr>
            </w:pPr>
            <w:r w:rsidRPr="004004C7">
              <w:rPr>
                <w:rFonts w:eastAsia="Times New Roman" w:cs="Times New Roman"/>
                <w:kern w:val="0"/>
                <w:szCs w:val="20"/>
                <w14:ligatures w14:val="none"/>
              </w:rPr>
              <w:t>/s/ Rachel Yu</w:t>
            </w:r>
          </w:p>
        </w:tc>
      </w:tr>
      <w:tr w:rsidRPr="004004C7" w:rsidR="004004C7" w:rsidTr="004004C7" w14:paraId="2E92CC64" w14:textId="77777777">
        <w:tc>
          <w:tcPr>
            <w:tcW w:w="0" w:type="auto"/>
            <w:hideMark/>
          </w:tcPr>
          <w:p w:rsidRPr="004004C7" w:rsidR="004004C7" w:rsidP="004004C7" w:rsidRDefault="004004C7" w14:paraId="1E465E4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0C9B533D" w14:textId="77777777">
            <w:pPr>
              <w:rPr>
                <w:rFonts w:eastAsia="Times New Roman" w:cs="Times New Roman"/>
                <w:kern w:val="0"/>
                <w:szCs w:val="20"/>
                <w14:ligatures w14:val="none"/>
              </w:rPr>
            </w:pPr>
            <w:r w:rsidRPr="004004C7">
              <w:rPr>
                <w:rFonts w:eastAsia="Times New Roman" w:cs="Times New Roman"/>
                <w:kern w:val="0"/>
                <w:szCs w:val="20"/>
                <w14:ligatures w14:val="none"/>
              </w:rPr>
              <w:t>Name: </w:t>
            </w:r>
          </w:p>
        </w:tc>
        <w:tc>
          <w:tcPr>
            <w:tcW w:w="0" w:type="auto"/>
            <w:hideMark/>
          </w:tcPr>
          <w:p w:rsidRPr="004004C7" w:rsidR="004004C7" w:rsidP="004004C7" w:rsidRDefault="004004C7" w14:paraId="3DD4FA4A" w14:textId="77777777">
            <w:pPr>
              <w:rPr>
                <w:rFonts w:eastAsia="Times New Roman" w:cs="Times New Roman"/>
                <w:kern w:val="0"/>
                <w:szCs w:val="20"/>
                <w14:ligatures w14:val="none"/>
              </w:rPr>
            </w:pPr>
            <w:r w:rsidRPr="004004C7">
              <w:rPr>
                <w:rFonts w:eastAsia="Times New Roman" w:cs="Times New Roman"/>
                <w:kern w:val="0"/>
                <w:szCs w:val="20"/>
                <w14:ligatures w14:val="none"/>
              </w:rPr>
              <w:t>Rachel Yu</w:t>
            </w:r>
          </w:p>
        </w:tc>
      </w:tr>
      <w:tr w:rsidRPr="004004C7" w:rsidR="004004C7" w:rsidTr="004004C7" w14:paraId="152A3D56" w14:textId="77777777">
        <w:tc>
          <w:tcPr>
            <w:tcW w:w="0" w:type="auto"/>
            <w:hideMark/>
          </w:tcPr>
          <w:p w:rsidRPr="004004C7" w:rsidR="004004C7" w:rsidP="004004C7" w:rsidRDefault="004004C7" w14:paraId="50B7D43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37546106" w14:textId="77777777">
            <w:pPr>
              <w:rPr>
                <w:rFonts w:eastAsia="Times New Roman" w:cs="Times New Roman"/>
                <w:kern w:val="0"/>
                <w:szCs w:val="20"/>
                <w14:ligatures w14:val="none"/>
              </w:rPr>
            </w:pPr>
            <w:r w:rsidRPr="004004C7">
              <w:rPr>
                <w:rFonts w:eastAsia="Times New Roman" w:cs="Times New Roman"/>
                <w:kern w:val="0"/>
                <w:szCs w:val="20"/>
                <w14:ligatures w14:val="none"/>
              </w:rPr>
              <w:t>Title:</w:t>
            </w:r>
          </w:p>
        </w:tc>
        <w:tc>
          <w:tcPr>
            <w:tcW w:w="0" w:type="auto"/>
            <w:hideMark/>
          </w:tcPr>
          <w:p w:rsidRPr="004004C7" w:rsidR="004004C7" w:rsidP="004004C7" w:rsidRDefault="004004C7" w14:paraId="3B1AFB5F" w14:textId="77777777">
            <w:pPr>
              <w:rPr>
                <w:rFonts w:eastAsia="Times New Roman" w:cs="Times New Roman"/>
                <w:kern w:val="0"/>
                <w:szCs w:val="20"/>
                <w14:ligatures w14:val="none"/>
              </w:rPr>
            </w:pPr>
            <w:r w:rsidRPr="004004C7">
              <w:rPr>
                <w:rFonts w:eastAsia="Times New Roman" w:cs="Times New Roman"/>
                <w:kern w:val="0"/>
                <w:szCs w:val="20"/>
                <w14:ligatures w14:val="none"/>
              </w:rPr>
              <w:t>Director and Chief Financial Officer</w:t>
            </w:r>
          </w:p>
        </w:tc>
      </w:tr>
    </w:tbl>
    <w:p w:rsidRPr="004004C7" w:rsidR="004004C7" w:rsidP="004004C7" w:rsidRDefault="004004C7" w14:paraId="107FCD3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11F0303D" w14:textId="77777777">
      <w:pPr>
        <w:rPr>
          <w:rFonts w:eastAsia="Times New Roman" w:cs="Times New Roman"/>
          <w:kern w:val="0"/>
          <w:szCs w:val="20"/>
          <w14:ligatures w14:val="none"/>
        </w:rPr>
      </w:pPr>
      <w:r w:rsidRPr="004004C7">
        <w:rPr>
          <w:rFonts w:eastAsia="Times New Roman" w:cs="Times New Roman"/>
          <w:kern w:val="0"/>
          <w:szCs w:val="20"/>
          <w14:ligatures w14:val="none"/>
        </w:rPr>
        <w:t>Date: July 31, 2025</w:t>
      </w:r>
    </w:p>
    <w:p w:rsidRPr="004004C7" w:rsidR="004004C7" w:rsidP="004004C7" w:rsidRDefault="004004C7" w14:paraId="467760A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CC41EB0"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3</w:t>
      </w:r>
    </w:p>
    <w:p w:rsidRPr="004004C7" w:rsidR="004004C7" w:rsidP="004004C7" w:rsidRDefault="004004C7" w14:paraId="3ADA4A5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3629D95" w14:textId="77777777">
      <w:pPr>
        <w:jc w:val="right"/>
        <w:rPr>
          <w:rFonts w:eastAsia="Times New Roman" w:cs="Times New Roman"/>
          <w:b/>
          <w:bCs/>
          <w:kern w:val="0"/>
          <w:szCs w:val="20"/>
          <w14:ligatures w14:val="none"/>
        </w:rPr>
      </w:pPr>
      <w:bookmarkStart w:name="gfpea025102101ex99-1_lakeshore.htm" w:id="1"/>
      <w:bookmarkEnd w:id="1"/>
      <w:r w:rsidRPr="004004C7">
        <w:rPr>
          <w:rFonts w:eastAsia="Times New Roman" w:cs="Times New Roman"/>
          <w:b/>
          <w:bCs/>
          <w:kern w:val="0"/>
          <w:szCs w:val="20"/>
          <w14:ligatures w14:val="none"/>
        </w:rPr>
        <w:t>Exhibit 99.1</w:t>
      </w:r>
    </w:p>
    <w:p w:rsidRPr="004004C7" w:rsidR="004004C7" w:rsidP="004004C7" w:rsidRDefault="004004C7" w14:paraId="59443CE3"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9E0AF8D"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LakeShore Biopharma Announces Fiscal Year 2025 Financial Results</w:t>
      </w:r>
    </w:p>
    <w:p w:rsidRPr="004004C7" w:rsidR="004004C7" w:rsidP="004004C7" w:rsidRDefault="004004C7" w14:paraId="2BBB7AF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45FF9E35" w14:textId="77777777">
        <w:trPr>
          <w:tblCellSpacing w:w="0" w:type="dxa"/>
        </w:trPr>
        <w:tc>
          <w:tcPr>
            <w:tcW w:w="360" w:type="dxa"/>
            <w:hideMark/>
          </w:tcPr>
          <w:p w:rsidRPr="004004C7" w:rsidR="004004C7" w:rsidP="004004C7" w:rsidRDefault="004004C7" w14:paraId="5268CE76" w14:textId="77777777">
            <w:pPr>
              <w:rPr>
                <w:rFonts w:eastAsia="Times New Roman" w:cs="Times New Roman"/>
                <w:kern w:val="0"/>
                <w:szCs w:val="20"/>
                <w14:ligatures w14:val="none"/>
              </w:rPr>
            </w:pPr>
            <w:r w:rsidRPr="004004C7">
              <w:rPr>
                <w:rFonts w:ascii="Wingdings" w:hAnsi="Wingdings" w:eastAsia="Times New Roman" w:cs="Times New Roman"/>
                <w:kern w:val="0"/>
                <w:szCs w:val="20"/>
                <w14:ligatures w14:val="none"/>
              </w:rPr>
              <w:t>²</w:t>
            </w:r>
          </w:p>
        </w:tc>
        <w:tc>
          <w:tcPr>
            <w:tcW w:w="0" w:type="auto"/>
            <w:hideMark/>
          </w:tcPr>
          <w:p w:rsidRPr="004004C7" w:rsidR="004004C7" w:rsidP="004004C7" w:rsidRDefault="004004C7" w14:paraId="19C56D52"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Total revenue reached RMB615.0 million, representing 7.2% year-over-year growth</w:t>
            </w:r>
          </w:p>
        </w:tc>
      </w:tr>
    </w:tbl>
    <w:p w:rsidRPr="004004C7" w:rsidR="004004C7" w:rsidP="004004C7" w:rsidRDefault="004004C7" w14:paraId="7A6532AA"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248F6533" w14:textId="77777777">
        <w:trPr>
          <w:tblCellSpacing w:w="0" w:type="dxa"/>
        </w:trPr>
        <w:tc>
          <w:tcPr>
            <w:tcW w:w="0" w:type="auto"/>
            <w:hideMark/>
          </w:tcPr>
          <w:p w:rsidRPr="004004C7" w:rsidR="004004C7" w:rsidP="004004C7" w:rsidRDefault="004004C7" w14:paraId="175594A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4935807F"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864EE34" w14:textId="77777777">
        <w:trPr>
          <w:tblCellSpacing w:w="0" w:type="dxa"/>
        </w:trPr>
        <w:tc>
          <w:tcPr>
            <w:tcW w:w="360" w:type="dxa"/>
            <w:hideMark/>
          </w:tcPr>
          <w:p w:rsidRPr="004004C7" w:rsidR="004004C7" w:rsidP="004004C7" w:rsidRDefault="004004C7" w14:paraId="2C2A1FEF" w14:textId="77777777">
            <w:pPr>
              <w:rPr>
                <w:rFonts w:eastAsia="Times New Roman" w:cs="Times New Roman"/>
                <w:kern w:val="0"/>
                <w:szCs w:val="20"/>
                <w14:ligatures w14:val="none"/>
              </w:rPr>
            </w:pPr>
            <w:r w:rsidRPr="004004C7">
              <w:rPr>
                <w:rFonts w:ascii="Wingdings" w:hAnsi="Wingdings" w:eastAsia="Times New Roman" w:cs="Times New Roman"/>
                <w:kern w:val="0"/>
                <w:szCs w:val="20"/>
                <w14:ligatures w14:val="none"/>
              </w:rPr>
              <w:t>²</w:t>
            </w:r>
          </w:p>
        </w:tc>
        <w:tc>
          <w:tcPr>
            <w:tcW w:w="0" w:type="auto"/>
            <w:hideMark/>
          </w:tcPr>
          <w:p w:rsidRPr="004004C7" w:rsidR="004004C7" w:rsidP="004004C7" w:rsidRDefault="004004C7" w14:paraId="6717D576"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Gross profit rose to RMB507.2 million, up 11.3% year-over-year</w:t>
            </w:r>
          </w:p>
        </w:tc>
      </w:tr>
    </w:tbl>
    <w:p w:rsidRPr="004004C7" w:rsidR="004004C7" w:rsidP="004004C7" w:rsidRDefault="004004C7" w14:paraId="73130EAA"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3B94487A" w14:textId="77777777">
        <w:trPr>
          <w:tblCellSpacing w:w="0" w:type="dxa"/>
        </w:trPr>
        <w:tc>
          <w:tcPr>
            <w:tcW w:w="0" w:type="auto"/>
            <w:hideMark/>
          </w:tcPr>
          <w:p w:rsidRPr="004004C7" w:rsidR="004004C7" w:rsidP="004004C7" w:rsidRDefault="004004C7" w14:paraId="3D267E6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08CD0061"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4239301" w14:textId="77777777">
        <w:trPr>
          <w:tblCellSpacing w:w="0" w:type="dxa"/>
        </w:trPr>
        <w:tc>
          <w:tcPr>
            <w:tcW w:w="360" w:type="dxa"/>
            <w:hideMark/>
          </w:tcPr>
          <w:p w:rsidRPr="004004C7" w:rsidR="004004C7" w:rsidP="004004C7" w:rsidRDefault="004004C7" w14:paraId="42AD55D9" w14:textId="77777777">
            <w:pPr>
              <w:rPr>
                <w:rFonts w:eastAsia="Times New Roman" w:cs="Times New Roman"/>
                <w:kern w:val="0"/>
                <w:szCs w:val="20"/>
                <w14:ligatures w14:val="none"/>
              </w:rPr>
            </w:pPr>
            <w:r w:rsidRPr="004004C7">
              <w:rPr>
                <w:rFonts w:ascii="Wingdings" w:hAnsi="Wingdings" w:eastAsia="Times New Roman" w:cs="Times New Roman"/>
                <w:kern w:val="0"/>
                <w:szCs w:val="20"/>
                <w14:ligatures w14:val="none"/>
              </w:rPr>
              <w:t>²</w:t>
            </w:r>
          </w:p>
        </w:tc>
        <w:tc>
          <w:tcPr>
            <w:tcW w:w="0" w:type="auto"/>
            <w:hideMark/>
          </w:tcPr>
          <w:p w:rsidRPr="004004C7" w:rsidR="004004C7" w:rsidP="004004C7" w:rsidRDefault="004004C7" w14:paraId="0EC3446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Gross margin improved to 82.5% from 79.5% in Fiscal Year 2024</w:t>
            </w:r>
          </w:p>
        </w:tc>
      </w:tr>
    </w:tbl>
    <w:p w:rsidRPr="004004C7" w:rsidR="004004C7" w:rsidP="004004C7" w:rsidRDefault="004004C7" w14:paraId="13CB9609"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2EF2AE59" w14:textId="77777777">
        <w:trPr>
          <w:tblCellSpacing w:w="0" w:type="dxa"/>
        </w:trPr>
        <w:tc>
          <w:tcPr>
            <w:tcW w:w="0" w:type="auto"/>
            <w:hideMark/>
          </w:tcPr>
          <w:p w:rsidRPr="004004C7" w:rsidR="004004C7" w:rsidP="004004C7" w:rsidRDefault="004004C7" w14:paraId="044796B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496E7E5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A377CDB" w14:textId="77777777">
        <w:trPr>
          <w:tblCellSpacing w:w="0" w:type="dxa"/>
        </w:trPr>
        <w:tc>
          <w:tcPr>
            <w:tcW w:w="360" w:type="dxa"/>
            <w:hideMark/>
          </w:tcPr>
          <w:p w:rsidRPr="004004C7" w:rsidR="004004C7" w:rsidP="004004C7" w:rsidRDefault="004004C7" w14:paraId="2F1749C6" w14:textId="77777777">
            <w:pPr>
              <w:rPr>
                <w:rFonts w:eastAsia="Times New Roman" w:cs="Times New Roman"/>
                <w:kern w:val="0"/>
                <w:szCs w:val="20"/>
                <w14:ligatures w14:val="none"/>
              </w:rPr>
            </w:pPr>
            <w:r w:rsidRPr="004004C7">
              <w:rPr>
                <w:rFonts w:ascii="Wingdings" w:hAnsi="Wingdings" w:eastAsia="Times New Roman" w:cs="Times New Roman"/>
                <w:kern w:val="0"/>
                <w:szCs w:val="20"/>
                <w14:ligatures w14:val="none"/>
              </w:rPr>
              <w:t>²</w:t>
            </w:r>
          </w:p>
        </w:tc>
        <w:tc>
          <w:tcPr>
            <w:tcW w:w="0" w:type="auto"/>
            <w:hideMark/>
          </w:tcPr>
          <w:p w:rsidRPr="004004C7" w:rsidR="004004C7" w:rsidP="004004C7" w:rsidRDefault="004004C7" w14:paraId="2B7608AC"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Total operating expenses decreased 34.2% year-over-year to RMB593.5 million</w:t>
            </w:r>
          </w:p>
        </w:tc>
      </w:tr>
    </w:tbl>
    <w:p w:rsidRPr="004004C7" w:rsidR="004004C7" w:rsidP="004004C7" w:rsidRDefault="004004C7" w14:paraId="6DBDDD9C"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35434801" w14:textId="77777777">
        <w:trPr>
          <w:tblCellSpacing w:w="0" w:type="dxa"/>
        </w:trPr>
        <w:tc>
          <w:tcPr>
            <w:tcW w:w="0" w:type="auto"/>
            <w:hideMark/>
          </w:tcPr>
          <w:p w:rsidRPr="004004C7" w:rsidR="004004C7" w:rsidP="004004C7" w:rsidRDefault="004004C7" w14:paraId="27EB93C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1390CE33"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BB19FFB" w14:textId="77777777">
        <w:trPr>
          <w:tblCellSpacing w:w="0" w:type="dxa"/>
        </w:trPr>
        <w:tc>
          <w:tcPr>
            <w:tcW w:w="360" w:type="dxa"/>
            <w:hideMark/>
          </w:tcPr>
          <w:p w:rsidRPr="004004C7" w:rsidR="004004C7" w:rsidP="004004C7" w:rsidRDefault="004004C7" w14:paraId="712E2128" w14:textId="77777777">
            <w:pPr>
              <w:rPr>
                <w:rFonts w:eastAsia="Times New Roman" w:cs="Times New Roman"/>
                <w:kern w:val="0"/>
                <w:szCs w:val="20"/>
                <w14:ligatures w14:val="none"/>
              </w:rPr>
            </w:pPr>
            <w:r w:rsidRPr="004004C7">
              <w:rPr>
                <w:rFonts w:ascii="Wingdings" w:hAnsi="Wingdings" w:eastAsia="Times New Roman" w:cs="Times New Roman"/>
                <w:kern w:val="0"/>
                <w:szCs w:val="20"/>
                <w14:ligatures w14:val="none"/>
              </w:rPr>
              <w:t>²</w:t>
            </w:r>
          </w:p>
        </w:tc>
        <w:tc>
          <w:tcPr>
            <w:tcW w:w="0" w:type="auto"/>
            <w:hideMark/>
          </w:tcPr>
          <w:p w:rsidRPr="004004C7" w:rsidR="004004C7" w:rsidP="004004C7" w:rsidRDefault="004004C7" w14:paraId="11BAF0B9"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EBITDA</w:t>
            </w:r>
            <w:r w:rsidRPr="004004C7">
              <w:rPr>
                <w:rFonts w:eastAsia="Times New Roman" w:cs="Times New Roman"/>
                <w:kern w:val="0"/>
                <w:szCs w:val="20"/>
                <w:vertAlign w:val="superscript"/>
                <w14:ligatures w14:val="none"/>
              </w:rPr>
              <w:t>1</w:t>
            </w:r>
            <w:r w:rsidRPr="004004C7">
              <w:rPr>
                <w:rFonts w:eastAsia="Times New Roman" w:cs="Times New Roman"/>
                <w:kern w:val="0"/>
                <w:szCs w:val="20"/>
                <w14:ligatures w14:val="none"/>
              </w:rPr>
              <w:t xml:space="preserve"> and Adjusted EBITDA</w:t>
            </w:r>
            <w:r w:rsidRPr="004004C7">
              <w:rPr>
                <w:rFonts w:eastAsia="Times New Roman" w:cs="Times New Roman"/>
                <w:kern w:val="0"/>
                <w:szCs w:val="20"/>
                <w:vertAlign w:val="superscript"/>
                <w14:ligatures w14:val="none"/>
              </w:rPr>
              <w:t>2</w:t>
            </w:r>
            <w:r w:rsidRPr="004004C7">
              <w:rPr>
                <w:rFonts w:eastAsia="Times New Roman" w:cs="Times New Roman"/>
                <w:kern w:val="0"/>
                <w:szCs w:val="20"/>
                <w14:ligatures w14:val="none"/>
              </w:rPr>
              <w:t xml:space="preserve"> were RMB(48.5 million) and RMB0.6 million, respectively, compared to RMB(368.7 million) and RMB(236.4 million) in Fiscal Year 2024</w:t>
            </w:r>
          </w:p>
        </w:tc>
      </w:tr>
    </w:tbl>
    <w:p w:rsidRPr="004004C7" w:rsidR="004004C7" w:rsidP="004004C7" w:rsidRDefault="004004C7" w14:paraId="7853318D"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5B6786AD" w14:textId="77777777">
        <w:trPr>
          <w:tblCellSpacing w:w="0" w:type="dxa"/>
        </w:trPr>
        <w:tc>
          <w:tcPr>
            <w:tcW w:w="0" w:type="auto"/>
            <w:hideMark/>
          </w:tcPr>
          <w:p w:rsidRPr="004004C7" w:rsidR="004004C7" w:rsidP="004004C7" w:rsidRDefault="004004C7" w14:paraId="2AA0F87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hideMark/>
          </w:tcPr>
          <w:p w:rsidRPr="004004C7" w:rsidR="004004C7" w:rsidP="004004C7" w:rsidRDefault="004004C7" w14:paraId="7C68CC03"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2AAE98C0" w14:textId="77777777">
        <w:trPr>
          <w:tblCellSpacing w:w="0" w:type="dxa"/>
        </w:trPr>
        <w:tc>
          <w:tcPr>
            <w:tcW w:w="360" w:type="dxa"/>
            <w:hideMark/>
          </w:tcPr>
          <w:p w:rsidRPr="004004C7" w:rsidR="004004C7" w:rsidP="004004C7" w:rsidRDefault="004004C7" w14:paraId="2DA670CB" w14:textId="77777777">
            <w:pPr>
              <w:rPr>
                <w:rFonts w:eastAsia="Times New Roman" w:cs="Times New Roman"/>
                <w:kern w:val="0"/>
                <w:szCs w:val="20"/>
                <w14:ligatures w14:val="none"/>
              </w:rPr>
            </w:pPr>
            <w:r w:rsidRPr="004004C7">
              <w:rPr>
                <w:rFonts w:ascii="Wingdings" w:hAnsi="Wingdings" w:eastAsia="Times New Roman" w:cs="Times New Roman"/>
                <w:kern w:val="0"/>
                <w:szCs w:val="20"/>
                <w14:ligatures w14:val="none"/>
              </w:rPr>
              <w:t>²</w:t>
            </w:r>
          </w:p>
        </w:tc>
        <w:tc>
          <w:tcPr>
            <w:tcW w:w="0" w:type="auto"/>
            <w:hideMark/>
          </w:tcPr>
          <w:p w:rsidRPr="004004C7" w:rsidR="004004C7" w:rsidP="004004C7" w:rsidRDefault="004004C7" w14:paraId="6541DC5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Net loss narrowed to RMB100.0 million, with an adjusted net loss</w:t>
            </w:r>
            <w:r w:rsidRPr="004004C7">
              <w:rPr>
                <w:rFonts w:eastAsia="Times New Roman" w:cs="Times New Roman"/>
                <w:kern w:val="0"/>
                <w:szCs w:val="20"/>
                <w:vertAlign w:val="superscript"/>
                <w14:ligatures w14:val="none"/>
              </w:rPr>
              <w:t>3</w:t>
            </w:r>
            <w:r w:rsidRPr="004004C7">
              <w:rPr>
                <w:rFonts w:eastAsia="Times New Roman" w:cs="Times New Roman"/>
                <w:kern w:val="0"/>
                <w:szCs w:val="20"/>
                <w14:ligatures w14:val="none"/>
              </w:rPr>
              <w:t xml:space="preserve"> of RMB40.0 million, compared to RMB433.5 million and RMB266.3 million, respectively, in Fiscal Year 2024</w:t>
            </w:r>
          </w:p>
        </w:tc>
      </w:tr>
    </w:tbl>
    <w:p w:rsidRPr="004004C7" w:rsidR="004004C7" w:rsidP="004004C7" w:rsidRDefault="004004C7" w14:paraId="0726B87F"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7380A332"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BEIJING, July 31, 2025 /PRNewswire/ -- LakeShore Biopharma Co., Ltd (Nasdaq: LSB) (“LakeShore Biopharma” or the “Company”), a global biopharmaceutical company dedicated to discovering, developing, manufacturing, and delivering new generations of vaccines and therapeutic biologics for infectious diseases and cancer, today announced its financial results for the Fiscal Year ended March 31, 2025 (“FY2025”).</w:t>
      </w:r>
    </w:p>
    <w:p w:rsidRPr="004004C7" w:rsidR="004004C7" w:rsidP="004004C7" w:rsidRDefault="004004C7" w14:paraId="2901A4CF"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3F1C658D"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“We are pleased to announce LakeShore Biopharma’s FY2025 financial results with a 7.2% year-over-year growth in revenues and an 11.3% year-over-year growth in gross profits. Our net loss narrowed by 77% year-over-year”, stated Xu Wang, Director and Chief Executive Officer. "While we didn’t meet the revenue guidance of RMB665-700 million and our adjusted EBITDA guidance range of RMB76-89 million, we have achieved significantly improved results compared to last year, despite substantial challenges. These include intensified competition in the rabies vaccine industry market, particularly in the second half of Fiscal Year 2025, pricing pressures in certain regions, limited capacity of major vaccine distribution channels to absorb new inventories, and ongoing cash constraints stemming from our inability to secure new bank credit lines due to the ongoing litigation with former Chairman, Mr. Yi Zhang.</w:t>
      </w:r>
    </w:p>
    <w:p w:rsidRPr="004004C7" w:rsidR="004004C7" w:rsidP="004004C7" w:rsidRDefault="004004C7" w14:paraId="3F70AF9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10CCD68"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Mr. Xu Wang further commented: "Looking forward, we will strategically allocate our resources to maximize the commercial value of our flagship product, YSJA</w:t>
      </w:r>
      <w:r w:rsidRPr="004004C7">
        <w:rPr>
          <w:rFonts w:eastAsia="Times New Roman" w:cs="Times New Roman"/>
          <w:kern w:val="0"/>
          <w:szCs w:val="20"/>
          <w:vertAlign w:val="superscript"/>
          <w14:ligatures w14:val="none"/>
        </w:rPr>
        <w:t>TM</w:t>
      </w:r>
      <w:r w:rsidRPr="004004C7">
        <w:rPr>
          <w:rFonts w:eastAsia="Times New Roman" w:cs="Times New Roman"/>
          <w:kern w:val="0"/>
          <w:szCs w:val="20"/>
          <w14:ligatures w14:val="none"/>
        </w:rPr>
        <w:t xml:space="preserve"> rabies vaccine. Specifically, we will strive to maintain and grow our market share through the following measures: 1) expanding our coverage regions; 2) retaining and attracting high-</w:t>
      </w:r>
      <w:r w:rsidRPr="004004C7">
        <w:rPr>
          <w:rFonts w:eastAsia="Times New Roman" w:cs="Times New Roman"/>
          <w:kern w:val="0"/>
          <w:szCs w:val="20"/>
          <w14:ligatures w14:val="none"/>
        </w:rPr>
        <w:lastRenderedPageBreak/>
        <w:t>performing CSOs; 3) driving end-market demand through collaboration with hospitals and clinics; 4) continuing to train and recruit new commercial talents; and 5) advancing the Phase III trial of the simplified four-dose regimen for the YSJA</w:t>
      </w:r>
      <w:r w:rsidRPr="004004C7">
        <w:rPr>
          <w:rFonts w:eastAsia="Times New Roman" w:cs="Times New Roman"/>
          <w:kern w:val="0"/>
          <w:szCs w:val="20"/>
          <w:vertAlign w:val="superscript"/>
          <w14:ligatures w14:val="none"/>
        </w:rPr>
        <w:t>TM</w:t>
      </w:r>
      <w:r w:rsidRPr="004004C7">
        <w:rPr>
          <w:rFonts w:eastAsia="Times New Roman" w:cs="Times New Roman"/>
          <w:kern w:val="0"/>
          <w:szCs w:val="20"/>
          <w14:ligatures w14:val="none"/>
        </w:rPr>
        <w:t xml:space="preserve"> rabies vaccine at full speed, with the goal of securing the market approval by the fourth quarter of 2026. Additionally, we will continue to enhance operational efficiency, reinforce cost control measures, and strengthen internal corporate governance."</w:t>
      </w:r>
    </w:p>
    <w:p w:rsidRPr="004004C7" w:rsidR="004004C7" w:rsidP="004004C7" w:rsidRDefault="004004C7" w14:paraId="4330E64C"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5FFD171" w14:textId="77777777">
      <w:pPr>
        <w:rPr>
          <w:rFonts w:eastAsia="Times New Roman" w:cs="Times New Roman"/>
          <w:kern w:val="0"/>
          <w:sz w:val="2"/>
          <w:szCs w:val="2"/>
          <w14:ligatures w14:val="none"/>
        </w:rPr>
      </w:pPr>
      <w:r w:rsidRPr="004004C7">
        <w:rPr>
          <w:rFonts w:eastAsia="Times New Roman" w:cs="Times New Roman"/>
          <w:kern w:val="0"/>
          <w:sz w:val="2"/>
          <w:szCs w:val="2"/>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26C01D12" w14:textId="77777777">
        <w:trPr>
          <w:tblCellSpacing w:w="0" w:type="dxa"/>
        </w:trPr>
        <w:tc>
          <w:tcPr>
            <w:tcW w:w="360" w:type="dxa"/>
            <w:hideMark/>
          </w:tcPr>
          <w:p w:rsidRPr="004004C7" w:rsidR="004004C7" w:rsidP="004004C7" w:rsidRDefault="004004C7" w14:paraId="0212C21B" w14:textId="77777777">
            <w:pPr>
              <w:jc w:val="both"/>
              <w:rPr>
                <w:rFonts w:eastAsia="Times New Roman" w:cs="Times New Roman"/>
                <w:kern w:val="0"/>
                <w:szCs w:val="20"/>
                <w14:ligatures w14:val="none"/>
              </w:rPr>
            </w:pPr>
            <w:r w:rsidRPr="004004C7">
              <w:rPr>
                <w:rFonts w:eastAsia="Times New Roman" w:cs="Times New Roman"/>
                <w:kern w:val="0"/>
                <w:szCs w:val="20"/>
                <w:vertAlign w:val="superscript"/>
                <w14:ligatures w14:val="none"/>
              </w:rPr>
              <w:t>1</w:t>
            </w:r>
          </w:p>
        </w:tc>
        <w:tc>
          <w:tcPr>
            <w:tcW w:w="0" w:type="auto"/>
            <w:hideMark/>
          </w:tcPr>
          <w:p w:rsidRPr="004004C7" w:rsidR="004004C7" w:rsidP="004004C7" w:rsidRDefault="004004C7" w14:paraId="24AD486C"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EBITDA is a non-GAAP financial measure, which is defined as net income (loss) before income tax benefit (expense), financial expenses and depreciation and amortization. See “Use of Non-GAAP Financial Measures” below</w:t>
            </w:r>
          </w:p>
        </w:tc>
      </w:tr>
    </w:tbl>
    <w:p w:rsidRPr="004004C7" w:rsidR="004004C7" w:rsidP="004004C7" w:rsidRDefault="004004C7" w14:paraId="3328111C"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159E92F1" w14:textId="77777777">
        <w:trPr>
          <w:tblCellSpacing w:w="0" w:type="dxa"/>
        </w:trPr>
        <w:tc>
          <w:tcPr>
            <w:tcW w:w="360" w:type="dxa"/>
            <w:hideMark/>
          </w:tcPr>
          <w:p w:rsidRPr="004004C7" w:rsidR="004004C7" w:rsidP="004004C7" w:rsidRDefault="004004C7" w14:paraId="23252349" w14:textId="77777777">
            <w:pPr>
              <w:jc w:val="both"/>
              <w:rPr>
                <w:rFonts w:eastAsia="Times New Roman" w:cs="Times New Roman"/>
                <w:kern w:val="0"/>
                <w:szCs w:val="20"/>
                <w14:ligatures w14:val="none"/>
              </w:rPr>
            </w:pPr>
            <w:r w:rsidRPr="004004C7">
              <w:rPr>
                <w:rFonts w:eastAsia="Times New Roman" w:cs="Times New Roman"/>
                <w:kern w:val="0"/>
                <w:szCs w:val="20"/>
                <w:vertAlign w:val="superscript"/>
                <w14:ligatures w14:val="none"/>
              </w:rPr>
              <w:t>2</w:t>
            </w:r>
          </w:p>
        </w:tc>
        <w:tc>
          <w:tcPr>
            <w:tcW w:w="0" w:type="auto"/>
            <w:hideMark/>
          </w:tcPr>
          <w:p w:rsidRPr="004004C7" w:rsidR="004004C7" w:rsidP="004004C7" w:rsidRDefault="004004C7" w14:paraId="62C75F44"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Adjusted EBITDA is a non-GAAP financial measure, which is defined as net income(loss) before income tax benefit (expense), financial expenses, and depreciation and amortization (“EBITDA”) adjusted to exclude share-based compensation expenses, impairment loss on inventory, property, plant and equipment and other assets, late fees related to social security insurance, other income (expense), fair value changes of warrant liability, and government grants. See “Use of Non-GAAP Financial Measures” below</w:t>
            </w:r>
          </w:p>
        </w:tc>
      </w:tr>
    </w:tbl>
    <w:p w:rsidRPr="004004C7" w:rsidR="004004C7" w:rsidP="004004C7" w:rsidRDefault="004004C7" w14:paraId="7F77D5DA" w14:textId="77777777">
      <w:pPr>
        <w:rPr>
          <w:rFonts w:eastAsia="Times New Roman" w:cs="Times New Roman"/>
          <w:vanish/>
          <w:kern w:val="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Pr="004004C7" w:rsidR="004004C7" w:rsidTr="004004C7" w14:paraId="6DD83C9D" w14:textId="77777777">
        <w:trPr>
          <w:tblCellSpacing w:w="0" w:type="dxa"/>
        </w:trPr>
        <w:tc>
          <w:tcPr>
            <w:tcW w:w="360" w:type="dxa"/>
            <w:hideMark/>
          </w:tcPr>
          <w:p w:rsidRPr="004004C7" w:rsidR="004004C7" w:rsidP="004004C7" w:rsidRDefault="004004C7" w14:paraId="33541624" w14:textId="77777777">
            <w:pPr>
              <w:jc w:val="both"/>
              <w:rPr>
                <w:rFonts w:eastAsia="Times New Roman" w:cs="Times New Roman"/>
                <w:kern w:val="0"/>
                <w:szCs w:val="20"/>
                <w14:ligatures w14:val="none"/>
              </w:rPr>
            </w:pPr>
            <w:r w:rsidRPr="004004C7">
              <w:rPr>
                <w:rFonts w:eastAsia="Times New Roman" w:cs="Times New Roman"/>
                <w:kern w:val="0"/>
                <w:szCs w:val="20"/>
                <w:vertAlign w:val="superscript"/>
                <w14:ligatures w14:val="none"/>
              </w:rPr>
              <w:t>3</w:t>
            </w:r>
          </w:p>
        </w:tc>
        <w:tc>
          <w:tcPr>
            <w:tcW w:w="0" w:type="auto"/>
            <w:hideMark/>
          </w:tcPr>
          <w:p w:rsidRPr="004004C7" w:rsidR="004004C7" w:rsidP="004004C7" w:rsidRDefault="004004C7" w14:paraId="3BE225FD"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Adjusted net income (loss) is a non-GAAP financial measure, which is defined as net income (loss) excluding share-based compensation expenses, impairment loss on inventory, property, plant and equipment and other assets, and loss on disposal of property, plant and equipment. See “Use of Non-GAAP Financial Measures” below.</w:t>
            </w:r>
          </w:p>
        </w:tc>
      </w:tr>
    </w:tbl>
    <w:p w:rsidRPr="004004C7" w:rsidR="004004C7" w:rsidP="004004C7" w:rsidRDefault="004004C7" w14:paraId="1B9A4DD8"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09A926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392C088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94F5F15" w14:textId="77777777">
      <w:pPr>
        <w:rPr>
          <w:rFonts w:eastAsia="Times New Roman" w:cs="Times New Roman"/>
          <w:kern w:val="0"/>
          <w:szCs w:val="20"/>
          <w14:ligatures w14:val="none"/>
        </w:rPr>
      </w:pPr>
      <w:r w:rsidRPr="004004C7">
        <w:rPr>
          <w:rFonts w:eastAsia="Times New Roman" w:cs="Times New Roman"/>
          <w:b/>
          <w:bCs/>
          <w:kern w:val="0"/>
          <w:szCs w:val="20"/>
          <w:u w:val="single"/>
          <w14:ligatures w14:val="none"/>
        </w:rPr>
        <w:t>Business Updates</w:t>
      </w:r>
    </w:p>
    <w:p w:rsidRPr="004004C7" w:rsidR="004004C7" w:rsidP="004004C7" w:rsidRDefault="004004C7" w14:paraId="24FF8C23"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7AAFD694"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YSJA</w:t>
      </w:r>
      <w:r w:rsidRPr="004004C7">
        <w:rPr>
          <w:rFonts w:eastAsia="Times New Roman" w:cs="Times New Roman"/>
          <w:b/>
          <w:bCs/>
          <w:kern w:val="0"/>
          <w:szCs w:val="20"/>
          <w:vertAlign w:val="superscript"/>
          <w14:ligatures w14:val="none"/>
        </w:rPr>
        <w:t>TM</w:t>
      </w:r>
      <w:r w:rsidRPr="004004C7">
        <w:rPr>
          <w:rFonts w:eastAsia="Times New Roman" w:cs="Times New Roman"/>
          <w:b/>
          <w:bCs/>
          <w:kern w:val="0"/>
          <w:szCs w:val="20"/>
          <w14:ligatures w14:val="none"/>
        </w:rPr>
        <w:t xml:space="preserve"> Rabies Vaccine</w:t>
      </w:r>
    </w:p>
    <w:p w:rsidRPr="004004C7" w:rsidR="004004C7" w:rsidP="004004C7" w:rsidRDefault="004004C7" w14:paraId="46C7F0FD"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7F74F23F"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LakeShore Biopharma’s YSJA</w:t>
      </w:r>
      <w:r w:rsidRPr="004004C7">
        <w:rPr>
          <w:rFonts w:eastAsia="Times New Roman" w:cs="Times New Roman"/>
          <w:kern w:val="0"/>
          <w:szCs w:val="20"/>
          <w:vertAlign w:val="superscript"/>
          <w14:ligatures w14:val="none"/>
        </w:rPr>
        <w:t>TM</w:t>
      </w:r>
      <w:r w:rsidRPr="004004C7">
        <w:rPr>
          <w:rFonts w:eastAsia="Times New Roman" w:cs="Times New Roman"/>
          <w:kern w:val="0"/>
          <w:szCs w:val="20"/>
          <w14:ligatures w14:val="none"/>
        </w:rPr>
        <w:t xml:space="preserve"> rabies vaccine is China’s first aluminum-free lyophilized rabies vaccine (Vero cell) and has been in clinical use for over 22 years. As of March 31, 2025, approximately 110 million doses have been administered for post-exposure protection against rabies. Leveraging LakeShore Biopharma's successful commercialization capabilities, the YSJA</w:t>
      </w:r>
      <w:r w:rsidRPr="004004C7">
        <w:rPr>
          <w:rFonts w:eastAsia="Times New Roman" w:cs="Times New Roman"/>
          <w:kern w:val="0"/>
          <w:szCs w:val="20"/>
          <w:vertAlign w:val="superscript"/>
          <w14:ligatures w14:val="none"/>
        </w:rPr>
        <w:t>TM</w:t>
      </w:r>
      <w:r w:rsidRPr="004004C7">
        <w:rPr>
          <w:rFonts w:eastAsia="Times New Roman" w:cs="Times New Roman"/>
          <w:kern w:val="0"/>
          <w:szCs w:val="20"/>
          <w14:ligatures w14:val="none"/>
        </w:rPr>
        <w:t xml:space="preserve"> rabies vaccine has demonstrated strong production scalability and broad market acceptance. Since launching in October 2020, LakeShore Biopharma has distributed over 35.3 million doses to 1,911 county-level CDCs in China, representing 67.7% of coverage.</w:t>
      </w:r>
    </w:p>
    <w:p w:rsidRPr="004004C7" w:rsidR="004004C7" w:rsidP="004004C7" w:rsidRDefault="004004C7" w14:paraId="447E6102"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F5C68F6" w14:textId="77777777">
      <w:pPr>
        <w:jc w:val="both"/>
        <w:rPr>
          <w:rFonts w:eastAsia="Times New Roman" w:cs="Times New Roman"/>
          <w:kern w:val="0"/>
          <w:szCs w:val="20"/>
          <w14:ligatures w14:val="none"/>
        </w:rPr>
      </w:pPr>
      <w:r w:rsidRPr="004004C7">
        <w:rPr>
          <w:rFonts w:eastAsia="Times New Roman" w:cs="Times New Roman"/>
          <w:b/>
          <w:bCs/>
          <w:kern w:val="0"/>
          <w:szCs w:val="20"/>
          <w:u w:val="single"/>
          <w14:ligatures w14:val="none"/>
        </w:rPr>
        <w:t>Clinical Pipeline</w:t>
      </w:r>
    </w:p>
    <w:p w:rsidRPr="004004C7" w:rsidR="004004C7" w:rsidP="004004C7" w:rsidRDefault="004004C7" w14:paraId="57337A09"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6CDD8ED9"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Progress of Phase III Clinical Trial on simplified four-dose regimen for YSJA</w:t>
      </w:r>
      <w:r w:rsidRPr="004004C7">
        <w:rPr>
          <w:rFonts w:eastAsia="Times New Roman" w:cs="Times New Roman"/>
          <w:b/>
          <w:bCs/>
          <w:kern w:val="0"/>
          <w:szCs w:val="20"/>
          <w:vertAlign w:val="superscript"/>
          <w14:ligatures w14:val="none"/>
        </w:rPr>
        <w:t>TM</w:t>
      </w:r>
      <w:r w:rsidRPr="004004C7">
        <w:rPr>
          <w:rFonts w:eastAsia="Times New Roman" w:cs="Times New Roman"/>
          <w:b/>
          <w:bCs/>
          <w:kern w:val="0"/>
          <w:szCs w:val="20"/>
          <w14:ligatures w14:val="none"/>
        </w:rPr>
        <w:t xml:space="preserve"> rabies vaccine</w:t>
      </w:r>
    </w:p>
    <w:p w:rsidRPr="004004C7" w:rsidR="004004C7" w:rsidP="004004C7" w:rsidRDefault="004004C7" w14:paraId="0ABE0409"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6AD81A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In October 2024, the NMPA approved LakeShore Biopharma to initiate a Phase III clinical trial evaluating a simplified four-dose regimen for YSJA</w:t>
      </w:r>
      <w:r w:rsidRPr="004004C7">
        <w:rPr>
          <w:rFonts w:eastAsia="Times New Roman" w:cs="Times New Roman"/>
          <w:kern w:val="0"/>
          <w:szCs w:val="20"/>
          <w:vertAlign w:val="superscript"/>
          <w14:ligatures w14:val="none"/>
        </w:rPr>
        <w:t>TM</w:t>
      </w:r>
      <w:r w:rsidRPr="004004C7">
        <w:rPr>
          <w:rFonts w:eastAsia="Times New Roman" w:cs="Times New Roman"/>
          <w:kern w:val="0"/>
          <w:szCs w:val="20"/>
          <w14:ligatures w14:val="none"/>
        </w:rPr>
        <w:t>, including the Zagreb (2-1-1) and Modified Essen (1-1-1-1) regimens.</w:t>
      </w:r>
    </w:p>
    <w:p w:rsidRPr="004004C7" w:rsidR="004004C7" w:rsidP="004004C7" w:rsidRDefault="004004C7" w14:paraId="39536F82"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0E99C87"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LakeShore Biopharma commenced this clinical trial in December 2024 and successfully completed the 90-day subject follow-up in July 2025. The Company expects to finish the interim analysis in the fourth quarter of 2025 and obtain the market approval in the fourth quarter of 2026.</w:t>
      </w:r>
    </w:p>
    <w:p w:rsidRPr="004004C7" w:rsidR="004004C7" w:rsidP="004004C7" w:rsidRDefault="004004C7" w14:paraId="2D26B9C4"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1B15C0F"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The study aims to strengthen the competitiveness of the YSJA</w:t>
      </w:r>
      <w:r w:rsidRPr="004004C7">
        <w:rPr>
          <w:rFonts w:eastAsia="Times New Roman" w:cs="Times New Roman"/>
          <w:kern w:val="0"/>
          <w:szCs w:val="20"/>
          <w:vertAlign w:val="superscript"/>
          <w14:ligatures w14:val="none"/>
        </w:rPr>
        <w:t>TM</w:t>
      </w:r>
      <w:r w:rsidRPr="004004C7">
        <w:rPr>
          <w:rFonts w:eastAsia="Times New Roman" w:cs="Times New Roman"/>
          <w:kern w:val="0"/>
          <w:szCs w:val="20"/>
          <w14:ligatures w14:val="none"/>
        </w:rPr>
        <w:t xml:space="preserve"> rabies vaccine in the rapidly growing rabies vaccine market, demonstrate its clinical superiority, and garner broader recognition and support from hospitals, academic institutions, and industry stakeholders in China and globally.</w:t>
      </w:r>
    </w:p>
    <w:p w:rsidRPr="004004C7" w:rsidR="004004C7" w:rsidP="004004C7" w:rsidRDefault="004004C7" w14:paraId="4C258CB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793CCC0" w14:textId="77777777">
      <w:pPr>
        <w:jc w:val="both"/>
        <w:rPr>
          <w:rFonts w:eastAsia="Times New Roman" w:cs="Times New Roman"/>
          <w:kern w:val="0"/>
          <w:szCs w:val="20"/>
          <w14:ligatures w14:val="none"/>
        </w:rPr>
      </w:pPr>
      <w:r w:rsidRPr="004004C7">
        <w:rPr>
          <w:rFonts w:eastAsia="Times New Roman" w:cs="Times New Roman"/>
          <w:b/>
          <w:bCs/>
          <w:kern w:val="0"/>
          <w:szCs w:val="20"/>
          <w:u w:val="single"/>
          <w14:ligatures w14:val="none"/>
        </w:rPr>
        <w:t>Fiscal Year 2025 Financial Results</w:t>
      </w:r>
    </w:p>
    <w:p w:rsidRPr="004004C7" w:rsidR="004004C7" w:rsidP="004004C7" w:rsidRDefault="004004C7" w14:paraId="5C22C926"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D8BAA1F"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Total Revenue</w:t>
      </w:r>
    </w:p>
    <w:p w:rsidRPr="004004C7" w:rsidR="004004C7" w:rsidP="004004C7" w:rsidRDefault="004004C7" w14:paraId="320A2FA5"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4BD29240"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Total revenue rose by 7.2%, from RMB573.4 million in FY2024 to RMB615.0 million in FY2025. This growth was primarily driven by steady recovery of the domestic economy following the end of the COVID-19 emergency, with improved production and operations.</w:t>
      </w:r>
    </w:p>
    <w:p w:rsidRPr="004004C7" w:rsidR="004004C7" w:rsidP="004004C7" w:rsidRDefault="004004C7" w14:paraId="68417BC3"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335D1DD"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lastRenderedPageBreak/>
        <w:t>2</w:t>
      </w:r>
    </w:p>
    <w:p w:rsidRPr="004004C7" w:rsidR="004004C7" w:rsidP="004004C7" w:rsidRDefault="004004C7" w14:paraId="32C0E5F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2D426CE0"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8579FCB"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Gross Profit</w:t>
      </w:r>
    </w:p>
    <w:p w:rsidRPr="004004C7" w:rsidR="004004C7" w:rsidP="004004C7" w:rsidRDefault="004004C7" w14:paraId="049A2776"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8E87EE2"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Gross profit rose by 11.3%, from RMB455.7 million in FY2024 to RMB507.2 million in FY2025. This increase was primarily driven by higher sales volume. The gross profit margin also improved, from 79.5% in FY 2024 to 82.5% in FY 2025. The margin expansion was due to higher average unit prices and lower unit costs.</w:t>
      </w:r>
    </w:p>
    <w:p w:rsidRPr="004004C7" w:rsidR="004004C7" w:rsidP="004004C7" w:rsidRDefault="004004C7" w14:paraId="7A587399"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E57AA12"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Selling and Marketing Expenses</w:t>
      </w:r>
    </w:p>
    <w:p w:rsidRPr="004004C7" w:rsidR="004004C7" w:rsidP="004004C7" w:rsidRDefault="004004C7" w14:paraId="7424472F"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ECBBD54"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Selling and marketing (“S&amp;M”) expenses decreased by 6.6%, from RMB301.3 million in FY2024 to RMB281.4 million in FY2025. This decline was mainly attributed to higher S&amp;M spending in FY2024, driven by increased market promotion to strengthen market position and brand recognition, and to address intensified competition following additional approvals for human rabies vaccines in China.</w:t>
      </w:r>
    </w:p>
    <w:p w:rsidRPr="004004C7" w:rsidR="004004C7" w:rsidP="004004C7" w:rsidRDefault="004004C7" w14:paraId="592AFEA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17937C5"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General and Administrative Expenses</w:t>
      </w:r>
    </w:p>
    <w:p w:rsidRPr="004004C7" w:rsidR="004004C7" w:rsidP="004004C7" w:rsidRDefault="004004C7" w14:paraId="025D6340"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53B54A31"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General and administrative expenses decreased by 7.9%, from RMB140.1 million in FY2024 to RMB129.0 million in FY2025. This reduction was primarily due to ongoing improvements in our cost control framework, achieved through systematic implementation of cost-saving and efficiency initiatives. These include optimization of management processes, tightening control over non-core spending, and improving resource utilization.</w:t>
      </w:r>
    </w:p>
    <w:p w:rsidRPr="004004C7" w:rsidR="004004C7" w:rsidP="004004C7" w:rsidRDefault="004004C7" w14:paraId="6CEC1FA1"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39864E90"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Research and Development Expenses</w:t>
      </w:r>
    </w:p>
    <w:p w:rsidRPr="004004C7" w:rsidR="004004C7" w:rsidP="004004C7" w:rsidRDefault="004004C7" w14:paraId="7080B384"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1473BA8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Research and development (“R&amp;D”) expenses in FY 2025 were RMB146.4 million, down from RMB302.8 million in FY2024, mainly due to: 1) the termination of COVID-19 vaccine commercialization, which led to reduced related testing and clinical costs; and 2) lower R&amp;D spending on the PIKA rabies vaccine as the trial progressed to a later stage, follow-ups completed and focus shifted to lower cost data analysis.</w:t>
      </w:r>
    </w:p>
    <w:p w:rsidRPr="004004C7" w:rsidR="004004C7" w:rsidP="004004C7" w:rsidRDefault="004004C7" w14:paraId="36C886C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5E6FB59"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Impairment Loss on Inventory, Property, Plant and Equipment, and Other Assets</w:t>
      </w:r>
    </w:p>
    <w:p w:rsidRPr="004004C7" w:rsidR="004004C7" w:rsidP="004004C7" w:rsidRDefault="004004C7" w14:paraId="49455F9F"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05722BE2"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Impairment loss on inventory, property, plant and equipment, and other assets decreased by 76.7%, from RMB157.4 million in FY2024 to RMB36.7 million in FY2025. This decrease was mainly attributed to the smaller reduction in PP&amp;E impairment of equipment related to COVID-19 vaccines recognized in the current Fiscal Year compared to FY2024.</w:t>
      </w:r>
    </w:p>
    <w:p w:rsidRPr="004004C7" w:rsidR="004004C7" w:rsidP="004004C7" w:rsidRDefault="004004C7" w14:paraId="080A3DC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0BF058AE"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EBITDA and Adjusted EBITDA</w:t>
      </w:r>
    </w:p>
    <w:p w:rsidRPr="004004C7" w:rsidR="004004C7" w:rsidP="004004C7" w:rsidRDefault="004004C7" w14:paraId="1E86C1D6"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2C6F22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EBITDA</w:t>
      </w:r>
      <w:r w:rsidRPr="004004C7">
        <w:rPr>
          <w:rFonts w:eastAsia="Times New Roman" w:cs="Times New Roman"/>
          <w:kern w:val="0"/>
          <w:szCs w:val="20"/>
          <w:vertAlign w:val="superscript"/>
          <w14:ligatures w14:val="none"/>
        </w:rPr>
        <w:t>1</w:t>
      </w:r>
      <w:r w:rsidRPr="004004C7">
        <w:rPr>
          <w:rFonts w:eastAsia="Times New Roman" w:cs="Times New Roman"/>
          <w:kern w:val="0"/>
          <w:szCs w:val="20"/>
          <w14:ligatures w14:val="none"/>
        </w:rPr>
        <w:t xml:space="preserve"> and Adjusted EBITDA</w:t>
      </w:r>
      <w:r w:rsidRPr="004004C7">
        <w:rPr>
          <w:rFonts w:eastAsia="Times New Roman" w:cs="Times New Roman"/>
          <w:kern w:val="0"/>
          <w:szCs w:val="20"/>
          <w:vertAlign w:val="superscript"/>
          <w14:ligatures w14:val="none"/>
        </w:rPr>
        <w:t>2</w:t>
      </w:r>
      <w:r w:rsidRPr="004004C7">
        <w:rPr>
          <w:rFonts w:eastAsia="Times New Roman" w:cs="Times New Roman"/>
          <w:kern w:val="0"/>
          <w:szCs w:val="20"/>
          <w14:ligatures w14:val="none"/>
        </w:rPr>
        <w:t xml:space="preserve"> were RMB(48.5 million) and RMB0.6 million, compared to RMB(368.7 million) and RMB(236.4 million) respectively, in FY2024.</w:t>
      </w:r>
    </w:p>
    <w:p w:rsidRPr="004004C7" w:rsidR="004004C7" w:rsidP="004004C7" w:rsidRDefault="004004C7" w14:paraId="15459479"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295D9D8E"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3</w:t>
      </w:r>
    </w:p>
    <w:p w:rsidRPr="004004C7" w:rsidR="004004C7" w:rsidP="004004C7" w:rsidRDefault="004004C7" w14:paraId="077221E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08AB80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24C22DEC"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Loss from Operations</w:t>
      </w:r>
    </w:p>
    <w:p w:rsidRPr="004004C7" w:rsidR="004004C7" w:rsidP="004004C7" w:rsidRDefault="004004C7" w14:paraId="4868809D"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6C1AE49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Operating loss was RMB86.3 million, significantly lower than an operating loss of RMB445.8 million in FY2024.</w:t>
      </w:r>
    </w:p>
    <w:p w:rsidRPr="004004C7" w:rsidR="004004C7" w:rsidP="004004C7" w:rsidRDefault="004004C7" w14:paraId="5EC17C94"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FD52B48"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Net Loss and Adjusted Net Loss</w:t>
      </w:r>
    </w:p>
    <w:p w:rsidRPr="004004C7" w:rsidR="004004C7" w:rsidP="004004C7" w:rsidRDefault="004004C7" w14:paraId="6FEA4A1C"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0A2A1607"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Net loss was RMB100.0 million, and adjusted net loss</w:t>
      </w:r>
      <w:r w:rsidRPr="004004C7">
        <w:rPr>
          <w:rFonts w:eastAsia="Times New Roman" w:cs="Times New Roman"/>
          <w:kern w:val="0"/>
          <w:szCs w:val="20"/>
          <w:vertAlign w:val="superscript"/>
          <w14:ligatures w14:val="none"/>
        </w:rPr>
        <w:t>3</w:t>
      </w:r>
      <w:r w:rsidRPr="004004C7">
        <w:rPr>
          <w:rFonts w:eastAsia="Times New Roman" w:cs="Times New Roman"/>
          <w:kern w:val="0"/>
          <w:szCs w:val="20"/>
          <w14:ligatures w14:val="none"/>
        </w:rPr>
        <w:t xml:space="preserve"> was RMB40.0 million, in contrast to net loss of RMB433.5 million and adjusted net loss</w:t>
      </w:r>
      <w:r w:rsidRPr="004004C7">
        <w:rPr>
          <w:rFonts w:eastAsia="Times New Roman" w:cs="Times New Roman"/>
          <w:kern w:val="0"/>
          <w:szCs w:val="20"/>
          <w:vertAlign w:val="superscript"/>
          <w14:ligatures w14:val="none"/>
        </w:rPr>
        <w:t>3</w:t>
      </w:r>
      <w:r w:rsidRPr="004004C7">
        <w:rPr>
          <w:rFonts w:eastAsia="Times New Roman" w:cs="Times New Roman"/>
          <w:kern w:val="0"/>
          <w:szCs w:val="20"/>
          <w14:ligatures w14:val="none"/>
        </w:rPr>
        <w:t xml:space="preserve"> of RMB266.3 million, respectively, in FY2024.</w:t>
      </w:r>
    </w:p>
    <w:p w:rsidRPr="004004C7" w:rsidR="004004C7" w:rsidP="004004C7" w:rsidRDefault="004004C7" w14:paraId="0B9BB5C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F9965B6"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Balance Sheet</w:t>
      </w:r>
    </w:p>
    <w:p w:rsidRPr="004004C7" w:rsidR="004004C7" w:rsidP="004004C7" w:rsidRDefault="004004C7" w14:paraId="6ADFEFD3"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C006378"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lastRenderedPageBreak/>
        <w:t>As of March 31, 2025, the Company had cash and cash equivalents of RMB107.5 million, compared to RMB246.6 million as of March 31, 2024. Our short-term loan and borrowings reached RMB390.4 million, compared to RMB318.5 million as of March 31, 2024.</w:t>
      </w:r>
    </w:p>
    <w:p w:rsidRPr="004004C7" w:rsidR="004004C7" w:rsidP="004004C7" w:rsidRDefault="004004C7" w14:paraId="25F4C92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3AD515B0"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Business Outlook</w:t>
      </w:r>
    </w:p>
    <w:p w:rsidRPr="004004C7" w:rsidR="004004C7" w:rsidP="004004C7" w:rsidRDefault="004004C7" w14:paraId="1BADCFD7"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760B28D8"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The Company anticipates total revenue in FY2026 to be between approximately RMB550 million and RMB650 million.</w:t>
      </w:r>
    </w:p>
    <w:p w:rsidRPr="004004C7" w:rsidR="004004C7" w:rsidP="004004C7" w:rsidRDefault="004004C7" w14:paraId="252ADA16"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77FD3BF4"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The above outlook is based on the information available as of the date of this press release and reflects the Company’s current and preliminary expectations regarding its business situation and market conditions. The outlook is subject to changes, especially given uncertainties and situations related to market competitive dynamics, regulatory policies and other factors beyond its control.</w:t>
      </w:r>
    </w:p>
    <w:p w:rsidRPr="004004C7" w:rsidR="004004C7" w:rsidP="004004C7" w:rsidRDefault="004004C7" w14:paraId="48F2082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082FE4F0"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About LakeShore Biopharma</w:t>
      </w:r>
    </w:p>
    <w:p w:rsidRPr="004004C7" w:rsidR="004004C7" w:rsidP="004004C7" w:rsidRDefault="004004C7" w14:paraId="306E8F13"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1C73951C"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LakeShore Biopharma, previously known as YS Biopharma, is a global biopharmaceutical company dedicated to discovering, developing, manufacturing, and delivering new generations of vaccines and therapeutic biologics for infectious diseases and cancer. It has developed a proprietary PIKA® immunomodulating technology platform and a new generation of preventive and therapeutic biologics targeting Rabies, Hepatitis B, Influenza, and other virus infections. The Company operates in China, Singapore, and the Philippines, and is led by a management team that combines rich local expertise and global experience in the biopharmaceutical industry. For more information, please visit https://investor.lakeshorebio.com/.</w:t>
      </w:r>
    </w:p>
    <w:p w:rsidRPr="004004C7" w:rsidR="004004C7" w:rsidP="004004C7" w:rsidRDefault="004004C7" w14:paraId="192C1869"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BB12153"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Use of Non-GAAP Financial Measures</w:t>
      </w:r>
    </w:p>
    <w:p w:rsidRPr="004004C7" w:rsidR="004004C7" w:rsidP="004004C7" w:rsidRDefault="004004C7" w14:paraId="65585B4C"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09B34CE7"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In evaluating the business, the Company considers and uses certain non-GAAP measures, including Adjusted EBITDA and adjusted net income (loss), as supplemental measures to review and assess its operating performance. The presentation of the non-GAAP financial measure is not intended to be considered in isolation or as a substitute for the financial information prepared and presented in accordance with U.S. GAAP. The Company defines Adjusted EBITDA as net income (loss) before income tax benefit (expense), financial expenses, and depreciation and amortization (“EBITDA”) adjusted to exclude share-based compensation expenses, impairment loss on inventory, property, plant and equipment and other assets, late fees related to social security insurance, other income (expense), fair value changes of warrant liability, and government grants. The Company defines adjusted net income (loss) as net income (loss) excluding share-based compensation expenses, impairment loss on inventory, property, plant and equipment and other assets, and loss on disposal of property, plant and equipment. The Company presents the non-GAAP financial measures because they are used by the management to evaluate the operating performance and formulate business plans. The Company also believes that the use of the non-GAAP measures facilitates investors’ assessment of its operating performance as this measure excludes certain finance or non-cash items that the Company does not believe directly reflect its core operations. The Company believes that excluding these items enables us to evaluate our performance period-over-period more effectively and relative to our competitors.</w:t>
      </w:r>
    </w:p>
    <w:p w:rsidRPr="004004C7" w:rsidR="004004C7" w:rsidP="004004C7" w:rsidRDefault="004004C7" w14:paraId="3E99E8AC"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317FF583"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4</w:t>
      </w:r>
    </w:p>
    <w:p w:rsidRPr="004004C7" w:rsidR="004004C7" w:rsidP="004004C7" w:rsidRDefault="004004C7" w14:paraId="14FA731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71D09CC"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600DC0E8"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The non-GAAP financial measures are not defined under U.S. GAAP and are not presented in accordance with U.S. GAAP. The non-GAAP financial measures have limitations as analytical tools. One of the key limitations of using Adjusted EBITDA is that it does not reflect all items of income and expenses that affect the Company’s operations. Share-based compensation, impairment loss on inventory, property, plant and equipment and other assets, Loss on disposal of Property, plant and equipment have been and may continue to be incurred in the business. Further, the non-GAAP measures may differ from the non-GAAP information used by other companies, including peer companies, and therefore their comparability may be limited.</w:t>
      </w:r>
    </w:p>
    <w:p w:rsidRPr="004004C7" w:rsidR="004004C7" w:rsidP="004004C7" w:rsidRDefault="004004C7" w14:paraId="0AAE7068"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11AFD60"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The Company compensates for these limitations by reconciling the non-GAAP financial measure to the nearest U.S. GAAP performance measure, all of which should be considered when evaluating the Company’s performance. The Company encourages you to review its financial information in its entirety and not rely on a single financial measure.</w:t>
      </w:r>
    </w:p>
    <w:p w:rsidRPr="004004C7" w:rsidR="004004C7" w:rsidP="004004C7" w:rsidRDefault="004004C7" w14:paraId="63774389"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lastRenderedPageBreak/>
        <w:t> </w:t>
      </w:r>
    </w:p>
    <w:p w:rsidRPr="004004C7" w:rsidR="004004C7" w:rsidP="004004C7" w:rsidRDefault="004004C7" w14:paraId="7166BBA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Reconciliations of LakeShore Biopharma’s non-GAAP financial measures to the most comparable U.S. GAAP measure are included at the end of this press release.</w:t>
      </w:r>
    </w:p>
    <w:p w:rsidRPr="004004C7" w:rsidR="004004C7" w:rsidP="004004C7" w:rsidRDefault="004004C7" w14:paraId="0D3AE50B"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771A0F4"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Exchange Rate Information</w:t>
      </w:r>
    </w:p>
    <w:p w:rsidRPr="004004C7" w:rsidR="004004C7" w:rsidP="004004C7" w:rsidRDefault="004004C7" w14:paraId="4D386ED5"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0900B21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This announcement contains translations of certain RMB amounts into U.S. dollars at a specified rate solely for the convenience of the reader. Unless otherwise noted, all translations from RMB to U.S. dollars are made at a rate of RMB7.1782 to US$1.00, the exchange rate set forth in the central parity rate release of the People’s Bank of China on March 31, 2025.</w:t>
      </w:r>
    </w:p>
    <w:p w:rsidRPr="004004C7" w:rsidR="004004C7" w:rsidP="004004C7" w:rsidRDefault="004004C7" w14:paraId="7ABC74CA"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2AD96D2F"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Cautionary Statement Regarding Forward-Looking Statements</w:t>
      </w:r>
    </w:p>
    <w:p w:rsidRPr="004004C7" w:rsidR="004004C7" w:rsidP="004004C7" w:rsidRDefault="004004C7" w14:paraId="723E6B07"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5F9CEC45"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This press release contains “forward-looking statements” within the meaning of Section 27A of the Securities Act of 1933, as amended, Section 21E of the Securities Exchange Act of 1934, as amended, and the Private Securities Litigation Reform Act of 1995. All statements other than statements of historical or current fact included in this press release are forward-looking statements, including but not limited to statements regarding the expected growth and business outlook of LakeShore Biopharma, the development progress of all product candidates, the progress and results of all clinical trials, LakeShore Biopharma’s ability to source and retain talent, and the cash position of LakeShore Biopharma. Forward-looking statements may be identified by the use of words such as “estimate,” “plan,” “project,” “potential,” “forecast,” “intend,” “will,” “expect,” “anticipate,” “believe,” “goal,” “seek,” “target” or other similar expressions that predict or indicate future events or trends or that are not statements of historical matters. These statements are based on various assumptions, whether identified in this press release, and on the current expectations of LakeShore Biopharma’s management and are not predictions of actual performance.</w:t>
      </w:r>
    </w:p>
    <w:p w:rsidRPr="004004C7" w:rsidR="004004C7" w:rsidP="004004C7" w:rsidRDefault="004004C7" w14:paraId="2220EF4E"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64894DD0"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LakeShore Biopharma cannot assure you the forward-looking statements in this press release will be accurate. These forward-looking statements are subject to a number of risks and uncertainties, including those included under the heading “Risk Factors” in the company's Annual Report on Form 20-F filed with the Securities and Exchange Commission, or SEC, and other risks described in documents subsequently filed by the company from time to time with the SEC. There may be additional risks that LakeShore Biopharma does not presently know or that LakeShore Biopharma currently believes are immaterial that could also cause actual results to differ from those contained in the forward-looking statements. In light of the significant uncertainties in these forward-looking statements, nothing in this press release should be regarded as a representation by any person that the forward-looking statements set forth herein will be achieved or that any of the contemplated results of such forward-looking statements will be achieved. The forward-looking statements in this press release represent the views of LakeShore Biopharma as of the date of this press release. Subsequent events and developments may cause those views to change. However, while LakeShore Biopharma may update these forward-looking statements in the future, there is no current intention to do so, except to the extent required by applicable law. You should, therefore, not rely on these forward-looking statements as representing the views of LakeShore Biopharma as of any date subsequent to the date of this press release. Except as may be required by law, LakeShore Biopharma does not undertake any duty to update these forward-looking statements.</w:t>
      </w:r>
    </w:p>
    <w:p w:rsidRPr="004004C7" w:rsidR="004004C7" w:rsidP="004004C7" w:rsidRDefault="004004C7" w14:paraId="027B1389" w14:textId="77777777">
      <w:pPr>
        <w:jc w:val="both"/>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6A9229F" w14:textId="77777777">
      <w:pPr>
        <w:jc w:val="both"/>
        <w:rPr>
          <w:rFonts w:eastAsia="Times New Roman" w:cs="Times New Roman"/>
          <w:kern w:val="0"/>
          <w:szCs w:val="20"/>
          <w14:ligatures w14:val="none"/>
        </w:rPr>
      </w:pPr>
      <w:r w:rsidRPr="004004C7">
        <w:rPr>
          <w:rFonts w:eastAsia="Times New Roman" w:cs="Times New Roman"/>
          <w:b/>
          <w:bCs/>
          <w:kern w:val="0"/>
          <w:szCs w:val="20"/>
          <w14:ligatures w14:val="none"/>
        </w:rPr>
        <w:t>Investor Relations Contact</w:t>
      </w:r>
    </w:p>
    <w:p w:rsidRPr="004004C7" w:rsidR="004004C7" w:rsidP="004004C7" w:rsidRDefault="004004C7" w14:paraId="61A1FBEA" w14:textId="77777777">
      <w:pPr>
        <w:rPr>
          <w:rFonts w:eastAsia="Times New Roman" w:cs="Times New Roman"/>
          <w:kern w:val="0"/>
          <w:szCs w:val="20"/>
          <w14:ligatures w14:val="none"/>
        </w:rPr>
      </w:pPr>
      <w:r w:rsidRPr="004004C7">
        <w:rPr>
          <w:rFonts w:eastAsia="Times New Roman" w:cs="Times New Roman"/>
          <w:kern w:val="0"/>
          <w:szCs w:val="20"/>
          <w14:ligatures w14:val="none"/>
        </w:rPr>
        <w:t>IR Team</w:t>
      </w:r>
      <w:r w:rsidRPr="004004C7">
        <w:rPr>
          <w:rFonts w:eastAsia="Times New Roman" w:cs="Times New Roman"/>
          <w:kern w:val="0"/>
          <w:szCs w:val="20"/>
          <w14:ligatures w14:val="none"/>
        </w:rPr>
        <w:br/>
        <w:t>Tel: +86 (10) 8920-2086</w:t>
      </w:r>
      <w:r w:rsidRPr="004004C7">
        <w:rPr>
          <w:rFonts w:eastAsia="Times New Roman" w:cs="Times New Roman"/>
          <w:kern w:val="0"/>
          <w:szCs w:val="20"/>
          <w14:ligatures w14:val="none"/>
        </w:rPr>
        <w:br/>
        <w:t>Email: ir@lakeshorebio.com</w:t>
      </w:r>
    </w:p>
    <w:p w:rsidRPr="004004C7" w:rsidR="004004C7" w:rsidP="004004C7" w:rsidRDefault="004004C7" w14:paraId="1E4A1BC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1C192825"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5</w:t>
      </w:r>
    </w:p>
    <w:p w:rsidRPr="004004C7" w:rsidR="004004C7" w:rsidP="004004C7" w:rsidRDefault="004004C7" w14:paraId="0C25CE6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216C6A1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572F9773"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LAKESHORE BIOPHARMA CO., LTD AND SUBSIDIARIES</w:t>
      </w:r>
    </w:p>
    <w:p w:rsidRPr="004004C7" w:rsidR="004004C7" w:rsidP="004004C7" w:rsidRDefault="004004C7" w14:paraId="57D20A77"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CONSOLIDATED BALANCE SHEET (AUDITED)</w:t>
      </w:r>
    </w:p>
    <w:p w:rsidRPr="004004C7" w:rsidR="004004C7" w:rsidP="004004C7" w:rsidRDefault="004004C7" w14:paraId="2FE86274"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 </w:t>
      </w:r>
    </w:p>
    <w:tbl>
      <w:tblPr>
        <w:tblW w:w="5000" w:type="pct"/>
        <w:tblCellMar>
          <w:left w:w="0" w:type="dxa"/>
          <w:right w:w="0" w:type="dxa"/>
        </w:tblCellMar>
        <w:tblLook w:val="04A0" w:firstRow="1" w:lastRow="0" w:firstColumn="1" w:lastColumn="0" w:noHBand="0" w:noVBand="1"/>
      </w:tblPr>
      <w:tblGrid>
        <w:gridCol w:w="5308"/>
        <w:gridCol w:w="50"/>
        <w:gridCol w:w="50"/>
        <w:gridCol w:w="1217"/>
        <w:gridCol w:w="67"/>
        <w:gridCol w:w="50"/>
        <w:gridCol w:w="50"/>
        <w:gridCol w:w="1217"/>
        <w:gridCol w:w="67"/>
        <w:gridCol w:w="50"/>
        <w:gridCol w:w="100"/>
        <w:gridCol w:w="1067"/>
        <w:gridCol w:w="67"/>
      </w:tblGrid>
      <w:tr w:rsidRPr="004004C7" w:rsidR="004004C7" w:rsidTr="004004C7" w14:paraId="1D98A92E" w14:textId="77777777">
        <w:tc>
          <w:tcPr>
            <w:tcW w:w="0" w:type="auto"/>
            <w:vAlign w:val="bottom"/>
            <w:hideMark/>
          </w:tcPr>
          <w:p w:rsidRPr="004004C7" w:rsidR="004004C7" w:rsidP="004004C7" w:rsidRDefault="004004C7" w14:paraId="0115D33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3D5474A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10"/>
            <w:tcBorders>
              <w:bottom w:val="single" w:color="000000" w:sz="12" w:space="0"/>
            </w:tcBorders>
            <w:vAlign w:val="bottom"/>
            <w:hideMark/>
          </w:tcPr>
          <w:p w:rsidRPr="004004C7" w:rsidR="004004C7" w:rsidP="004004C7" w:rsidRDefault="004004C7" w14:paraId="6C0B8FFE"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As of March 31,</w:t>
            </w:r>
          </w:p>
        </w:tc>
        <w:tc>
          <w:tcPr>
            <w:tcW w:w="0" w:type="auto"/>
            <w:tcMar>
              <w:top w:w="0" w:type="dxa"/>
              <w:left w:w="0" w:type="dxa"/>
              <w:bottom w:w="30" w:type="dxa"/>
              <w:right w:w="0" w:type="dxa"/>
            </w:tcMar>
            <w:vAlign w:val="bottom"/>
            <w:hideMark/>
          </w:tcPr>
          <w:p w:rsidRPr="004004C7" w:rsidR="004004C7" w:rsidP="004004C7" w:rsidRDefault="004004C7" w14:paraId="129FF57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449502EB" w14:textId="77777777">
        <w:tc>
          <w:tcPr>
            <w:tcW w:w="0" w:type="auto"/>
            <w:vAlign w:val="bottom"/>
            <w:hideMark/>
          </w:tcPr>
          <w:p w:rsidRPr="004004C7" w:rsidR="004004C7" w:rsidP="004004C7" w:rsidRDefault="004004C7" w14:paraId="049F001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62D4071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7B1FE94B"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2024</w:t>
            </w:r>
          </w:p>
        </w:tc>
        <w:tc>
          <w:tcPr>
            <w:tcW w:w="0" w:type="auto"/>
            <w:tcMar>
              <w:top w:w="0" w:type="dxa"/>
              <w:left w:w="0" w:type="dxa"/>
              <w:bottom w:w="30" w:type="dxa"/>
              <w:right w:w="0" w:type="dxa"/>
            </w:tcMar>
            <w:vAlign w:val="bottom"/>
            <w:hideMark/>
          </w:tcPr>
          <w:p w:rsidRPr="004004C7" w:rsidR="004004C7" w:rsidP="004004C7" w:rsidRDefault="004004C7" w14:paraId="1245E57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1E80225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34B2ABAA"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0" w:type="auto"/>
            <w:tcMar>
              <w:top w:w="0" w:type="dxa"/>
              <w:left w:w="0" w:type="dxa"/>
              <w:bottom w:w="30" w:type="dxa"/>
              <w:right w:w="0" w:type="dxa"/>
            </w:tcMar>
            <w:vAlign w:val="bottom"/>
            <w:hideMark/>
          </w:tcPr>
          <w:p w:rsidRPr="004004C7" w:rsidR="004004C7" w:rsidP="004004C7" w:rsidRDefault="004004C7" w14:paraId="457071D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05CC6A8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0E205919"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0" w:type="auto"/>
            <w:tcMar>
              <w:top w:w="0" w:type="dxa"/>
              <w:left w:w="0" w:type="dxa"/>
              <w:bottom w:w="30" w:type="dxa"/>
              <w:right w:w="0" w:type="dxa"/>
            </w:tcMar>
            <w:vAlign w:val="bottom"/>
            <w:hideMark/>
          </w:tcPr>
          <w:p w:rsidRPr="004004C7" w:rsidR="004004C7" w:rsidP="004004C7" w:rsidRDefault="004004C7" w14:paraId="0A06DE9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5C6FFCDC" w14:textId="77777777">
        <w:tc>
          <w:tcPr>
            <w:tcW w:w="0" w:type="auto"/>
            <w:vAlign w:val="bottom"/>
            <w:hideMark/>
          </w:tcPr>
          <w:p w:rsidRPr="004004C7" w:rsidR="004004C7" w:rsidP="004004C7" w:rsidRDefault="004004C7" w14:paraId="239DCB9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779807A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1E6A09BA"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6503F4D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63D3E45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52ECE04F"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646621B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3D27923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32202430"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(US$)</w:t>
            </w:r>
          </w:p>
        </w:tc>
        <w:tc>
          <w:tcPr>
            <w:tcW w:w="0" w:type="auto"/>
            <w:vAlign w:val="bottom"/>
            <w:hideMark/>
          </w:tcPr>
          <w:p w:rsidRPr="004004C7" w:rsidR="004004C7" w:rsidP="004004C7" w:rsidRDefault="004004C7" w14:paraId="16191CB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5E3EC624" w14:textId="77777777">
        <w:tc>
          <w:tcPr>
            <w:tcW w:w="0" w:type="auto"/>
            <w:vAlign w:val="bottom"/>
            <w:hideMark/>
          </w:tcPr>
          <w:p w:rsidRPr="004004C7" w:rsidR="004004C7" w:rsidP="004004C7" w:rsidRDefault="004004C7" w14:paraId="4F44765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lastRenderedPageBreak/>
              <w:t>ASSETS</w:t>
            </w:r>
          </w:p>
        </w:tc>
        <w:tc>
          <w:tcPr>
            <w:tcW w:w="0" w:type="auto"/>
            <w:vAlign w:val="bottom"/>
            <w:hideMark/>
          </w:tcPr>
          <w:p w:rsidRPr="004004C7" w:rsidR="004004C7" w:rsidP="004004C7" w:rsidRDefault="004004C7" w14:paraId="107CA91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gridSpan w:val="2"/>
            <w:vAlign w:val="bottom"/>
            <w:hideMark/>
          </w:tcPr>
          <w:p w:rsidRPr="004004C7" w:rsidR="004004C7" w:rsidP="004004C7" w:rsidRDefault="004004C7" w14:paraId="196FCE1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71432A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38D240E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gridSpan w:val="2"/>
            <w:vAlign w:val="bottom"/>
            <w:hideMark/>
          </w:tcPr>
          <w:p w:rsidRPr="004004C7" w:rsidR="004004C7" w:rsidP="004004C7" w:rsidRDefault="004004C7" w14:paraId="7511AFE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4296B2D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2A5704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gridSpan w:val="2"/>
            <w:vAlign w:val="bottom"/>
            <w:hideMark/>
          </w:tcPr>
          <w:p w:rsidRPr="004004C7" w:rsidR="004004C7" w:rsidP="004004C7" w:rsidRDefault="004004C7" w14:paraId="6749C1B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13988BF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4FC0589"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2944487E"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Current assets</w:t>
            </w:r>
          </w:p>
        </w:tc>
        <w:tc>
          <w:tcPr>
            <w:tcW w:w="0" w:type="auto"/>
            <w:shd w:val="clear" w:color="auto" w:fill="FFFFFF"/>
            <w:vAlign w:val="bottom"/>
            <w:hideMark/>
          </w:tcPr>
          <w:p w:rsidRPr="004004C7" w:rsidR="004004C7" w:rsidP="004004C7" w:rsidRDefault="004004C7" w14:paraId="3B9DD57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112882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EFDFEC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1251F5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8304C2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FE594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56CF56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00EA1D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C62BA5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294BA7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EC304B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A986F8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64428E0" w14:textId="77777777">
        <w:tc>
          <w:tcPr>
            <w:tcW w:w="3200" w:type="pct"/>
            <w:shd w:val="clear" w:color="auto" w:fill="CCEEFF"/>
            <w:tcMar>
              <w:top w:w="0" w:type="dxa"/>
              <w:left w:w="360" w:type="dxa"/>
              <w:bottom w:w="0" w:type="dxa"/>
              <w:right w:w="0" w:type="dxa"/>
            </w:tcMar>
            <w:vAlign w:val="bottom"/>
            <w:hideMark/>
          </w:tcPr>
          <w:p w:rsidRPr="004004C7" w:rsidR="004004C7" w:rsidP="004004C7" w:rsidRDefault="004004C7" w14:paraId="536D0AAC"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Cash</w:t>
            </w:r>
          </w:p>
        </w:tc>
        <w:tc>
          <w:tcPr>
            <w:tcW w:w="50" w:type="pct"/>
            <w:shd w:val="clear" w:color="auto" w:fill="CCEEFF"/>
            <w:vAlign w:val="bottom"/>
            <w:hideMark/>
          </w:tcPr>
          <w:p w:rsidRPr="004004C7" w:rsidR="004004C7" w:rsidP="004004C7" w:rsidRDefault="004004C7" w14:paraId="193F414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50" w:type="pct"/>
            <w:shd w:val="clear" w:color="auto" w:fill="CCEEFF"/>
            <w:vAlign w:val="bottom"/>
            <w:hideMark/>
          </w:tcPr>
          <w:p w:rsidRPr="004004C7" w:rsidR="004004C7" w:rsidP="004004C7" w:rsidRDefault="004004C7" w14:paraId="2AB7FDA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450" w:type="pct"/>
            <w:shd w:val="clear" w:color="auto" w:fill="CCEEFF"/>
            <w:vAlign w:val="bottom"/>
            <w:hideMark/>
          </w:tcPr>
          <w:p w:rsidRPr="004004C7" w:rsidR="004004C7" w:rsidP="004004C7" w:rsidRDefault="004004C7" w14:paraId="6F8A1C9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246,351,231</w:t>
            </w:r>
          </w:p>
        </w:tc>
        <w:tc>
          <w:tcPr>
            <w:tcW w:w="50" w:type="pct"/>
            <w:shd w:val="clear" w:color="auto" w:fill="CCEEFF"/>
            <w:vAlign w:val="bottom"/>
            <w:hideMark/>
          </w:tcPr>
          <w:p w:rsidRPr="004004C7" w:rsidR="004004C7" w:rsidP="004004C7" w:rsidRDefault="004004C7" w14:paraId="2076FC6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50" w:type="pct"/>
            <w:shd w:val="clear" w:color="auto" w:fill="CCEEFF"/>
            <w:vAlign w:val="bottom"/>
            <w:hideMark/>
          </w:tcPr>
          <w:p w:rsidRPr="004004C7" w:rsidR="004004C7" w:rsidP="004004C7" w:rsidRDefault="004004C7" w14:paraId="0FBD12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50" w:type="pct"/>
            <w:shd w:val="clear" w:color="auto" w:fill="CCEEFF"/>
            <w:vAlign w:val="bottom"/>
            <w:hideMark/>
          </w:tcPr>
          <w:p w:rsidRPr="004004C7" w:rsidR="004004C7" w:rsidP="004004C7" w:rsidRDefault="004004C7" w14:paraId="637966E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450" w:type="pct"/>
            <w:shd w:val="clear" w:color="auto" w:fill="CCEEFF"/>
            <w:vAlign w:val="bottom"/>
            <w:hideMark/>
          </w:tcPr>
          <w:p w:rsidRPr="004004C7" w:rsidR="004004C7" w:rsidP="004004C7" w:rsidRDefault="004004C7" w14:paraId="436D43F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28,083,556</w:t>
            </w:r>
          </w:p>
        </w:tc>
        <w:tc>
          <w:tcPr>
            <w:tcW w:w="50" w:type="pct"/>
            <w:shd w:val="clear" w:color="auto" w:fill="CCEEFF"/>
            <w:vAlign w:val="bottom"/>
            <w:hideMark/>
          </w:tcPr>
          <w:p w:rsidRPr="004004C7" w:rsidR="004004C7" w:rsidP="004004C7" w:rsidRDefault="004004C7" w14:paraId="51D566B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50" w:type="pct"/>
            <w:shd w:val="clear" w:color="auto" w:fill="CCEEFF"/>
            <w:vAlign w:val="bottom"/>
            <w:hideMark/>
          </w:tcPr>
          <w:p w:rsidRPr="004004C7" w:rsidR="004004C7" w:rsidP="004004C7" w:rsidRDefault="004004C7" w14:paraId="02D1A03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50" w:type="pct"/>
            <w:shd w:val="clear" w:color="auto" w:fill="CCEEFF"/>
            <w:vAlign w:val="bottom"/>
            <w:hideMark/>
          </w:tcPr>
          <w:p w:rsidRPr="004004C7" w:rsidR="004004C7" w:rsidP="004004C7" w:rsidRDefault="004004C7" w14:paraId="3EFB565C"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450" w:type="pct"/>
            <w:shd w:val="clear" w:color="auto" w:fill="CCEEFF"/>
            <w:vAlign w:val="bottom"/>
            <w:hideMark/>
          </w:tcPr>
          <w:p w:rsidRPr="004004C7" w:rsidR="004004C7" w:rsidP="004004C7" w:rsidRDefault="004004C7" w14:paraId="4B2CEA1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3,912,340</w:t>
            </w:r>
          </w:p>
        </w:tc>
        <w:tc>
          <w:tcPr>
            <w:tcW w:w="50" w:type="pct"/>
            <w:shd w:val="clear" w:color="auto" w:fill="CCEEFF"/>
            <w:vAlign w:val="bottom"/>
            <w:hideMark/>
          </w:tcPr>
          <w:p w:rsidRPr="004004C7" w:rsidR="004004C7" w:rsidP="004004C7" w:rsidRDefault="004004C7" w14:paraId="151DE0C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D4DE799"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6FE0EE44"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Restricted cash</w:t>
            </w:r>
          </w:p>
        </w:tc>
        <w:tc>
          <w:tcPr>
            <w:tcW w:w="0" w:type="auto"/>
            <w:shd w:val="clear" w:color="auto" w:fill="FFFFFF"/>
            <w:vAlign w:val="bottom"/>
            <w:hideMark/>
          </w:tcPr>
          <w:p w:rsidRPr="004004C7" w:rsidR="004004C7" w:rsidP="004004C7" w:rsidRDefault="004004C7" w14:paraId="23219F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BE4D14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43D464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200,000</w:t>
            </w:r>
          </w:p>
        </w:tc>
        <w:tc>
          <w:tcPr>
            <w:tcW w:w="0" w:type="auto"/>
            <w:shd w:val="clear" w:color="auto" w:fill="FFFFFF"/>
            <w:vAlign w:val="bottom"/>
            <w:hideMark/>
          </w:tcPr>
          <w:p w:rsidRPr="004004C7" w:rsidR="004004C7" w:rsidP="004004C7" w:rsidRDefault="004004C7" w14:paraId="6DBE793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F3E432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2A3CE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130CEC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79,401,410</w:t>
            </w:r>
          </w:p>
        </w:tc>
        <w:tc>
          <w:tcPr>
            <w:tcW w:w="0" w:type="auto"/>
            <w:shd w:val="clear" w:color="auto" w:fill="FFFFFF"/>
            <w:vAlign w:val="bottom"/>
            <w:hideMark/>
          </w:tcPr>
          <w:p w:rsidRPr="004004C7" w:rsidR="004004C7" w:rsidP="004004C7" w:rsidRDefault="004004C7" w14:paraId="78789D7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63D2EC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439493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4BA752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11,061,465</w:t>
            </w:r>
          </w:p>
        </w:tc>
        <w:tc>
          <w:tcPr>
            <w:tcW w:w="0" w:type="auto"/>
            <w:shd w:val="clear" w:color="auto" w:fill="FFFFFF"/>
            <w:vAlign w:val="bottom"/>
            <w:hideMark/>
          </w:tcPr>
          <w:p w:rsidRPr="004004C7" w:rsidR="004004C7" w:rsidP="004004C7" w:rsidRDefault="004004C7" w14:paraId="502E5A6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FBAC137"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50BAA070"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Accounts receivable</w:t>
            </w:r>
          </w:p>
        </w:tc>
        <w:tc>
          <w:tcPr>
            <w:tcW w:w="0" w:type="auto"/>
            <w:shd w:val="clear" w:color="auto" w:fill="CCEEFF"/>
            <w:vAlign w:val="bottom"/>
            <w:hideMark/>
          </w:tcPr>
          <w:p w:rsidRPr="004004C7" w:rsidR="004004C7" w:rsidP="004004C7" w:rsidRDefault="004004C7" w14:paraId="22A9C9F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6B519E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CAFE70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444,161,291</w:t>
            </w:r>
          </w:p>
        </w:tc>
        <w:tc>
          <w:tcPr>
            <w:tcW w:w="0" w:type="auto"/>
            <w:shd w:val="clear" w:color="auto" w:fill="CCEEFF"/>
            <w:vAlign w:val="bottom"/>
            <w:hideMark/>
          </w:tcPr>
          <w:p w:rsidRPr="004004C7" w:rsidR="004004C7" w:rsidP="004004C7" w:rsidRDefault="004004C7" w14:paraId="133F845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6C3B9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DAE0F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99E06B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500,916,815</w:t>
            </w:r>
          </w:p>
        </w:tc>
        <w:tc>
          <w:tcPr>
            <w:tcW w:w="0" w:type="auto"/>
            <w:shd w:val="clear" w:color="auto" w:fill="CCEEFF"/>
            <w:vAlign w:val="bottom"/>
            <w:hideMark/>
          </w:tcPr>
          <w:p w:rsidRPr="004004C7" w:rsidR="004004C7" w:rsidP="004004C7" w:rsidRDefault="004004C7" w14:paraId="7E74AAD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CCBE14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48F8BD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1F3648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69,783,067</w:t>
            </w:r>
          </w:p>
        </w:tc>
        <w:tc>
          <w:tcPr>
            <w:tcW w:w="0" w:type="auto"/>
            <w:shd w:val="clear" w:color="auto" w:fill="CCEEFF"/>
            <w:vAlign w:val="bottom"/>
            <w:hideMark/>
          </w:tcPr>
          <w:p w:rsidRPr="004004C7" w:rsidR="004004C7" w:rsidP="004004C7" w:rsidRDefault="004004C7" w14:paraId="51658C0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C458DCB"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7A93236F"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Advance to suppliers</w:t>
            </w:r>
          </w:p>
        </w:tc>
        <w:tc>
          <w:tcPr>
            <w:tcW w:w="0" w:type="auto"/>
            <w:shd w:val="clear" w:color="auto" w:fill="FFFFFF"/>
            <w:vAlign w:val="bottom"/>
            <w:hideMark/>
          </w:tcPr>
          <w:p w:rsidRPr="004004C7" w:rsidR="004004C7" w:rsidP="004004C7" w:rsidRDefault="004004C7" w14:paraId="79C34BF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446194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044647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1,662,739</w:t>
            </w:r>
          </w:p>
        </w:tc>
        <w:tc>
          <w:tcPr>
            <w:tcW w:w="0" w:type="auto"/>
            <w:shd w:val="clear" w:color="auto" w:fill="FFFFFF"/>
            <w:vAlign w:val="bottom"/>
            <w:hideMark/>
          </w:tcPr>
          <w:p w:rsidRPr="004004C7" w:rsidR="004004C7" w:rsidP="004004C7" w:rsidRDefault="004004C7" w14:paraId="7ACF722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35C7B6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DF7ABF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18BD78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1,687,964</w:t>
            </w:r>
          </w:p>
        </w:tc>
        <w:tc>
          <w:tcPr>
            <w:tcW w:w="0" w:type="auto"/>
            <w:shd w:val="clear" w:color="auto" w:fill="FFFFFF"/>
            <w:vAlign w:val="bottom"/>
            <w:hideMark/>
          </w:tcPr>
          <w:p w:rsidRPr="004004C7" w:rsidR="004004C7" w:rsidP="004004C7" w:rsidRDefault="004004C7" w14:paraId="1CD8188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930EB3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4BBD14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45965A4"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235,151</w:t>
            </w:r>
          </w:p>
        </w:tc>
        <w:tc>
          <w:tcPr>
            <w:tcW w:w="0" w:type="auto"/>
            <w:shd w:val="clear" w:color="auto" w:fill="FFFFFF"/>
            <w:vAlign w:val="bottom"/>
            <w:hideMark/>
          </w:tcPr>
          <w:p w:rsidRPr="004004C7" w:rsidR="004004C7" w:rsidP="004004C7" w:rsidRDefault="004004C7" w14:paraId="349D294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81121D6"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635D6808"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Inventories</w:t>
            </w:r>
          </w:p>
        </w:tc>
        <w:tc>
          <w:tcPr>
            <w:tcW w:w="0" w:type="auto"/>
            <w:shd w:val="clear" w:color="auto" w:fill="CCEEFF"/>
            <w:vAlign w:val="bottom"/>
            <w:hideMark/>
          </w:tcPr>
          <w:p w:rsidRPr="004004C7" w:rsidR="004004C7" w:rsidP="004004C7" w:rsidRDefault="004004C7" w14:paraId="116CD91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7D12D8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ECD977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203,422,602</w:t>
            </w:r>
          </w:p>
        </w:tc>
        <w:tc>
          <w:tcPr>
            <w:tcW w:w="0" w:type="auto"/>
            <w:shd w:val="clear" w:color="auto" w:fill="CCEEFF"/>
            <w:vAlign w:val="bottom"/>
            <w:hideMark/>
          </w:tcPr>
          <w:p w:rsidRPr="004004C7" w:rsidR="004004C7" w:rsidP="004004C7" w:rsidRDefault="004004C7" w14:paraId="4039C71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397A3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B5656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A3D87D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227,591,892</w:t>
            </w:r>
          </w:p>
        </w:tc>
        <w:tc>
          <w:tcPr>
            <w:tcW w:w="0" w:type="auto"/>
            <w:shd w:val="clear" w:color="auto" w:fill="CCEEFF"/>
            <w:vAlign w:val="bottom"/>
            <w:hideMark/>
          </w:tcPr>
          <w:p w:rsidRPr="004004C7" w:rsidR="004004C7" w:rsidP="004004C7" w:rsidRDefault="004004C7" w14:paraId="5591BFB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373A8B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71B5B6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F8E54B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31,705,984</w:t>
            </w:r>
          </w:p>
        </w:tc>
        <w:tc>
          <w:tcPr>
            <w:tcW w:w="0" w:type="auto"/>
            <w:shd w:val="clear" w:color="auto" w:fill="CCEEFF"/>
            <w:vAlign w:val="bottom"/>
            <w:hideMark/>
          </w:tcPr>
          <w:p w:rsidRPr="004004C7" w:rsidR="004004C7" w:rsidP="004004C7" w:rsidRDefault="004004C7" w14:paraId="625593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B93DA64"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144BCB5D"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Prepaid expenses and other current assets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AC5603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4109D98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1E9FF6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7,370,089</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8F9096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4EBC57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402128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E8ECC9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4,536,363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74CACF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394DC0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0C9868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E3BCE2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631,964</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7607C7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26B6C09"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122DFD28"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current assets</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9559E4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4A6E7B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213EEA3"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903,167,952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51B69B8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57AAD9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E6184B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E2E4A88"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842,218,000</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0EE37A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DD89E1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A367FB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7CEC28F"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117,329,971</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20AC67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3A184CAC"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1E1C7BB4"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Non-current assets</w:t>
            </w:r>
          </w:p>
        </w:tc>
        <w:tc>
          <w:tcPr>
            <w:tcW w:w="0" w:type="auto"/>
            <w:shd w:val="clear" w:color="auto" w:fill="FFFFFF"/>
            <w:vAlign w:val="bottom"/>
            <w:hideMark/>
          </w:tcPr>
          <w:p w:rsidRPr="004004C7" w:rsidR="004004C7" w:rsidP="004004C7" w:rsidRDefault="004004C7" w14:paraId="45C2581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BBB6BC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022E5A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5D0CCC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64D90A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8B2B7F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B47ACF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7C412D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814A7E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B79961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280D0E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2DAAC7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E3ACFCD"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5142265E"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Property, plant and equipment</w:t>
            </w:r>
          </w:p>
        </w:tc>
        <w:tc>
          <w:tcPr>
            <w:tcW w:w="0" w:type="auto"/>
            <w:shd w:val="clear" w:color="auto" w:fill="CCEEFF"/>
            <w:vAlign w:val="bottom"/>
            <w:hideMark/>
          </w:tcPr>
          <w:p w:rsidRPr="004004C7" w:rsidR="004004C7" w:rsidP="004004C7" w:rsidRDefault="004004C7" w14:paraId="71C6D3B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3B4FF1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1AA75D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473,348,006</w:t>
            </w:r>
          </w:p>
        </w:tc>
        <w:tc>
          <w:tcPr>
            <w:tcW w:w="0" w:type="auto"/>
            <w:shd w:val="clear" w:color="auto" w:fill="CCEEFF"/>
            <w:vAlign w:val="bottom"/>
            <w:hideMark/>
          </w:tcPr>
          <w:p w:rsidRPr="004004C7" w:rsidR="004004C7" w:rsidP="004004C7" w:rsidRDefault="004004C7" w14:paraId="0376746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25D0E2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6F3EFF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74A3F6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413,501,445</w:t>
            </w:r>
          </w:p>
        </w:tc>
        <w:tc>
          <w:tcPr>
            <w:tcW w:w="0" w:type="auto"/>
            <w:shd w:val="clear" w:color="auto" w:fill="CCEEFF"/>
            <w:vAlign w:val="bottom"/>
            <w:hideMark/>
          </w:tcPr>
          <w:p w:rsidRPr="004004C7" w:rsidR="004004C7" w:rsidP="004004C7" w:rsidRDefault="004004C7" w14:paraId="466E6C4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53D3CF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9594AD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198016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57,605,172</w:t>
            </w:r>
          </w:p>
        </w:tc>
        <w:tc>
          <w:tcPr>
            <w:tcW w:w="0" w:type="auto"/>
            <w:shd w:val="clear" w:color="auto" w:fill="CCEEFF"/>
            <w:vAlign w:val="bottom"/>
            <w:hideMark/>
          </w:tcPr>
          <w:p w:rsidRPr="004004C7" w:rsidR="004004C7" w:rsidP="004004C7" w:rsidRDefault="004004C7" w14:paraId="5F7A9F3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69114F0"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3142EEF9"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Operating lease right-of-use assets</w:t>
            </w:r>
          </w:p>
        </w:tc>
        <w:tc>
          <w:tcPr>
            <w:tcW w:w="0" w:type="auto"/>
            <w:shd w:val="clear" w:color="auto" w:fill="FFFFFF"/>
            <w:vAlign w:val="bottom"/>
            <w:hideMark/>
          </w:tcPr>
          <w:p w:rsidRPr="004004C7" w:rsidR="004004C7" w:rsidP="004004C7" w:rsidRDefault="004004C7" w14:paraId="6FD697E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68E63C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F9630F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7,275,367</w:t>
            </w:r>
          </w:p>
        </w:tc>
        <w:tc>
          <w:tcPr>
            <w:tcW w:w="0" w:type="auto"/>
            <w:shd w:val="clear" w:color="auto" w:fill="FFFFFF"/>
            <w:vAlign w:val="bottom"/>
            <w:hideMark/>
          </w:tcPr>
          <w:p w:rsidRPr="004004C7" w:rsidR="004004C7" w:rsidP="004004C7" w:rsidRDefault="004004C7" w14:paraId="6FE0661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EBA5B5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E4F461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23FC0C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847,331</w:t>
            </w:r>
          </w:p>
        </w:tc>
        <w:tc>
          <w:tcPr>
            <w:tcW w:w="0" w:type="auto"/>
            <w:shd w:val="clear" w:color="auto" w:fill="FFFFFF"/>
            <w:vAlign w:val="bottom"/>
            <w:hideMark/>
          </w:tcPr>
          <w:p w:rsidRPr="004004C7" w:rsidR="004004C7" w:rsidP="004004C7" w:rsidRDefault="004004C7" w14:paraId="42D2B05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7C4AA1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EBEFB9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FC5CC2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118,042</w:t>
            </w:r>
          </w:p>
        </w:tc>
        <w:tc>
          <w:tcPr>
            <w:tcW w:w="0" w:type="auto"/>
            <w:shd w:val="clear" w:color="auto" w:fill="FFFFFF"/>
            <w:vAlign w:val="bottom"/>
            <w:hideMark/>
          </w:tcPr>
          <w:p w:rsidRPr="004004C7" w:rsidR="004004C7" w:rsidP="004004C7" w:rsidRDefault="004004C7" w14:paraId="223501C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2ACB9703"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66DD347F"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Deferred tax assets</w:t>
            </w:r>
          </w:p>
        </w:tc>
        <w:tc>
          <w:tcPr>
            <w:tcW w:w="0" w:type="auto"/>
            <w:shd w:val="clear" w:color="auto" w:fill="CCEEFF"/>
            <w:vAlign w:val="bottom"/>
            <w:hideMark/>
          </w:tcPr>
          <w:p w:rsidRPr="004004C7" w:rsidR="004004C7" w:rsidP="004004C7" w:rsidRDefault="004004C7" w14:paraId="4F33C8E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0AEF47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2E4B1E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23,634,189</w:t>
            </w:r>
          </w:p>
        </w:tc>
        <w:tc>
          <w:tcPr>
            <w:tcW w:w="0" w:type="auto"/>
            <w:shd w:val="clear" w:color="auto" w:fill="CCEEFF"/>
            <w:vAlign w:val="bottom"/>
            <w:hideMark/>
          </w:tcPr>
          <w:p w:rsidRPr="004004C7" w:rsidR="004004C7" w:rsidP="004004C7" w:rsidRDefault="004004C7" w14:paraId="3A89A16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D0155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72E06C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BC7C3A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27,946,500</w:t>
            </w:r>
          </w:p>
        </w:tc>
        <w:tc>
          <w:tcPr>
            <w:tcW w:w="0" w:type="auto"/>
            <w:shd w:val="clear" w:color="auto" w:fill="CCEEFF"/>
            <w:vAlign w:val="bottom"/>
            <w:hideMark/>
          </w:tcPr>
          <w:p w:rsidRPr="004004C7" w:rsidR="004004C7" w:rsidP="004004C7" w:rsidRDefault="004004C7" w14:paraId="49AAE8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CB638C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5AC964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90E5B9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3,893,247</w:t>
            </w:r>
          </w:p>
        </w:tc>
        <w:tc>
          <w:tcPr>
            <w:tcW w:w="0" w:type="auto"/>
            <w:shd w:val="clear" w:color="auto" w:fill="CCEEFF"/>
            <w:vAlign w:val="bottom"/>
            <w:hideMark/>
          </w:tcPr>
          <w:p w:rsidRPr="004004C7" w:rsidR="004004C7" w:rsidP="004004C7" w:rsidRDefault="004004C7" w14:paraId="76DD81D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2694A11"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5F6D09A8"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Intangible assets</w:t>
            </w:r>
          </w:p>
        </w:tc>
        <w:tc>
          <w:tcPr>
            <w:tcW w:w="0" w:type="auto"/>
            <w:shd w:val="clear" w:color="auto" w:fill="FFFFFF"/>
            <w:vAlign w:val="bottom"/>
            <w:hideMark/>
          </w:tcPr>
          <w:p w:rsidRPr="004004C7" w:rsidR="004004C7" w:rsidP="004004C7" w:rsidRDefault="004004C7" w14:paraId="75185B6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27680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73C616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71,245,336</w:t>
            </w:r>
          </w:p>
        </w:tc>
        <w:tc>
          <w:tcPr>
            <w:tcW w:w="0" w:type="auto"/>
            <w:shd w:val="clear" w:color="auto" w:fill="FFFFFF"/>
            <w:vAlign w:val="bottom"/>
            <w:hideMark/>
          </w:tcPr>
          <w:p w:rsidRPr="004004C7" w:rsidR="004004C7" w:rsidP="004004C7" w:rsidRDefault="004004C7" w14:paraId="4271A8C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D65880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B20604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41AD85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72,854,656</w:t>
            </w:r>
          </w:p>
        </w:tc>
        <w:tc>
          <w:tcPr>
            <w:tcW w:w="0" w:type="auto"/>
            <w:shd w:val="clear" w:color="auto" w:fill="FFFFFF"/>
            <w:vAlign w:val="bottom"/>
            <w:hideMark/>
          </w:tcPr>
          <w:p w:rsidRPr="004004C7" w:rsidR="004004C7" w:rsidP="004004C7" w:rsidRDefault="004004C7" w14:paraId="14EB4DB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21033F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2A6CBE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3E8F45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10,149,432</w:t>
            </w:r>
          </w:p>
        </w:tc>
        <w:tc>
          <w:tcPr>
            <w:tcW w:w="0" w:type="auto"/>
            <w:shd w:val="clear" w:color="auto" w:fill="FFFFFF"/>
            <w:vAlign w:val="bottom"/>
            <w:hideMark/>
          </w:tcPr>
          <w:p w:rsidRPr="004004C7" w:rsidR="004004C7" w:rsidP="004004C7" w:rsidRDefault="004004C7" w14:paraId="0AF3B4B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0E033C0"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5C4B49BD"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Other non-current assets</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F58B02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86A8F8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B0FF85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34,356,506</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EB70F7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FD8938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2A194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BBEDAF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10,295,279</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3E3144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98E548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44EBBF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B8CE16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1,434,242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6B034A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5EBF2644"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342DFAC2"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non-current assets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2F9AC2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F4F65E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4404EA0B"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609,859,404</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B93786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37E90B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9825DA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9507B3B"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525,445,211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F9467E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B6361E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EB002B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163C1A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73,200,135</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B08E17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3A52D583" w14:textId="77777777">
        <w:tc>
          <w:tcPr>
            <w:tcW w:w="0" w:type="auto"/>
            <w:shd w:val="clear" w:color="auto" w:fill="CCEEFF"/>
            <w:tcMar>
              <w:top w:w="0" w:type="dxa"/>
              <w:left w:w="360" w:type="dxa"/>
              <w:bottom w:w="80" w:type="dxa"/>
              <w:right w:w="0" w:type="dxa"/>
            </w:tcMar>
            <w:vAlign w:val="bottom"/>
            <w:hideMark/>
          </w:tcPr>
          <w:p w:rsidRPr="004004C7" w:rsidR="004004C7" w:rsidP="004004C7" w:rsidRDefault="004004C7" w14:paraId="662BDED6"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assets</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3C10934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2EFEFD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29D05F59"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1,513,027,356</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39E6B02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620175D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D122AC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D009359"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1,367,663,211</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4A21A2D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0771B08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2F8F213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tcBorders>
              <w:bottom w:val="double" w:color="000000" w:sz="12" w:space="0"/>
            </w:tcBorders>
            <w:shd w:val="clear" w:color="auto" w:fill="CCEEFF"/>
            <w:vAlign w:val="bottom"/>
            <w:hideMark/>
          </w:tcPr>
          <w:p w:rsidRPr="004004C7" w:rsidR="004004C7" w:rsidP="004004C7" w:rsidRDefault="004004C7" w14:paraId="20FAD8FC"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190,530,106</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5262FB6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6493B9BC" w14:textId="77777777">
        <w:tc>
          <w:tcPr>
            <w:tcW w:w="0" w:type="auto"/>
            <w:shd w:val="clear" w:color="auto" w:fill="FFFFFF"/>
            <w:tcMar>
              <w:top w:w="0" w:type="dxa"/>
              <w:left w:w="540" w:type="dxa"/>
              <w:bottom w:w="0" w:type="dxa"/>
              <w:right w:w="0" w:type="dxa"/>
            </w:tcMar>
            <w:vAlign w:val="bottom"/>
            <w:hideMark/>
          </w:tcPr>
          <w:p w:rsidRPr="004004C7" w:rsidR="004004C7" w:rsidP="004004C7" w:rsidRDefault="004004C7" w14:paraId="16D5E68C"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6FA482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AAFAC7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078C51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42F195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DEB175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EEC039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F5238F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060C47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B5D9D3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165F3B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F449E0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6707DB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9DC2AEF"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12493C7D"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LIABILITIES AND SHAREHOLDERS’ (DEFICIT)/EQUITY</w:t>
            </w:r>
          </w:p>
        </w:tc>
        <w:tc>
          <w:tcPr>
            <w:tcW w:w="0" w:type="auto"/>
            <w:shd w:val="clear" w:color="auto" w:fill="CCEEFF"/>
            <w:vAlign w:val="bottom"/>
            <w:hideMark/>
          </w:tcPr>
          <w:p w:rsidRPr="004004C7" w:rsidR="004004C7" w:rsidP="004004C7" w:rsidRDefault="004004C7" w14:paraId="1EA23D1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10D446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5055EF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A17CF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E901CB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9AAC1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6CBFCE4"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AB1A5C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C325D5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333074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7AC001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C8D755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8E72466"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2E67C481"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Current liabilities</w:t>
            </w:r>
          </w:p>
        </w:tc>
        <w:tc>
          <w:tcPr>
            <w:tcW w:w="0" w:type="auto"/>
            <w:shd w:val="clear" w:color="auto" w:fill="FFFFFF"/>
            <w:vAlign w:val="bottom"/>
            <w:hideMark/>
          </w:tcPr>
          <w:p w:rsidRPr="004004C7" w:rsidR="004004C7" w:rsidP="004004C7" w:rsidRDefault="004004C7" w14:paraId="5DEA4CB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08F2AF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F6FBE3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CE1FDB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4CEDC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EDC2E2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FE40CD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ACDC9E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3C6AFE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85711B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F4FDA1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56FB10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539C9F33"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266C2224"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Bank loans and other borrowings</w:t>
            </w:r>
          </w:p>
        </w:tc>
        <w:tc>
          <w:tcPr>
            <w:tcW w:w="0" w:type="auto"/>
            <w:shd w:val="clear" w:color="auto" w:fill="CCEEFF"/>
            <w:vAlign w:val="bottom"/>
            <w:hideMark/>
          </w:tcPr>
          <w:p w:rsidRPr="004004C7" w:rsidR="004004C7" w:rsidP="004004C7" w:rsidRDefault="004004C7" w14:paraId="1D6684B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0FD23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A596DE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318,540,732</w:t>
            </w:r>
          </w:p>
        </w:tc>
        <w:tc>
          <w:tcPr>
            <w:tcW w:w="0" w:type="auto"/>
            <w:shd w:val="clear" w:color="auto" w:fill="CCEEFF"/>
            <w:vAlign w:val="bottom"/>
            <w:hideMark/>
          </w:tcPr>
          <w:p w:rsidRPr="004004C7" w:rsidR="004004C7" w:rsidP="004004C7" w:rsidRDefault="004004C7" w14:paraId="23DA39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5DA996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E3CC5F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C83BBB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390,440,095</w:t>
            </w:r>
          </w:p>
        </w:tc>
        <w:tc>
          <w:tcPr>
            <w:tcW w:w="0" w:type="auto"/>
            <w:shd w:val="clear" w:color="auto" w:fill="CCEEFF"/>
            <w:vAlign w:val="bottom"/>
            <w:hideMark/>
          </w:tcPr>
          <w:p w:rsidRPr="004004C7" w:rsidR="004004C7" w:rsidP="004004C7" w:rsidRDefault="004004C7" w14:paraId="14C4F39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2C0FDF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0DC6D23"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4353A13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54,392,479</w:t>
            </w:r>
          </w:p>
        </w:tc>
        <w:tc>
          <w:tcPr>
            <w:tcW w:w="0" w:type="auto"/>
            <w:shd w:val="clear" w:color="auto" w:fill="CCEEFF"/>
            <w:vAlign w:val="bottom"/>
            <w:hideMark/>
          </w:tcPr>
          <w:p w:rsidRPr="004004C7" w:rsidR="004004C7" w:rsidP="004004C7" w:rsidRDefault="004004C7" w14:paraId="7A5CC27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27B1263"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3A94573F"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Accounts payable</w:t>
            </w:r>
          </w:p>
        </w:tc>
        <w:tc>
          <w:tcPr>
            <w:tcW w:w="0" w:type="auto"/>
            <w:shd w:val="clear" w:color="auto" w:fill="FFFFFF"/>
            <w:vAlign w:val="bottom"/>
            <w:hideMark/>
          </w:tcPr>
          <w:p w:rsidRPr="004004C7" w:rsidR="004004C7" w:rsidP="004004C7" w:rsidRDefault="004004C7" w14:paraId="67E3DF0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BF10DC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9A96DA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67,774,798</w:t>
            </w:r>
          </w:p>
        </w:tc>
        <w:tc>
          <w:tcPr>
            <w:tcW w:w="0" w:type="auto"/>
            <w:shd w:val="clear" w:color="auto" w:fill="FFFFFF"/>
            <w:vAlign w:val="bottom"/>
            <w:hideMark/>
          </w:tcPr>
          <w:p w:rsidRPr="004004C7" w:rsidR="004004C7" w:rsidP="004004C7" w:rsidRDefault="004004C7" w14:paraId="53E0263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925D1B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AEAF78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326C9A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49,551,779</w:t>
            </w:r>
          </w:p>
        </w:tc>
        <w:tc>
          <w:tcPr>
            <w:tcW w:w="0" w:type="auto"/>
            <w:shd w:val="clear" w:color="auto" w:fill="FFFFFF"/>
            <w:vAlign w:val="bottom"/>
            <w:hideMark/>
          </w:tcPr>
          <w:p w:rsidRPr="004004C7" w:rsidR="004004C7" w:rsidP="004004C7" w:rsidRDefault="004004C7" w14:paraId="42134D8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9914A6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5DFDA2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7C220A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6,903,093</w:t>
            </w:r>
          </w:p>
        </w:tc>
        <w:tc>
          <w:tcPr>
            <w:tcW w:w="0" w:type="auto"/>
            <w:shd w:val="clear" w:color="auto" w:fill="FFFFFF"/>
            <w:vAlign w:val="bottom"/>
            <w:hideMark/>
          </w:tcPr>
          <w:p w:rsidRPr="004004C7" w:rsidR="004004C7" w:rsidP="004004C7" w:rsidRDefault="004004C7" w14:paraId="3D6B8FD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0DB16E0"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267D3888"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Accrued expenses and other liabilities</w:t>
            </w:r>
          </w:p>
        </w:tc>
        <w:tc>
          <w:tcPr>
            <w:tcW w:w="0" w:type="auto"/>
            <w:shd w:val="clear" w:color="auto" w:fill="CCEEFF"/>
            <w:vAlign w:val="bottom"/>
            <w:hideMark/>
          </w:tcPr>
          <w:p w:rsidRPr="004004C7" w:rsidR="004004C7" w:rsidP="004004C7" w:rsidRDefault="004004C7" w14:paraId="2CEE87B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5D8FD7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080F92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408,737,969</w:t>
            </w:r>
          </w:p>
        </w:tc>
        <w:tc>
          <w:tcPr>
            <w:tcW w:w="0" w:type="auto"/>
            <w:shd w:val="clear" w:color="auto" w:fill="CCEEFF"/>
            <w:vAlign w:val="bottom"/>
            <w:hideMark/>
          </w:tcPr>
          <w:p w:rsidRPr="004004C7" w:rsidR="004004C7" w:rsidP="004004C7" w:rsidRDefault="004004C7" w14:paraId="6EE4149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EF74F4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0AA565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1BF8D9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382,847,958</w:t>
            </w:r>
          </w:p>
        </w:tc>
        <w:tc>
          <w:tcPr>
            <w:tcW w:w="0" w:type="auto"/>
            <w:shd w:val="clear" w:color="auto" w:fill="CCEEFF"/>
            <w:vAlign w:val="bottom"/>
            <w:hideMark/>
          </w:tcPr>
          <w:p w:rsidRPr="004004C7" w:rsidR="004004C7" w:rsidP="004004C7" w:rsidRDefault="004004C7" w14:paraId="7CA6C9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58BD99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128076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7B1743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53,334,812</w:t>
            </w:r>
          </w:p>
        </w:tc>
        <w:tc>
          <w:tcPr>
            <w:tcW w:w="0" w:type="auto"/>
            <w:shd w:val="clear" w:color="auto" w:fill="CCEEFF"/>
            <w:vAlign w:val="bottom"/>
            <w:hideMark/>
          </w:tcPr>
          <w:p w:rsidRPr="004004C7" w:rsidR="004004C7" w:rsidP="004004C7" w:rsidRDefault="004004C7" w14:paraId="6DC4C58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7698A10"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60095DD3"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Operating lease liabilities</w:t>
            </w:r>
          </w:p>
        </w:tc>
        <w:tc>
          <w:tcPr>
            <w:tcW w:w="0" w:type="auto"/>
            <w:shd w:val="clear" w:color="auto" w:fill="FFFFFF"/>
            <w:vAlign w:val="bottom"/>
            <w:hideMark/>
          </w:tcPr>
          <w:p w:rsidRPr="004004C7" w:rsidR="004004C7" w:rsidP="004004C7" w:rsidRDefault="004004C7" w14:paraId="6261484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91FE4A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794A2D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5,156,540</w:t>
            </w:r>
          </w:p>
        </w:tc>
        <w:tc>
          <w:tcPr>
            <w:tcW w:w="0" w:type="auto"/>
            <w:shd w:val="clear" w:color="auto" w:fill="FFFFFF"/>
            <w:vAlign w:val="bottom"/>
            <w:hideMark/>
          </w:tcPr>
          <w:p w:rsidRPr="004004C7" w:rsidR="004004C7" w:rsidP="004004C7" w:rsidRDefault="004004C7" w14:paraId="4C38758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D01072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B7BE72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B5F1B9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457,012</w:t>
            </w:r>
          </w:p>
        </w:tc>
        <w:tc>
          <w:tcPr>
            <w:tcW w:w="0" w:type="auto"/>
            <w:shd w:val="clear" w:color="auto" w:fill="FFFFFF"/>
            <w:vAlign w:val="bottom"/>
            <w:hideMark/>
          </w:tcPr>
          <w:p w:rsidRPr="004004C7" w:rsidR="004004C7" w:rsidP="004004C7" w:rsidRDefault="004004C7" w14:paraId="0AB2E6B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C4AF45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28CAE5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A08CEF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63,667</w:t>
            </w:r>
          </w:p>
        </w:tc>
        <w:tc>
          <w:tcPr>
            <w:tcW w:w="0" w:type="auto"/>
            <w:shd w:val="clear" w:color="auto" w:fill="FFFFFF"/>
            <w:vAlign w:val="bottom"/>
            <w:hideMark/>
          </w:tcPr>
          <w:p w:rsidRPr="004004C7" w:rsidR="004004C7" w:rsidP="004004C7" w:rsidRDefault="004004C7" w14:paraId="1EF8BCA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533F5301"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36E26147"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Deferred government grants</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5BAB5F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6E4728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50B0AD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2,015,693</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3AC043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929B21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FA180C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1D6587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1,455,678</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70D99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FC52CD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A56204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5220EE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202,792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76A2811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228827EA"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3F602CBF"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current liabilities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7A17DF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96B549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599CE9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802,225,732</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8987D7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D11C73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E14A7C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9746D0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824,752,522</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288990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D63DE2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B4DC5D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1AAF2B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114,896,843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62E1FD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2B90A3AD" w14:textId="77777777">
        <w:tc>
          <w:tcPr>
            <w:tcW w:w="0" w:type="auto"/>
            <w:shd w:val="clear" w:color="auto" w:fill="CCEEFF"/>
            <w:tcMar>
              <w:top w:w="0" w:type="dxa"/>
              <w:left w:w="540" w:type="dxa"/>
              <w:bottom w:w="0" w:type="dxa"/>
              <w:right w:w="0" w:type="dxa"/>
            </w:tcMar>
            <w:vAlign w:val="bottom"/>
            <w:hideMark/>
          </w:tcPr>
          <w:p w:rsidRPr="004004C7" w:rsidR="004004C7" w:rsidP="004004C7" w:rsidRDefault="004004C7" w14:paraId="5C70074F"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0D5509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281AA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375698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A5D3E4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62AD70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488DC7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17EE42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C02751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553E36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E47C8A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2E9672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F278E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B4484F9"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66E3EBDA"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Non-current liabilities</w:t>
            </w:r>
          </w:p>
        </w:tc>
        <w:tc>
          <w:tcPr>
            <w:tcW w:w="0" w:type="auto"/>
            <w:shd w:val="clear" w:color="auto" w:fill="FFFFFF"/>
            <w:vAlign w:val="bottom"/>
            <w:hideMark/>
          </w:tcPr>
          <w:p w:rsidRPr="004004C7" w:rsidR="004004C7" w:rsidP="004004C7" w:rsidRDefault="004004C7" w14:paraId="50DBF96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1FB3A1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DF01FC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000019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B48DD3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55B29A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55A892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D4C2C3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E499A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8B7A88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8CA744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9DBAB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7018EF1"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5EAE0113"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Bank loans and other borrowings</w:t>
            </w:r>
          </w:p>
        </w:tc>
        <w:tc>
          <w:tcPr>
            <w:tcW w:w="0" w:type="auto"/>
            <w:shd w:val="clear" w:color="auto" w:fill="CCEEFF"/>
            <w:vAlign w:val="bottom"/>
            <w:hideMark/>
          </w:tcPr>
          <w:p w:rsidRPr="004004C7" w:rsidR="004004C7" w:rsidP="004004C7" w:rsidRDefault="004004C7" w14:paraId="546C0DB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057213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9A1040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98,983,780</w:t>
            </w:r>
          </w:p>
        </w:tc>
        <w:tc>
          <w:tcPr>
            <w:tcW w:w="0" w:type="auto"/>
            <w:shd w:val="clear" w:color="auto" w:fill="CCEEFF"/>
            <w:vAlign w:val="bottom"/>
            <w:hideMark/>
          </w:tcPr>
          <w:p w:rsidRPr="004004C7" w:rsidR="004004C7" w:rsidP="004004C7" w:rsidRDefault="004004C7" w14:paraId="712384D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AABE3D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F51016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1B0ADB4"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23,503,471</w:t>
            </w:r>
          </w:p>
        </w:tc>
        <w:tc>
          <w:tcPr>
            <w:tcW w:w="0" w:type="auto"/>
            <w:shd w:val="clear" w:color="auto" w:fill="CCEEFF"/>
            <w:vAlign w:val="bottom"/>
            <w:hideMark/>
          </w:tcPr>
          <w:p w:rsidRPr="004004C7" w:rsidR="004004C7" w:rsidP="004004C7" w:rsidRDefault="004004C7" w14:paraId="0204BCF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AD1284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50293D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EEDA4F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3,274,285</w:t>
            </w:r>
          </w:p>
        </w:tc>
        <w:tc>
          <w:tcPr>
            <w:tcW w:w="0" w:type="auto"/>
            <w:shd w:val="clear" w:color="auto" w:fill="CCEEFF"/>
            <w:vAlign w:val="bottom"/>
            <w:hideMark/>
          </w:tcPr>
          <w:p w:rsidRPr="004004C7" w:rsidR="004004C7" w:rsidP="004004C7" w:rsidRDefault="004004C7" w14:paraId="1DDE5F7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7E566A9"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11D59DEA"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Operating lease liabilities</w:t>
            </w:r>
          </w:p>
        </w:tc>
        <w:tc>
          <w:tcPr>
            <w:tcW w:w="0" w:type="auto"/>
            <w:shd w:val="clear" w:color="auto" w:fill="FFFFFF"/>
            <w:vAlign w:val="bottom"/>
            <w:hideMark/>
          </w:tcPr>
          <w:p w:rsidRPr="004004C7" w:rsidR="004004C7" w:rsidP="004004C7" w:rsidRDefault="004004C7" w14:paraId="4B17DA8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D27093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D99683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1,783,593</w:t>
            </w:r>
          </w:p>
        </w:tc>
        <w:tc>
          <w:tcPr>
            <w:tcW w:w="0" w:type="auto"/>
            <w:shd w:val="clear" w:color="auto" w:fill="FFFFFF"/>
            <w:vAlign w:val="bottom"/>
            <w:hideMark/>
          </w:tcPr>
          <w:p w:rsidRPr="004004C7" w:rsidR="004004C7" w:rsidP="004004C7" w:rsidRDefault="004004C7" w14:paraId="513FA26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145370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75C246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4EDC47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0095AC9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90A132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28D051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7097E3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223AE16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67AB631"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46A0371D"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Deferred government grants</w:t>
            </w:r>
          </w:p>
        </w:tc>
        <w:tc>
          <w:tcPr>
            <w:tcW w:w="0" w:type="auto"/>
            <w:shd w:val="clear" w:color="auto" w:fill="CCEEFF"/>
            <w:vAlign w:val="bottom"/>
            <w:hideMark/>
          </w:tcPr>
          <w:p w:rsidRPr="004004C7" w:rsidR="004004C7" w:rsidP="004004C7" w:rsidRDefault="004004C7" w14:paraId="0B6F259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2019AF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2A4089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20,279,945</w:t>
            </w:r>
          </w:p>
        </w:tc>
        <w:tc>
          <w:tcPr>
            <w:tcW w:w="0" w:type="auto"/>
            <w:shd w:val="clear" w:color="auto" w:fill="CCEEFF"/>
            <w:vAlign w:val="bottom"/>
            <w:hideMark/>
          </w:tcPr>
          <w:p w:rsidRPr="004004C7" w:rsidR="004004C7" w:rsidP="004004C7" w:rsidRDefault="004004C7" w14:paraId="79EB896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C027BB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65048A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101466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16,207,745</w:t>
            </w:r>
          </w:p>
        </w:tc>
        <w:tc>
          <w:tcPr>
            <w:tcW w:w="0" w:type="auto"/>
            <w:shd w:val="clear" w:color="auto" w:fill="CCEEFF"/>
            <w:vAlign w:val="bottom"/>
            <w:hideMark/>
          </w:tcPr>
          <w:p w:rsidRPr="004004C7" w:rsidR="004004C7" w:rsidP="004004C7" w:rsidRDefault="004004C7" w14:paraId="18F7B02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12E430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6CE427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1D9218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2,257,912</w:t>
            </w:r>
          </w:p>
        </w:tc>
        <w:tc>
          <w:tcPr>
            <w:tcW w:w="0" w:type="auto"/>
            <w:shd w:val="clear" w:color="auto" w:fill="CCEEFF"/>
            <w:vAlign w:val="bottom"/>
            <w:hideMark/>
          </w:tcPr>
          <w:p w:rsidRPr="004004C7" w:rsidR="004004C7" w:rsidP="004004C7" w:rsidRDefault="004004C7" w14:paraId="01E9194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B43EA33"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0CAC7600"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Warrants liability</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F37A80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536001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3AD58C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4,548,004</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C32B00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F9763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DCBE5C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23B4BA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3,444,842</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7D2146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16623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65B0C2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4DED0B2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479,903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9D0D3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ECFAC2B"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777CA514"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non-current liabilities</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3D5E88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0464B0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3B9FA8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125,595,322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70CDE25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5710BC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CDCD78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F45763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43,156,058</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6D5E97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76B266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4ACBD3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1E2EC1A"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6,012,100</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988591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72759EF0"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500CA00C"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liabilities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F64CF9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97BB40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9B68641"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927,821,054</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A491BF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1C1CC7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2CD918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4354A689"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867,908,580</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1859BF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DBDA73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FC53B0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C75748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120,908,943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104066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30B80076" w14:textId="77777777">
        <w:tc>
          <w:tcPr>
            <w:tcW w:w="0" w:type="auto"/>
            <w:shd w:val="clear" w:color="auto" w:fill="CCEEFF"/>
            <w:tcMar>
              <w:top w:w="0" w:type="dxa"/>
              <w:left w:w="540" w:type="dxa"/>
              <w:bottom w:w="0" w:type="dxa"/>
              <w:right w:w="0" w:type="dxa"/>
            </w:tcMar>
            <w:vAlign w:val="bottom"/>
            <w:hideMark/>
          </w:tcPr>
          <w:p w:rsidRPr="004004C7" w:rsidR="004004C7" w:rsidP="004004C7" w:rsidRDefault="004004C7" w14:paraId="255F4604"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30DBF6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175865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4B0D92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F889E6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732272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A1479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E8EB2C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36C7C5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3E9FFF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30DD76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50DBCD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B11B0C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4474D9B"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1DF688DC"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Shareholders’(deficit)/equity</w:t>
            </w:r>
          </w:p>
        </w:tc>
        <w:tc>
          <w:tcPr>
            <w:tcW w:w="0" w:type="auto"/>
            <w:shd w:val="clear" w:color="auto" w:fill="FFFFFF"/>
            <w:vAlign w:val="bottom"/>
            <w:hideMark/>
          </w:tcPr>
          <w:p w:rsidRPr="004004C7" w:rsidR="004004C7" w:rsidP="004004C7" w:rsidRDefault="004004C7" w14:paraId="15ED192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3EB57C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692EF8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DFC6C3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7CFF66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02BF23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0F8991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C1641D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CE9260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763DE1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D4BD72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189888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6DA88EF"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0E78ED62"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Ordinary shares, par value US$0.0002 per share; 250,000,000 shares authorized; 19,022,795 and 20,766,531 shares issued and outstanding as of March 31, 2024 and 2025, respectively *</w:t>
            </w:r>
          </w:p>
        </w:tc>
        <w:tc>
          <w:tcPr>
            <w:tcW w:w="0" w:type="auto"/>
            <w:shd w:val="clear" w:color="auto" w:fill="CCEEFF"/>
            <w:vAlign w:val="bottom"/>
            <w:hideMark/>
          </w:tcPr>
          <w:p w:rsidRPr="004004C7" w:rsidR="004004C7" w:rsidP="004004C7" w:rsidRDefault="004004C7" w14:paraId="50377ED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C08C83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7F5D59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26,105</w:t>
            </w:r>
          </w:p>
        </w:tc>
        <w:tc>
          <w:tcPr>
            <w:tcW w:w="0" w:type="auto"/>
            <w:shd w:val="clear" w:color="auto" w:fill="CCEEFF"/>
            <w:vAlign w:val="bottom"/>
            <w:hideMark/>
          </w:tcPr>
          <w:p w:rsidRPr="004004C7" w:rsidR="004004C7" w:rsidP="004004C7" w:rsidRDefault="004004C7" w14:paraId="2D11277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62450C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A3AE95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11741D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28,603</w:t>
            </w:r>
          </w:p>
        </w:tc>
        <w:tc>
          <w:tcPr>
            <w:tcW w:w="0" w:type="auto"/>
            <w:shd w:val="clear" w:color="auto" w:fill="CCEEFF"/>
            <w:vAlign w:val="bottom"/>
            <w:hideMark/>
          </w:tcPr>
          <w:p w:rsidRPr="004004C7" w:rsidR="004004C7" w:rsidP="004004C7" w:rsidRDefault="004004C7" w14:paraId="7444CF2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ECB2DE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3AC171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BFE749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3,985</w:t>
            </w:r>
          </w:p>
        </w:tc>
        <w:tc>
          <w:tcPr>
            <w:tcW w:w="0" w:type="auto"/>
            <w:shd w:val="clear" w:color="auto" w:fill="CCEEFF"/>
            <w:vAlign w:val="bottom"/>
            <w:hideMark/>
          </w:tcPr>
          <w:p w:rsidRPr="004004C7" w:rsidR="004004C7" w:rsidP="004004C7" w:rsidRDefault="004004C7" w14:paraId="0BCCB22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05B7564"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48C416B6"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Additional paid-in capital</w:t>
            </w:r>
          </w:p>
        </w:tc>
        <w:tc>
          <w:tcPr>
            <w:tcW w:w="0" w:type="auto"/>
            <w:shd w:val="clear" w:color="auto" w:fill="FFFFFF"/>
            <w:vAlign w:val="bottom"/>
            <w:hideMark/>
          </w:tcPr>
          <w:p w:rsidRPr="004004C7" w:rsidR="004004C7" w:rsidP="004004C7" w:rsidRDefault="004004C7" w14:paraId="25A80E7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B3F0C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CCD53D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2,950,862,914</w:t>
            </w:r>
          </w:p>
        </w:tc>
        <w:tc>
          <w:tcPr>
            <w:tcW w:w="0" w:type="auto"/>
            <w:shd w:val="clear" w:color="auto" w:fill="FFFFFF"/>
            <w:vAlign w:val="bottom"/>
            <w:hideMark/>
          </w:tcPr>
          <w:p w:rsidRPr="004004C7" w:rsidR="004004C7" w:rsidP="004004C7" w:rsidRDefault="004004C7" w14:paraId="6C175F6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7B4316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6D8632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65FEEF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2,964,482,986</w:t>
            </w:r>
          </w:p>
        </w:tc>
        <w:tc>
          <w:tcPr>
            <w:tcW w:w="0" w:type="auto"/>
            <w:shd w:val="clear" w:color="auto" w:fill="FFFFFF"/>
            <w:vAlign w:val="bottom"/>
            <w:hideMark/>
          </w:tcPr>
          <w:p w:rsidRPr="004004C7" w:rsidR="004004C7" w:rsidP="004004C7" w:rsidRDefault="004004C7" w14:paraId="495F248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208AAE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192312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0752E1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412,984,172</w:t>
            </w:r>
          </w:p>
        </w:tc>
        <w:tc>
          <w:tcPr>
            <w:tcW w:w="0" w:type="auto"/>
            <w:shd w:val="clear" w:color="auto" w:fill="FFFFFF"/>
            <w:vAlign w:val="bottom"/>
            <w:hideMark/>
          </w:tcPr>
          <w:p w:rsidRPr="004004C7" w:rsidR="004004C7" w:rsidP="004004C7" w:rsidRDefault="004004C7" w14:paraId="0A76F32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27737CD0"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1FB33CB8"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Accumulated deficit</w:t>
            </w:r>
          </w:p>
        </w:tc>
        <w:tc>
          <w:tcPr>
            <w:tcW w:w="0" w:type="auto"/>
            <w:shd w:val="clear" w:color="auto" w:fill="CCEEFF"/>
            <w:vAlign w:val="bottom"/>
            <w:hideMark/>
          </w:tcPr>
          <w:p w:rsidRPr="004004C7" w:rsidR="004004C7" w:rsidP="004004C7" w:rsidRDefault="004004C7" w14:paraId="3A2D2BF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1FBB93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0FDEFD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(2,307,502,836</w:t>
            </w:r>
          </w:p>
        </w:tc>
        <w:tc>
          <w:tcPr>
            <w:tcW w:w="0" w:type="auto"/>
            <w:shd w:val="clear" w:color="auto" w:fill="CCEEFF"/>
            <w:vAlign w:val="bottom"/>
            <w:hideMark/>
          </w:tcPr>
          <w:p w:rsidRPr="004004C7" w:rsidR="004004C7" w:rsidP="004004C7" w:rsidRDefault="004004C7" w14:paraId="08E7CCA0"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3FA1D9B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F29EED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6BB774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(2,407,485,287</w:t>
            </w:r>
          </w:p>
        </w:tc>
        <w:tc>
          <w:tcPr>
            <w:tcW w:w="0" w:type="auto"/>
            <w:shd w:val="clear" w:color="auto" w:fill="CCEEFF"/>
            <w:vAlign w:val="bottom"/>
            <w:hideMark/>
          </w:tcPr>
          <w:p w:rsidRPr="004004C7" w:rsidR="004004C7" w:rsidP="004004C7" w:rsidRDefault="004004C7" w14:paraId="20DBD734"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2CDBBBC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4BEE1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9DC397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(335,388,438</w:t>
            </w:r>
          </w:p>
        </w:tc>
        <w:tc>
          <w:tcPr>
            <w:tcW w:w="0" w:type="auto"/>
            <w:shd w:val="clear" w:color="auto" w:fill="CCEEFF"/>
            <w:vAlign w:val="bottom"/>
            <w:hideMark/>
          </w:tcPr>
          <w:p w:rsidRPr="004004C7" w:rsidR="004004C7" w:rsidP="004004C7" w:rsidRDefault="004004C7" w14:paraId="00967783"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641123EA"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1487EF17"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Accumulated other comprehensive loss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DEBF4D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01C0BF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F040BF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(58,179,881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94D2CDA"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0BE5A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19DCAA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D75128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(57,271,671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F53DFE3"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FC0FF6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A13CB1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463310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(7,978,556</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C5CED88"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6A6CBA30"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009BB9FA"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shareholders’ equity</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713A69D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8FC060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780D9BF"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585,206,302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52E30A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80C6BD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F91679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84052A5"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499,754,631</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6AF335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A529C8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E4BB8C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9FCFDB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69,621,163</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799F2C2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7DCCF16E" w14:textId="77777777">
        <w:tc>
          <w:tcPr>
            <w:tcW w:w="0" w:type="auto"/>
            <w:shd w:val="clear" w:color="auto" w:fill="FFFFFF"/>
            <w:tcMar>
              <w:top w:w="0" w:type="dxa"/>
              <w:left w:w="360" w:type="dxa"/>
              <w:bottom w:w="80" w:type="dxa"/>
              <w:right w:w="0" w:type="dxa"/>
            </w:tcMar>
            <w:vAlign w:val="bottom"/>
            <w:hideMark/>
          </w:tcPr>
          <w:p w:rsidRPr="004004C7" w:rsidR="004004C7" w:rsidP="004004C7" w:rsidRDefault="004004C7" w14:paraId="682FB94C"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liabilities and shareholders’ equity</w:t>
            </w:r>
          </w:p>
        </w:tc>
        <w:tc>
          <w:tcPr>
            <w:tcW w:w="0" w:type="auto"/>
            <w:shd w:val="clear" w:color="auto" w:fill="FFFFFF"/>
            <w:tcMar>
              <w:top w:w="0" w:type="dxa"/>
              <w:left w:w="0" w:type="dxa"/>
              <w:bottom w:w="80" w:type="dxa"/>
              <w:right w:w="0" w:type="dxa"/>
            </w:tcMar>
            <w:vAlign w:val="bottom"/>
            <w:hideMark/>
          </w:tcPr>
          <w:p w:rsidRPr="004004C7" w:rsidR="004004C7" w:rsidP="004004C7" w:rsidRDefault="004004C7" w14:paraId="09E48E1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202C27B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58FCF1D2"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1,513,027,356</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7AD5EAA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80" w:type="dxa"/>
              <w:right w:w="0" w:type="dxa"/>
            </w:tcMar>
            <w:vAlign w:val="bottom"/>
            <w:hideMark/>
          </w:tcPr>
          <w:p w:rsidRPr="004004C7" w:rsidR="004004C7" w:rsidP="004004C7" w:rsidRDefault="004004C7" w14:paraId="7B9872B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2276CDF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42C79E8C"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1,367,663,211</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7F1A2E5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80" w:type="dxa"/>
              <w:right w:w="0" w:type="dxa"/>
            </w:tcMar>
            <w:vAlign w:val="bottom"/>
            <w:hideMark/>
          </w:tcPr>
          <w:p w:rsidRPr="004004C7" w:rsidR="004004C7" w:rsidP="004004C7" w:rsidRDefault="004004C7" w14:paraId="2A706C0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35ED8A8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tcBorders>
              <w:bottom w:val="double" w:color="000000" w:sz="12" w:space="0"/>
            </w:tcBorders>
            <w:shd w:val="clear" w:color="auto" w:fill="FFFFFF"/>
            <w:vAlign w:val="bottom"/>
            <w:hideMark/>
          </w:tcPr>
          <w:p w:rsidRPr="004004C7" w:rsidR="004004C7" w:rsidP="004004C7" w:rsidRDefault="004004C7" w14:paraId="74E86782"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190,530,106</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12D7D9D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bl>
    <w:p w:rsidRPr="004004C7" w:rsidR="004004C7" w:rsidP="004004C7" w:rsidRDefault="004004C7" w14:paraId="3A57117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Mar>
          <w:left w:w="0" w:type="dxa"/>
          <w:right w:w="0" w:type="dxa"/>
        </w:tblCellMar>
        <w:tblLook w:val="04A0" w:firstRow="1" w:lastRow="0" w:firstColumn="1" w:lastColumn="0" w:noHBand="0" w:noVBand="1"/>
      </w:tblPr>
      <w:tblGrid>
        <w:gridCol w:w="360"/>
        <w:gridCol w:w="9000"/>
      </w:tblGrid>
      <w:tr w:rsidRPr="004004C7" w:rsidR="004004C7" w:rsidTr="004004C7" w14:paraId="494AD3B5" w14:textId="77777777">
        <w:tc>
          <w:tcPr>
            <w:tcW w:w="360" w:type="dxa"/>
            <w:hideMark/>
          </w:tcPr>
          <w:p w:rsidRPr="004004C7" w:rsidR="004004C7" w:rsidP="004004C7" w:rsidRDefault="004004C7" w14:paraId="394673BA"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hideMark/>
          </w:tcPr>
          <w:p w:rsidRPr="004004C7" w:rsidR="004004C7" w:rsidP="004004C7" w:rsidRDefault="004004C7" w14:paraId="5ED26A74" w14:textId="77777777">
            <w:pPr>
              <w:rPr>
                <w:rFonts w:eastAsia="Times New Roman" w:cs="Times New Roman"/>
                <w:kern w:val="0"/>
                <w:szCs w:val="20"/>
                <w14:ligatures w14:val="none"/>
              </w:rPr>
            </w:pPr>
            <w:r w:rsidRPr="004004C7">
              <w:rPr>
                <w:rFonts w:eastAsia="Times New Roman" w:cs="Times New Roman"/>
                <w:kern w:val="0"/>
                <w:szCs w:val="20"/>
                <w14:ligatures w14:val="none"/>
              </w:rPr>
              <w:t>Gives retroactive effect to the Share Consolidation in October 2024.</w:t>
            </w:r>
          </w:p>
        </w:tc>
      </w:tr>
    </w:tbl>
    <w:p w:rsidRPr="004004C7" w:rsidR="004004C7" w:rsidP="004004C7" w:rsidRDefault="004004C7" w14:paraId="56A8B25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20CEFA3E"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6</w:t>
      </w:r>
    </w:p>
    <w:p w:rsidRPr="004004C7" w:rsidR="004004C7" w:rsidP="004004C7" w:rsidRDefault="004004C7" w14:paraId="3F62E44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FDD5EA0" w14:textId="77777777">
      <w:pPr>
        <w:rPr>
          <w:rFonts w:eastAsia="Times New Roman" w:cs="Times New Roman"/>
          <w:kern w:val="0"/>
          <w:szCs w:val="20"/>
          <w14:ligatures w14:val="none"/>
        </w:rPr>
      </w:pPr>
      <w:r w:rsidRPr="004004C7">
        <w:rPr>
          <w:rFonts w:eastAsia="Times New Roman" w:cs="Times New Roman"/>
          <w:b/>
          <w:bCs/>
          <w:kern w:val="0"/>
          <w:szCs w:val="20"/>
          <w14:ligatures w14:val="none"/>
        </w:rPr>
        <w:t> </w:t>
      </w:r>
    </w:p>
    <w:p w:rsidRPr="004004C7" w:rsidR="004004C7" w:rsidP="004004C7" w:rsidRDefault="004004C7" w14:paraId="7A83F53E"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LAKESHORE BIOPHARMA CO., LTD AND SUBSIDIARIES</w:t>
      </w:r>
    </w:p>
    <w:p w:rsidRPr="004004C7" w:rsidR="004004C7" w:rsidP="004004C7" w:rsidRDefault="004004C7" w14:paraId="3364328D"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t>CONSOLIDATED STATEMENTS OF OPERATIONS AND COMPREHENSIVE LOSS (AUDITED)</w:t>
      </w:r>
    </w:p>
    <w:p w:rsidRPr="004004C7" w:rsidR="004004C7" w:rsidP="004004C7" w:rsidRDefault="004004C7" w14:paraId="25F41BC6" w14:textId="77777777">
      <w:pPr>
        <w:rPr>
          <w:rFonts w:eastAsia="Times New Roman" w:cs="Times New Roman"/>
          <w:kern w:val="0"/>
          <w:szCs w:val="20"/>
          <w14:ligatures w14:val="none"/>
        </w:rPr>
      </w:pPr>
      <w:r w:rsidRPr="004004C7">
        <w:rPr>
          <w:rFonts w:eastAsia="Times New Roman" w:cs="Times New Roman"/>
          <w:kern w:val="0"/>
          <w:szCs w:val="20"/>
          <w14:ligatures w14:val="none"/>
        </w:rPr>
        <w:lastRenderedPageBreak/>
        <w:t> </w:t>
      </w:r>
    </w:p>
    <w:p w:rsidRPr="004004C7" w:rsidR="004004C7" w:rsidP="004004C7" w:rsidRDefault="004004C7" w14:paraId="20DA388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Mar>
          <w:left w:w="0" w:type="dxa"/>
          <w:right w:w="0" w:type="dxa"/>
        </w:tblCellMar>
        <w:tblLook w:val="04A0" w:firstRow="1" w:lastRow="0" w:firstColumn="1" w:lastColumn="0" w:noHBand="0" w:noVBand="1"/>
      </w:tblPr>
      <w:tblGrid>
        <w:gridCol w:w="4474"/>
        <w:gridCol w:w="50"/>
        <w:gridCol w:w="50"/>
        <w:gridCol w:w="1067"/>
        <w:gridCol w:w="67"/>
        <w:gridCol w:w="50"/>
        <w:gridCol w:w="50"/>
        <w:gridCol w:w="1067"/>
        <w:gridCol w:w="67"/>
        <w:gridCol w:w="50"/>
        <w:gridCol w:w="50"/>
        <w:gridCol w:w="1067"/>
        <w:gridCol w:w="67"/>
        <w:gridCol w:w="50"/>
        <w:gridCol w:w="100"/>
        <w:gridCol w:w="967"/>
        <w:gridCol w:w="67"/>
      </w:tblGrid>
      <w:tr w:rsidRPr="004004C7" w:rsidR="004004C7" w:rsidTr="004004C7" w14:paraId="220A93A8" w14:textId="77777777">
        <w:tc>
          <w:tcPr>
            <w:tcW w:w="0" w:type="auto"/>
            <w:vAlign w:val="bottom"/>
            <w:hideMark/>
          </w:tcPr>
          <w:p w:rsidRPr="004004C7" w:rsidR="004004C7" w:rsidP="004004C7" w:rsidRDefault="004004C7" w14:paraId="6EB72BFE"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041F9BC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14"/>
            <w:tcBorders>
              <w:bottom w:val="single" w:color="000000" w:sz="12" w:space="0"/>
            </w:tcBorders>
            <w:vAlign w:val="bottom"/>
            <w:hideMark/>
          </w:tcPr>
          <w:p w:rsidRPr="004004C7" w:rsidR="004004C7" w:rsidP="004004C7" w:rsidRDefault="004004C7" w14:paraId="4BA7AF01"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Years Ended March 31,</w:t>
            </w:r>
          </w:p>
        </w:tc>
        <w:tc>
          <w:tcPr>
            <w:tcW w:w="0" w:type="auto"/>
            <w:tcMar>
              <w:top w:w="0" w:type="dxa"/>
              <w:left w:w="0" w:type="dxa"/>
              <w:bottom w:w="30" w:type="dxa"/>
              <w:right w:w="0" w:type="dxa"/>
            </w:tcMar>
            <w:vAlign w:val="bottom"/>
            <w:hideMark/>
          </w:tcPr>
          <w:p w:rsidRPr="004004C7" w:rsidR="004004C7" w:rsidP="004004C7" w:rsidRDefault="004004C7" w14:paraId="7AF19C6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7B74D7FA" w14:textId="77777777">
        <w:tc>
          <w:tcPr>
            <w:tcW w:w="0" w:type="auto"/>
            <w:vAlign w:val="bottom"/>
            <w:hideMark/>
          </w:tcPr>
          <w:p w:rsidRPr="004004C7" w:rsidR="004004C7" w:rsidP="004004C7" w:rsidRDefault="004004C7" w14:paraId="0ACF6555"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516F246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2FD54C6E"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2023</w:t>
            </w:r>
          </w:p>
        </w:tc>
        <w:tc>
          <w:tcPr>
            <w:tcW w:w="0" w:type="auto"/>
            <w:tcMar>
              <w:top w:w="0" w:type="dxa"/>
              <w:left w:w="0" w:type="dxa"/>
              <w:bottom w:w="30" w:type="dxa"/>
              <w:right w:w="0" w:type="dxa"/>
            </w:tcMar>
            <w:vAlign w:val="bottom"/>
            <w:hideMark/>
          </w:tcPr>
          <w:p w:rsidRPr="004004C7" w:rsidR="004004C7" w:rsidP="004004C7" w:rsidRDefault="004004C7" w14:paraId="24E1E1D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08A1D2B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431CA51F"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2024</w:t>
            </w:r>
          </w:p>
        </w:tc>
        <w:tc>
          <w:tcPr>
            <w:tcW w:w="0" w:type="auto"/>
            <w:tcMar>
              <w:top w:w="0" w:type="dxa"/>
              <w:left w:w="0" w:type="dxa"/>
              <w:bottom w:w="30" w:type="dxa"/>
              <w:right w:w="0" w:type="dxa"/>
            </w:tcMar>
            <w:vAlign w:val="bottom"/>
            <w:hideMark/>
          </w:tcPr>
          <w:p w:rsidRPr="004004C7" w:rsidR="004004C7" w:rsidP="004004C7" w:rsidRDefault="004004C7" w14:paraId="3CF7616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7961007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195BB0B8"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0" w:type="auto"/>
            <w:tcMar>
              <w:top w:w="0" w:type="dxa"/>
              <w:left w:w="0" w:type="dxa"/>
              <w:bottom w:w="30" w:type="dxa"/>
              <w:right w:w="0" w:type="dxa"/>
            </w:tcMar>
            <w:vAlign w:val="bottom"/>
            <w:hideMark/>
          </w:tcPr>
          <w:p w:rsidRPr="004004C7" w:rsidR="004004C7" w:rsidP="004004C7" w:rsidRDefault="004004C7" w14:paraId="6D97547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618F457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5069054D"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0" w:type="auto"/>
            <w:tcMar>
              <w:top w:w="0" w:type="dxa"/>
              <w:left w:w="0" w:type="dxa"/>
              <w:bottom w:w="30" w:type="dxa"/>
              <w:right w:w="0" w:type="dxa"/>
            </w:tcMar>
            <w:vAlign w:val="bottom"/>
            <w:hideMark/>
          </w:tcPr>
          <w:p w:rsidRPr="004004C7" w:rsidR="004004C7" w:rsidP="004004C7" w:rsidRDefault="004004C7" w14:paraId="67FD4CB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22ABBADC" w14:textId="77777777">
        <w:tc>
          <w:tcPr>
            <w:tcW w:w="0" w:type="auto"/>
            <w:vAlign w:val="bottom"/>
            <w:hideMark/>
          </w:tcPr>
          <w:p w:rsidRPr="004004C7" w:rsidR="004004C7" w:rsidP="004004C7" w:rsidRDefault="004004C7" w14:paraId="4C8E874F"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12E9B45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2AB87B39"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025BF8B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1D61A1D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458A2CF1"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60EAEBB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2F62E23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7F8C498A"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43EE27D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227C6FD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1ADBCFDF"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(US$)</w:t>
            </w:r>
          </w:p>
        </w:tc>
        <w:tc>
          <w:tcPr>
            <w:tcW w:w="0" w:type="auto"/>
            <w:vAlign w:val="bottom"/>
            <w:hideMark/>
          </w:tcPr>
          <w:p w:rsidRPr="004004C7" w:rsidR="004004C7" w:rsidP="004004C7" w:rsidRDefault="004004C7" w14:paraId="7DC2510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2D34EE64" w14:textId="77777777">
        <w:tc>
          <w:tcPr>
            <w:tcW w:w="2600" w:type="pct"/>
            <w:shd w:val="clear" w:color="auto" w:fill="CCEEFF"/>
            <w:tcMar>
              <w:top w:w="0" w:type="dxa"/>
              <w:left w:w="180" w:type="dxa"/>
              <w:bottom w:w="0" w:type="dxa"/>
              <w:right w:w="0" w:type="dxa"/>
            </w:tcMar>
            <w:vAlign w:val="bottom"/>
            <w:hideMark/>
          </w:tcPr>
          <w:p w:rsidRPr="004004C7" w:rsidR="004004C7" w:rsidP="004004C7" w:rsidRDefault="004004C7" w14:paraId="312C55AD"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Revenues</w:t>
            </w:r>
          </w:p>
        </w:tc>
        <w:tc>
          <w:tcPr>
            <w:tcW w:w="50" w:type="pct"/>
            <w:shd w:val="clear" w:color="auto" w:fill="CCEEFF"/>
            <w:vAlign w:val="bottom"/>
            <w:hideMark/>
          </w:tcPr>
          <w:p w:rsidRPr="004004C7" w:rsidR="004004C7" w:rsidP="004004C7" w:rsidRDefault="004004C7" w14:paraId="0CDF99D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791D148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shd w:val="clear" w:color="auto" w:fill="CCEEFF"/>
            <w:vAlign w:val="bottom"/>
            <w:hideMark/>
          </w:tcPr>
          <w:p w:rsidRPr="004004C7" w:rsidR="004004C7" w:rsidP="004004C7" w:rsidRDefault="004004C7" w14:paraId="6BA9A049"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687,201,070</w:t>
            </w:r>
          </w:p>
        </w:tc>
        <w:tc>
          <w:tcPr>
            <w:tcW w:w="50" w:type="pct"/>
            <w:shd w:val="clear" w:color="auto" w:fill="CCEEFF"/>
            <w:vAlign w:val="bottom"/>
            <w:hideMark/>
          </w:tcPr>
          <w:p w:rsidRPr="004004C7" w:rsidR="004004C7" w:rsidP="004004C7" w:rsidRDefault="004004C7" w14:paraId="65770C8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2328623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5F4BF91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shd w:val="clear" w:color="auto" w:fill="CCEEFF"/>
            <w:vAlign w:val="bottom"/>
            <w:hideMark/>
          </w:tcPr>
          <w:p w:rsidRPr="004004C7" w:rsidR="004004C7" w:rsidP="004004C7" w:rsidRDefault="004004C7" w14:paraId="00A0F5C1"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573,418,256</w:t>
            </w:r>
          </w:p>
        </w:tc>
        <w:tc>
          <w:tcPr>
            <w:tcW w:w="50" w:type="pct"/>
            <w:shd w:val="clear" w:color="auto" w:fill="CCEEFF"/>
            <w:vAlign w:val="bottom"/>
            <w:hideMark/>
          </w:tcPr>
          <w:p w:rsidRPr="004004C7" w:rsidR="004004C7" w:rsidP="004004C7" w:rsidRDefault="004004C7" w14:paraId="3A00984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43DE80E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4A03400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shd w:val="clear" w:color="auto" w:fill="CCEEFF"/>
            <w:vAlign w:val="bottom"/>
            <w:hideMark/>
          </w:tcPr>
          <w:p w:rsidRPr="004004C7" w:rsidR="004004C7" w:rsidP="004004C7" w:rsidRDefault="004004C7" w14:paraId="79BC5C41"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614,961,584</w:t>
            </w:r>
          </w:p>
        </w:tc>
        <w:tc>
          <w:tcPr>
            <w:tcW w:w="50" w:type="pct"/>
            <w:shd w:val="clear" w:color="auto" w:fill="CCEEFF"/>
            <w:vAlign w:val="bottom"/>
            <w:hideMark/>
          </w:tcPr>
          <w:p w:rsidRPr="004004C7" w:rsidR="004004C7" w:rsidP="004004C7" w:rsidRDefault="004004C7" w14:paraId="4A2C124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17C6714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32F4AD2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450" w:type="pct"/>
            <w:shd w:val="clear" w:color="auto" w:fill="CCEEFF"/>
            <w:vAlign w:val="bottom"/>
            <w:hideMark/>
          </w:tcPr>
          <w:p w:rsidRPr="004004C7" w:rsidR="004004C7" w:rsidP="004004C7" w:rsidRDefault="004004C7" w14:paraId="6FA45EE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85,670,723</w:t>
            </w:r>
          </w:p>
        </w:tc>
        <w:tc>
          <w:tcPr>
            <w:tcW w:w="50" w:type="pct"/>
            <w:shd w:val="clear" w:color="auto" w:fill="CCEEFF"/>
            <w:vAlign w:val="bottom"/>
            <w:hideMark/>
          </w:tcPr>
          <w:p w:rsidRPr="004004C7" w:rsidR="004004C7" w:rsidP="004004C7" w:rsidRDefault="004004C7" w14:paraId="0FD9AFA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1ED2A516" w14:textId="77777777">
        <w:tc>
          <w:tcPr>
            <w:tcW w:w="0" w:type="auto"/>
            <w:shd w:val="clear" w:color="auto" w:fill="FFFFFF"/>
            <w:tcMar>
              <w:top w:w="0" w:type="dxa"/>
              <w:left w:w="180" w:type="dxa"/>
              <w:bottom w:w="30" w:type="dxa"/>
              <w:right w:w="0" w:type="dxa"/>
            </w:tcMar>
            <w:vAlign w:val="bottom"/>
            <w:hideMark/>
          </w:tcPr>
          <w:p w:rsidRPr="004004C7" w:rsidR="004004C7" w:rsidP="004004C7" w:rsidRDefault="004004C7" w14:paraId="62AA3FCD"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Cost of revenues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85E94A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F78D9A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A439EF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153,360,262</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F36FAE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B44ED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E544EB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35C116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117,688,301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E14773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22EF1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E05814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43D2D8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107,772,147</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A08586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D334DE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43FF6B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4E806D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15,013,812</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45A7F4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5B4CAA69" w14:textId="77777777">
        <w:tc>
          <w:tcPr>
            <w:tcW w:w="0" w:type="auto"/>
            <w:shd w:val="clear" w:color="auto" w:fill="CCEEFF"/>
            <w:tcMar>
              <w:top w:w="0" w:type="dxa"/>
              <w:left w:w="180" w:type="dxa"/>
              <w:bottom w:w="30" w:type="dxa"/>
              <w:right w:w="0" w:type="dxa"/>
            </w:tcMar>
            <w:vAlign w:val="bottom"/>
            <w:hideMark/>
          </w:tcPr>
          <w:p w:rsidRPr="004004C7" w:rsidR="004004C7" w:rsidP="004004C7" w:rsidRDefault="004004C7" w14:paraId="1213F6FD"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Gross profit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2F7120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B7AEF9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645EF9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533,840,808</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40519D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2BD50D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3D2BB4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66803C2"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455,729,955</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F652FA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7E2BF9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0DDB39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440761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507,189,437</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57FFF57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17912F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CD9C98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A1414A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70,656,911</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F6A47A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67F98799"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27327402"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5993FD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33360D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516FF5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E4F2B9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E47F80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A03ED6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3B76AB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E86210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AAE2A5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69B1DC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7D3254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A49EC8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104122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438EF2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73AAF1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15BC09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69397E4"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6AD3F1E3"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Operating expenses:</w:t>
            </w:r>
          </w:p>
        </w:tc>
        <w:tc>
          <w:tcPr>
            <w:tcW w:w="0" w:type="auto"/>
            <w:shd w:val="clear" w:color="auto" w:fill="CCEEFF"/>
            <w:vAlign w:val="bottom"/>
            <w:hideMark/>
          </w:tcPr>
          <w:p w:rsidRPr="004004C7" w:rsidR="004004C7" w:rsidP="004004C7" w:rsidRDefault="004004C7" w14:paraId="5FF3949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E9839E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0F20C9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0DAB7A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1C3781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2E3446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3C3FDC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0EBBDB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EDB04E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358EF4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5E18EC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92F436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539C1D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3CD9BB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1DB69B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97347B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24C7048F"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2736E032"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Selling and marketing</w:t>
            </w:r>
          </w:p>
        </w:tc>
        <w:tc>
          <w:tcPr>
            <w:tcW w:w="0" w:type="auto"/>
            <w:shd w:val="clear" w:color="auto" w:fill="FFFFFF"/>
            <w:vAlign w:val="bottom"/>
            <w:hideMark/>
          </w:tcPr>
          <w:p w:rsidRPr="004004C7" w:rsidR="004004C7" w:rsidP="004004C7" w:rsidRDefault="004004C7" w14:paraId="7F4393E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E8D4E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E04635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272,927,356</w:t>
            </w:r>
          </w:p>
        </w:tc>
        <w:tc>
          <w:tcPr>
            <w:tcW w:w="0" w:type="auto"/>
            <w:shd w:val="clear" w:color="auto" w:fill="FFFFFF"/>
            <w:vAlign w:val="bottom"/>
            <w:hideMark/>
          </w:tcPr>
          <w:p w:rsidRPr="004004C7" w:rsidR="004004C7" w:rsidP="004004C7" w:rsidRDefault="004004C7" w14:paraId="396499E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3706EC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B57D0C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2F0D9A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301,259,528</w:t>
            </w:r>
          </w:p>
        </w:tc>
        <w:tc>
          <w:tcPr>
            <w:tcW w:w="0" w:type="auto"/>
            <w:shd w:val="clear" w:color="auto" w:fill="FFFFFF"/>
            <w:vAlign w:val="bottom"/>
            <w:hideMark/>
          </w:tcPr>
          <w:p w:rsidRPr="004004C7" w:rsidR="004004C7" w:rsidP="004004C7" w:rsidRDefault="004004C7" w14:paraId="0CDBA00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097391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476B7B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972F1C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281,429,426</w:t>
            </w:r>
          </w:p>
        </w:tc>
        <w:tc>
          <w:tcPr>
            <w:tcW w:w="0" w:type="auto"/>
            <w:shd w:val="clear" w:color="auto" w:fill="FFFFFF"/>
            <w:vAlign w:val="bottom"/>
            <w:hideMark/>
          </w:tcPr>
          <w:p w:rsidRPr="004004C7" w:rsidR="004004C7" w:rsidP="004004C7" w:rsidRDefault="004004C7" w14:paraId="49B304C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3CB7F9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0EAA54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4D2DA4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39,206,128</w:t>
            </w:r>
          </w:p>
        </w:tc>
        <w:tc>
          <w:tcPr>
            <w:tcW w:w="0" w:type="auto"/>
            <w:shd w:val="clear" w:color="auto" w:fill="FFFFFF"/>
            <w:vAlign w:val="bottom"/>
            <w:hideMark/>
          </w:tcPr>
          <w:p w:rsidRPr="004004C7" w:rsidR="004004C7" w:rsidP="004004C7" w:rsidRDefault="004004C7" w14:paraId="480C8E9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4E03FABD"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0206A34A"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General and administrative</w:t>
            </w:r>
          </w:p>
        </w:tc>
        <w:tc>
          <w:tcPr>
            <w:tcW w:w="0" w:type="auto"/>
            <w:shd w:val="clear" w:color="auto" w:fill="CCEEFF"/>
            <w:vAlign w:val="bottom"/>
            <w:hideMark/>
          </w:tcPr>
          <w:p w:rsidRPr="004004C7" w:rsidR="004004C7" w:rsidP="004004C7" w:rsidRDefault="004004C7" w14:paraId="53B3105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786DE3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C085B3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72,939,790</w:t>
            </w:r>
          </w:p>
        </w:tc>
        <w:tc>
          <w:tcPr>
            <w:tcW w:w="0" w:type="auto"/>
            <w:shd w:val="clear" w:color="auto" w:fill="CCEEFF"/>
            <w:vAlign w:val="bottom"/>
            <w:hideMark/>
          </w:tcPr>
          <w:p w:rsidRPr="004004C7" w:rsidR="004004C7" w:rsidP="004004C7" w:rsidRDefault="004004C7" w14:paraId="57A1433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09DAD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C043AB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94D4F6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140,086,062</w:t>
            </w:r>
          </w:p>
        </w:tc>
        <w:tc>
          <w:tcPr>
            <w:tcW w:w="0" w:type="auto"/>
            <w:shd w:val="clear" w:color="auto" w:fill="CCEEFF"/>
            <w:vAlign w:val="bottom"/>
            <w:hideMark/>
          </w:tcPr>
          <w:p w:rsidRPr="004004C7" w:rsidR="004004C7" w:rsidP="004004C7" w:rsidRDefault="004004C7" w14:paraId="55EC02D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A36364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CCCBD1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57E4AB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128,967,761</w:t>
            </w:r>
          </w:p>
        </w:tc>
        <w:tc>
          <w:tcPr>
            <w:tcW w:w="0" w:type="auto"/>
            <w:shd w:val="clear" w:color="auto" w:fill="CCEEFF"/>
            <w:vAlign w:val="bottom"/>
            <w:hideMark/>
          </w:tcPr>
          <w:p w:rsidRPr="004004C7" w:rsidR="004004C7" w:rsidP="004004C7" w:rsidRDefault="004004C7" w14:paraId="5905D70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017F5D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240584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987AE0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17,966,588</w:t>
            </w:r>
          </w:p>
        </w:tc>
        <w:tc>
          <w:tcPr>
            <w:tcW w:w="0" w:type="auto"/>
            <w:shd w:val="clear" w:color="auto" w:fill="CCEEFF"/>
            <w:vAlign w:val="bottom"/>
            <w:hideMark/>
          </w:tcPr>
          <w:p w:rsidRPr="004004C7" w:rsidR="004004C7" w:rsidP="004004C7" w:rsidRDefault="004004C7" w14:paraId="252D182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52AE4C6"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09B70073"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Impairment loss on inventory, property, plant and equipment and other assets</w:t>
            </w:r>
          </w:p>
        </w:tc>
        <w:tc>
          <w:tcPr>
            <w:tcW w:w="0" w:type="auto"/>
            <w:shd w:val="clear" w:color="auto" w:fill="FFFFFF"/>
            <w:vAlign w:val="bottom"/>
            <w:hideMark/>
          </w:tcPr>
          <w:p w:rsidRPr="004004C7" w:rsidR="004004C7" w:rsidP="004004C7" w:rsidRDefault="004004C7" w14:paraId="4C9902C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50DA08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6D4596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8,655,487</w:t>
            </w:r>
          </w:p>
        </w:tc>
        <w:tc>
          <w:tcPr>
            <w:tcW w:w="0" w:type="auto"/>
            <w:shd w:val="clear" w:color="auto" w:fill="FFFFFF"/>
            <w:vAlign w:val="bottom"/>
            <w:hideMark/>
          </w:tcPr>
          <w:p w:rsidRPr="004004C7" w:rsidR="004004C7" w:rsidP="004004C7" w:rsidRDefault="004004C7" w14:paraId="6B7574C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40E5D1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61566C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E141DE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157,415,875</w:t>
            </w:r>
          </w:p>
        </w:tc>
        <w:tc>
          <w:tcPr>
            <w:tcW w:w="0" w:type="auto"/>
            <w:shd w:val="clear" w:color="auto" w:fill="FFFFFF"/>
            <w:vAlign w:val="bottom"/>
            <w:hideMark/>
          </w:tcPr>
          <w:p w:rsidRPr="004004C7" w:rsidR="004004C7" w:rsidP="004004C7" w:rsidRDefault="004004C7" w14:paraId="64CC29A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7675D9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37F17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DB047F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36,715,041</w:t>
            </w:r>
          </w:p>
        </w:tc>
        <w:tc>
          <w:tcPr>
            <w:tcW w:w="0" w:type="auto"/>
            <w:shd w:val="clear" w:color="auto" w:fill="FFFFFF"/>
            <w:vAlign w:val="bottom"/>
            <w:hideMark/>
          </w:tcPr>
          <w:p w:rsidRPr="004004C7" w:rsidR="004004C7" w:rsidP="004004C7" w:rsidRDefault="004004C7" w14:paraId="4EC6A2C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55EAAE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BCED26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86BAB7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5,114,798</w:t>
            </w:r>
          </w:p>
        </w:tc>
        <w:tc>
          <w:tcPr>
            <w:tcW w:w="0" w:type="auto"/>
            <w:shd w:val="clear" w:color="auto" w:fill="FFFFFF"/>
            <w:vAlign w:val="bottom"/>
            <w:hideMark/>
          </w:tcPr>
          <w:p w:rsidRPr="004004C7" w:rsidR="004004C7" w:rsidP="004004C7" w:rsidRDefault="004004C7" w14:paraId="759EB8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0920F01"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39976250"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Research and development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7FA35D7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946A11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59E9BA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318,700,526</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0C5A37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91CF19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66DBE4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B2A2E2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302,800,992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C3A092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97EF03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5D26B4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469B7C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146,369,093</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6BCA10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5D7AE2C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E5A1C6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2011CF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20,390,779</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2FC0553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07E4D6B" w14:textId="77777777">
        <w:tc>
          <w:tcPr>
            <w:tcW w:w="0" w:type="auto"/>
            <w:shd w:val="clear" w:color="auto" w:fill="FFFFFF"/>
            <w:tcMar>
              <w:top w:w="0" w:type="dxa"/>
              <w:left w:w="180" w:type="dxa"/>
              <w:bottom w:w="30" w:type="dxa"/>
              <w:right w:w="0" w:type="dxa"/>
            </w:tcMar>
            <w:vAlign w:val="bottom"/>
            <w:hideMark/>
          </w:tcPr>
          <w:p w:rsidRPr="004004C7" w:rsidR="004004C7" w:rsidP="004004C7" w:rsidRDefault="004004C7" w14:paraId="7E563BAD"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operating expenses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D3C636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0BDEF5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1938152"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673,223,159</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2D500C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08BB1E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4A34BC1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41FBE2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901,562,457</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0CEC02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6AF484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D75968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31C89B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593,481,321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8DD098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2C443A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E64714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E5A8430"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82,678,293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18E05B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139CC37B"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686CD916"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2D10B5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8ABF29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786BF1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75C765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135DEC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AB0179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086B90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B7516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5FEB7E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7E1FF4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40AD88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F2274E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7ECDB4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4A40BB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461CFF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774B6F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F5206C8"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000408AC"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Loss from operations</w:t>
            </w:r>
          </w:p>
        </w:tc>
        <w:tc>
          <w:tcPr>
            <w:tcW w:w="0" w:type="auto"/>
            <w:shd w:val="clear" w:color="auto" w:fill="FFFFFF"/>
            <w:vAlign w:val="bottom"/>
            <w:hideMark/>
          </w:tcPr>
          <w:p w:rsidRPr="004004C7" w:rsidR="004004C7" w:rsidP="004004C7" w:rsidRDefault="004004C7" w14:paraId="35CD70C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256D127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6469093C"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(139,382,351</w:t>
            </w:r>
          </w:p>
        </w:tc>
        <w:tc>
          <w:tcPr>
            <w:tcW w:w="0" w:type="auto"/>
            <w:shd w:val="clear" w:color="auto" w:fill="FFFFFF"/>
            <w:vAlign w:val="bottom"/>
            <w:hideMark/>
          </w:tcPr>
          <w:p w:rsidRPr="004004C7" w:rsidR="004004C7" w:rsidP="004004C7" w:rsidRDefault="004004C7" w14:paraId="2C9425A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FFFFFF"/>
            <w:vAlign w:val="bottom"/>
            <w:hideMark/>
          </w:tcPr>
          <w:p w:rsidRPr="004004C7" w:rsidR="004004C7" w:rsidP="004004C7" w:rsidRDefault="004004C7" w14:paraId="4A745B5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6CE202B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358FBB1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(445,832,502</w:t>
            </w:r>
          </w:p>
        </w:tc>
        <w:tc>
          <w:tcPr>
            <w:tcW w:w="0" w:type="auto"/>
            <w:shd w:val="clear" w:color="auto" w:fill="FFFFFF"/>
            <w:vAlign w:val="bottom"/>
            <w:hideMark/>
          </w:tcPr>
          <w:p w:rsidRPr="004004C7" w:rsidR="004004C7" w:rsidP="004004C7" w:rsidRDefault="004004C7" w14:paraId="660A390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FFFFFF"/>
            <w:vAlign w:val="bottom"/>
            <w:hideMark/>
          </w:tcPr>
          <w:p w:rsidRPr="004004C7" w:rsidR="004004C7" w:rsidP="004004C7" w:rsidRDefault="004004C7" w14:paraId="313B88A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53F756B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52C5E28C"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(86,291,884</w:t>
            </w:r>
          </w:p>
        </w:tc>
        <w:tc>
          <w:tcPr>
            <w:tcW w:w="0" w:type="auto"/>
            <w:shd w:val="clear" w:color="auto" w:fill="FFFFFF"/>
            <w:vAlign w:val="bottom"/>
            <w:hideMark/>
          </w:tcPr>
          <w:p w:rsidRPr="004004C7" w:rsidR="004004C7" w:rsidP="004004C7" w:rsidRDefault="004004C7" w14:paraId="0C9106A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FFFFFF"/>
            <w:vAlign w:val="bottom"/>
            <w:hideMark/>
          </w:tcPr>
          <w:p w:rsidRPr="004004C7" w:rsidR="004004C7" w:rsidP="004004C7" w:rsidRDefault="004004C7" w14:paraId="32B9F15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226B7B6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106AFDFC"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(12,021,382</w:t>
            </w:r>
          </w:p>
        </w:tc>
        <w:tc>
          <w:tcPr>
            <w:tcW w:w="0" w:type="auto"/>
            <w:shd w:val="clear" w:color="auto" w:fill="FFFFFF"/>
            <w:vAlign w:val="bottom"/>
            <w:hideMark/>
          </w:tcPr>
          <w:p w:rsidRPr="004004C7" w:rsidR="004004C7" w:rsidP="004004C7" w:rsidRDefault="004004C7" w14:paraId="739E69E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0DD10FD7"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28DAF94E"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39AE6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87EFE1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AE662B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364EBD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1B8017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B1C860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04E679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AE852B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DB8ED1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A6BC22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3041A4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F6FD90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0E68C5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7A3679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2C9A7E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D3A3A0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BD453B9"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285967CA"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Other income (expenses):</w:t>
            </w:r>
          </w:p>
        </w:tc>
        <w:tc>
          <w:tcPr>
            <w:tcW w:w="0" w:type="auto"/>
            <w:shd w:val="clear" w:color="auto" w:fill="FFFFFF"/>
            <w:vAlign w:val="bottom"/>
            <w:hideMark/>
          </w:tcPr>
          <w:p w:rsidRPr="004004C7" w:rsidR="004004C7" w:rsidP="004004C7" w:rsidRDefault="004004C7" w14:paraId="08EF7FE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70B402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5A948A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A5562C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8BBF90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E4EA3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9D77AA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A880E3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0960F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7D997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194A12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DF6FE6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789A55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6987C6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2E9630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E897ED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EAFF245"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1B9CDB04"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Late fees for taxes other than income tax</w:t>
            </w:r>
          </w:p>
        </w:tc>
        <w:tc>
          <w:tcPr>
            <w:tcW w:w="0" w:type="auto"/>
            <w:shd w:val="clear" w:color="auto" w:fill="CCEEFF"/>
            <w:vAlign w:val="bottom"/>
            <w:hideMark/>
          </w:tcPr>
          <w:p w:rsidRPr="004004C7" w:rsidR="004004C7" w:rsidP="004004C7" w:rsidRDefault="004004C7" w14:paraId="6B8AF73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D3A5C0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2EA811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(3,603</w:t>
            </w:r>
          </w:p>
        </w:tc>
        <w:tc>
          <w:tcPr>
            <w:tcW w:w="0" w:type="auto"/>
            <w:shd w:val="clear" w:color="auto" w:fill="CCEEFF"/>
            <w:vAlign w:val="bottom"/>
            <w:hideMark/>
          </w:tcPr>
          <w:p w:rsidRPr="004004C7" w:rsidR="004004C7" w:rsidP="004004C7" w:rsidRDefault="004004C7" w14:paraId="096740CD"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592DAC1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8301AB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87CC97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66490FC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BEE23F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9E6DE8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8F3971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43F73F9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F4F6A9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4B8B11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C6EACF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1CEEC2B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DC529D9"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0EEDFF1C"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Late fees for social security insurance</w:t>
            </w:r>
          </w:p>
        </w:tc>
        <w:tc>
          <w:tcPr>
            <w:tcW w:w="0" w:type="auto"/>
            <w:shd w:val="clear" w:color="auto" w:fill="FFFFFF"/>
            <w:vAlign w:val="bottom"/>
            <w:hideMark/>
          </w:tcPr>
          <w:p w:rsidRPr="004004C7" w:rsidR="004004C7" w:rsidP="004004C7" w:rsidRDefault="004004C7" w14:paraId="5B6097E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3B17F9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B78C6E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(747,609</w:t>
            </w:r>
          </w:p>
        </w:tc>
        <w:tc>
          <w:tcPr>
            <w:tcW w:w="0" w:type="auto"/>
            <w:shd w:val="clear" w:color="auto" w:fill="FFFFFF"/>
            <w:vAlign w:val="bottom"/>
            <w:hideMark/>
          </w:tcPr>
          <w:p w:rsidRPr="004004C7" w:rsidR="004004C7" w:rsidP="004004C7" w:rsidRDefault="004004C7" w14:paraId="13738036"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510A477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265AF9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20E5FF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(756,201</w:t>
            </w:r>
          </w:p>
        </w:tc>
        <w:tc>
          <w:tcPr>
            <w:tcW w:w="0" w:type="auto"/>
            <w:shd w:val="clear" w:color="auto" w:fill="FFFFFF"/>
            <w:vAlign w:val="bottom"/>
            <w:hideMark/>
          </w:tcPr>
          <w:p w:rsidRPr="004004C7" w:rsidR="004004C7" w:rsidP="004004C7" w:rsidRDefault="004004C7" w14:paraId="5C846956"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5EC9E39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22C8EB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26BD62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(454,863</w:t>
            </w:r>
          </w:p>
        </w:tc>
        <w:tc>
          <w:tcPr>
            <w:tcW w:w="0" w:type="auto"/>
            <w:shd w:val="clear" w:color="auto" w:fill="FFFFFF"/>
            <w:vAlign w:val="bottom"/>
            <w:hideMark/>
          </w:tcPr>
          <w:p w:rsidRPr="004004C7" w:rsidR="004004C7" w:rsidP="004004C7" w:rsidRDefault="004004C7" w14:paraId="7E045211"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06CD3F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AFF330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B54FAF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(63,367</w:t>
            </w:r>
          </w:p>
        </w:tc>
        <w:tc>
          <w:tcPr>
            <w:tcW w:w="0" w:type="auto"/>
            <w:shd w:val="clear" w:color="auto" w:fill="FFFFFF"/>
            <w:vAlign w:val="bottom"/>
            <w:hideMark/>
          </w:tcPr>
          <w:p w:rsidRPr="004004C7" w:rsidR="004004C7" w:rsidP="004004C7" w:rsidRDefault="004004C7" w14:paraId="062CBFC2"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075B57D6"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0FE368C4"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Government grants</w:t>
            </w:r>
          </w:p>
        </w:tc>
        <w:tc>
          <w:tcPr>
            <w:tcW w:w="0" w:type="auto"/>
            <w:shd w:val="clear" w:color="auto" w:fill="CCEEFF"/>
            <w:vAlign w:val="bottom"/>
            <w:hideMark/>
          </w:tcPr>
          <w:p w:rsidRPr="004004C7" w:rsidR="004004C7" w:rsidP="004004C7" w:rsidRDefault="004004C7" w14:paraId="2236CF4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BBB2A8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65BD61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26,072,517</w:t>
            </w:r>
          </w:p>
        </w:tc>
        <w:tc>
          <w:tcPr>
            <w:tcW w:w="0" w:type="auto"/>
            <w:shd w:val="clear" w:color="auto" w:fill="CCEEFF"/>
            <w:vAlign w:val="bottom"/>
            <w:hideMark/>
          </w:tcPr>
          <w:p w:rsidRPr="004004C7" w:rsidR="004004C7" w:rsidP="004004C7" w:rsidRDefault="004004C7" w14:paraId="4C31D22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E58F8A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648765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4EFABC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20,708,778</w:t>
            </w:r>
          </w:p>
        </w:tc>
        <w:tc>
          <w:tcPr>
            <w:tcW w:w="0" w:type="auto"/>
            <w:shd w:val="clear" w:color="auto" w:fill="CCEEFF"/>
            <w:vAlign w:val="bottom"/>
            <w:hideMark/>
          </w:tcPr>
          <w:p w:rsidRPr="004004C7" w:rsidR="004004C7" w:rsidP="004004C7" w:rsidRDefault="004004C7" w14:paraId="399D23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C62AA9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037036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9894D4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5,125,566</w:t>
            </w:r>
          </w:p>
        </w:tc>
        <w:tc>
          <w:tcPr>
            <w:tcW w:w="0" w:type="auto"/>
            <w:shd w:val="clear" w:color="auto" w:fill="CCEEFF"/>
            <w:vAlign w:val="bottom"/>
            <w:hideMark/>
          </w:tcPr>
          <w:p w:rsidRPr="004004C7" w:rsidR="004004C7" w:rsidP="004004C7" w:rsidRDefault="004004C7" w14:paraId="5366304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256CF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774E4B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A77EE5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714,046</w:t>
            </w:r>
          </w:p>
        </w:tc>
        <w:tc>
          <w:tcPr>
            <w:tcW w:w="0" w:type="auto"/>
            <w:shd w:val="clear" w:color="auto" w:fill="CCEEFF"/>
            <w:vAlign w:val="bottom"/>
            <w:hideMark/>
          </w:tcPr>
          <w:p w:rsidRPr="004004C7" w:rsidR="004004C7" w:rsidP="004004C7" w:rsidRDefault="004004C7" w14:paraId="76005F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B25292B" w14:textId="77777777">
        <w:tc>
          <w:tcPr>
            <w:tcW w:w="0" w:type="auto"/>
            <w:shd w:val="clear" w:color="auto" w:fill="FFFFFF"/>
            <w:tcMar>
              <w:top w:w="0" w:type="dxa"/>
              <w:left w:w="360" w:type="dxa"/>
              <w:bottom w:w="0" w:type="dxa"/>
              <w:right w:w="0" w:type="dxa"/>
            </w:tcMar>
            <w:vAlign w:val="bottom"/>
            <w:hideMark/>
          </w:tcPr>
          <w:p w:rsidRPr="004004C7" w:rsidR="004004C7" w:rsidP="004004C7" w:rsidRDefault="004004C7" w14:paraId="56456D1B"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Financial expenses</w:t>
            </w:r>
          </w:p>
        </w:tc>
        <w:tc>
          <w:tcPr>
            <w:tcW w:w="0" w:type="auto"/>
            <w:shd w:val="clear" w:color="auto" w:fill="FFFFFF"/>
            <w:vAlign w:val="bottom"/>
            <w:hideMark/>
          </w:tcPr>
          <w:p w:rsidRPr="004004C7" w:rsidR="004004C7" w:rsidP="004004C7" w:rsidRDefault="004004C7" w14:paraId="40777FC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36D960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E21BF9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(30,857,673</w:t>
            </w:r>
          </w:p>
        </w:tc>
        <w:tc>
          <w:tcPr>
            <w:tcW w:w="0" w:type="auto"/>
            <w:shd w:val="clear" w:color="auto" w:fill="FFFFFF"/>
            <w:vAlign w:val="bottom"/>
            <w:hideMark/>
          </w:tcPr>
          <w:p w:rsidRPr="004004C7" w:rsidR="004004C7" w:rsidP="004004C7" w:rsidRDefault="004004C7" w14:paraId="4FBF17E2"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71041CC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5D0084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8DA88D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(44,344,808</w:t>
            </w:r>
          </w:p>
        </w:tc>
        <w:tc>
          <w:tcPr>
            <w:tcW w:w="0" w:type="auto"/>
            <w:shd w:val="clear" w:color="auto" w:fill="FFFFFF"/>
            <w:vAlign w:val="bottom"/>
            <w:hideMark/>
          </w:tcPr>
          <w:p w:rsidRPr="004004C7" w:rsidR="004004C7" w:rsidP="004004C7" w:rsidRDefault="004004C7" w14:paraId="52C0CCBD"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497B5BA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C79071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A10DD6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(15,739,410</w:t>
            </w:r>
          </w:p>
        </w:tc>
        <w:tc>
          <w:tcPr>
            <w:tcW w:w="0" w:type="auto"/>
            <w:shd w:val="clear" w:color="auto" w:fill="FFFFFF"/>
            <w:vAlign w:val="bottom"/>
            <w:hideMark/>
          </w:tcPr>
          <w:p w:rsidRPr="004004C7" w:rsidR="004004C7" w:rsidP="004004C7" w:rsidRDefault="004004C7" w14:paraId="2409DA03"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28FD5DA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AFEFB8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305444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(2,192,668</w:t>
            </w:r>
          </w:p>
        </w:tc>
        <w:tc>
          <w:tcPr>
            <w:tcW w:w="0" w:type="auto"/>
            <w:shd w:val="clear" w:color="auto" w:fill="FFFFFF"/>
            <w:vAlign w:val="bottom"/>
            <w:hideMark/>
          </w:tcPr>
          <w:p w:rsidRPr="004004C7" w:rsidR="004004C7" w:rsidP="004004C7" w:rsidRDefault="004004C7" w14:paraId="3C198C39"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51B28E4F" w14:textId="77777777">
        <w:tc>
          <w:tcPr>
            <w:tcW w:w="0" w:type="auto"/>
            <w:shd w:val="clear" w:color="auto" w:fill="CCEEFF"/>
            <w:tcMar>
              <w:top w:w="0" w:type="dxa"/>
              <w:left w:w="360" w:type="dxa"/>
              <w:bottom w:w="0" w:type="dxa"/>
              <w:right w:w="0" w:type="dxa"/>
            </w:tcMar>
            <w:vAlign w:val="bottom"/>
            <w:hideMark/>
          </w:tcPr>
          <w:p w:rsidRPr="004004C7" w:rsidR="004004C7" w:rsidP="004004C7" w:rsidRDefault="004004C7" w14:paraId="1BA934E2"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Fair value changes of warrant liability</w:t>
            </w:r>
          </w:p>
        </w:tc>
        <w:tc>
          <w:tcPr>
            <w:tcW w:w="0" w:type="auto"/>
            <w:shd w:val="clear" w:color="auto" w:fill="CCEEFF"/>
            <w:vAlign w:val="bottom"/>
            <w:hideMark/>
          </w:tcPr>
          <w:p w:rsidRPr="004004C7" w:rsidR="004004C7" w:rsidP="004004C7" w:rsidRDefault="004004C7" w14:paraId="455E88E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6B71F1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A2FD9D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21,358</w:t>
            </w:r>
          </w:p>
        </w:tc>
        <w:tc>
          <w:tcPr>
            <w:tcW w:w="0" w:type="auto"/>
            <w:shd w:val="clear" w:color="auto" w:fill="CCEEFF"/>
            <w:vAlign w:val="bottom"/>
            <w:hideMark/>
          </w:tcPr>
          <w:p w:rsidRPr="004004C7" w:rsidR="004004C7" w:rsidP="004004C7" w:rsidRDefault="004004C7" w14:paraId="28C5FBC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E59E5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9CEECE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2626B8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4,458,844</w:t>
            </w:r>
          </w:p>
        </w:tc>
        <w:tc>
          <w:tcPr>
            <w:tcW w:w="0" w:type="auto"/>
            <w:shd w:val="clear" w:color="auto" w:fill="CCEEFF"/>
            <w:vAlign w:val="bottom"/>
            <w:hideMark/>
          </w:tcPr>
          <w:p w:rsidRPr="004004C7" w:rsidR="004004C7" w:rsidP="004004C7" w:rsidRDefault="004004C7" w14:paraId="54C4C4B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BBB2E5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6EDB09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79CB42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1,149,792</w:t>
            </w:r>
          </w:p>
        </w:tc>
        <w:tc>
          <w:tcPr>
            <w:tcW w:w="0" w:type="auto"/>
            <w:shd w:val="clear" w:color="auto" w:fill="CCEEFF"/>
            <w:vAlign w:val="bottom"/>
            <w:hideMark/>
          </w:tcPr>
          <w:p w:rsidRPr="004004C7" w:rsidR="004004C7" w:rsidP="004004C7" w:rsidRDefault="004004C7" w14:paraId="71B701A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4C7F95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6B5D1D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83F8D9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160,178</w:t>
            </w:r>
          </w:p>
        </w:tc>
        <w:tc>
          <w:tcPr>
            <w:tcW w:w="0" w:type="auto"/>
            <w:shd w:val="clear" w:color="auto" w:fill="CCEEFF"/>
            <w:vAlign w:val="bottom"/>
            <w:hideMark/>
          </w:tcPr>
          <w:p w:rsidRPr="004004C7" w:rsidR="004004C7" w:rsidP="004004C7" w:rsidRDefault="004004C7" w14:paraId="59273F4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112812A"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4A0A438A"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Other income(expense)</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6CDF2F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5EF459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74DE42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551,760</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237C49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07E268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298058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D1987C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10,572,411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77BA94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E1AC30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3B94F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71FEEA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(4,718,525</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F1467EB"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CE392F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18ACE0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50F8FE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(657,341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1108030"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3BCAF74D" w14:textId="77777777">
        <w:tc>
          <w:tcPr>
            <w:tcW w:w="0" w:type="auto"/>
            <w:shd w:val="clear" w:color="auto" w:fill="CCEEFF"/>
            <w:tcMar>
              <w:top w:w="0" w:type="dxa"/>
              <w:left w:w="360" w:type="dxa"/>
              <w:bottom w:w="30" w:type="dxa"/>
              <w:right w:w="0" w:type="dxa"/>
            </w:tcMar>
            <w:vAlign w:val="bottom"/>
            <w:hideMark/>
          </w:tcPr>
          <w:p w:rsidRPr="004004C7" w:rsidR="004004C7" w:rsidP="004004C7" w:rsidRDefault="004004C7" w14:paraId="3DF1E5ED"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other income (expense)</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40E7B6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AA02C1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DC7CE10"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(4,963,250</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5390AA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5859EC5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CCD0A1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108120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(9,360,976</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DA981C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AE5395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6D67ED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3DCD3169"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(14,637,440</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3ED562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30FA55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A46956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0DF77DA"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(2,039,152</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805A65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02897EAF"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747E1871"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47C8E3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969258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1D2944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6900E0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F7754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FFA14F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8027CA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274EC8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AA208E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53C38F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2616A2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E31B2D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3A6615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0F1D80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8F90A3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50A988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4E47E42"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6FCDAFAD"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Loss before income taxes</w:t>
            </w:r>
          </w:p>
        </w:tc>
        <w:tc>
          <w:tcPr>
            <w:tcW w:w="0" w:type="auto"/>
            <w:shd w:val="clear" w:color="auto" w:fill="CCEEFF"/>
            <w:vAlign w:val="bottom"/>
            <w:hideMark/>
          </w:tcPr>
          <w:p w:rsidRPr="004004C7" w:rsidR="004004C7" w:rsidP="004004C7" w:rsidRDefault="004004C7" w14:paraId="40D9713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70D9350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7D3420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(144,345,601</w:t>
            </w:r>
          </w:p>
        </w:tc>
        <w:tc>
          <w:tcPr>
            <w:tcW w:w="0" w:type="auto"/>
            <w:shd w:val="clear" w:color="auto" w:fill="CCEEFF"/>
            <w:vAlign w:val="bottom"/>
            <w:hideMark/>
          </w:tcPr>
          <w:p w:rsidRPr="004004C7" w:rsidR="004004C7" w:rsidP="004004C7" w:rsidRDefault="004004C7" w14:paraId="5E98D84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28AE6F3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46EE67A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430A579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(455,193,478</w:t>
            </w:r>
          </w:p>
        </w:tc>
        <w:tc>
          <w:tcPr>
            <w:tcW w:w="0" w:type="auto"/>
            <w:shd w:val="clear" w:color="auto" w:fill="CCEEFF"/>
            <w:vAlign w:val="bottom"/>
            <w:hideMark/>
          </w:tcPr>
          <w:p w:rsidRPr="004004C7" w:rsidR="004004C7" w:rsidP="004004C7" w:rsidRDefault="004004C7" w14:paraId="7ED010D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0F236DD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D39814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02219F7F"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(100,929,324</w:t>
            </w:r>
          </w:p>
        </w:tc>
        <w:tc>
          <w:tcPr>
            <w:tcW w:w="0" w:type="auto"/>
            <w:shd w:val="clear" w:color="auto" w:fill="CCEEFF"/>
            <w:vAlign w:val="bottom"/>
            <w:hideMark/>
          </w:tcPr>
          <w:p w:rsidRPr="004004C7" w:rsidR="004004C7" w:rsidP="004004C7" w:rsidRDefault="004004C7" w14:paraId="5EF073A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4992719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121C921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6D1E175B"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(14,060,534</w:t>
            </w:r>
          </w:p>
        </w:tc>
        <w:tc>
          <w:tcPr>
            <w:tcW w:w="0" w:type="auto"/>
            <w:shd w:val="clear" w:color="auto" w:fill="CCEEFF"/>
            <w:vAlign w:val="bottom"/>
            <w:hideMark/>
          </w:tcPr>
          <w:p w:rsidRPr="004004C7" w:rsidR="004004C7" w:rsidP="004004C7" w:rsidRDefault="004004C7" w14:paraId="3673006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05A3FCB8"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7CCCA54E"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1EEA0F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AA0FD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D39D4F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EAC1B9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BAA4B9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F2399E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3D33064"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7F45C7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48D4AC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B79A70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50A8ED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11798C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14C610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A32605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9A6E8E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341FD6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1715E7D" w14:textId="77777777">
        <w:tc>
          <w:tcPr>
            <w:tcW w:w="0" w:type="auto"/>
            <w:shd w:val="clear" w:color="auto" w:fill="CCEEFF"/>
            <w:tcMar>
              <w:top w:w="0" w:type="dxa"/>
              <w:left w:w="180" w:type="dxa"/>
              <w:bottom w:w="30" w:type="dxa"/>
              <w:right w:w="0" w:type="dxa"/>
            </w:tcMar>
            <w:vAlign w:val="bottom"/>
            <w:hideMark/>
          </w:tcPr>
          <w:p w:rsidRPr="004004C7" w:rsidR="004004C7" w:rsidP="004004C7" w:rsidRDefault="004004C7" w14:paraId="7F22C235"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Income tax benefit(expense)</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7381614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57D4AD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2ACEB8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(1,133,504</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ED56B1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C796C4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93BB86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31F4F9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21,728,607</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33D48D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11F689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CFC73E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BF8035F"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946,873</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4A616C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2C56E4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2B25197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94E2153"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131,910</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5561511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7FB57AD3"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4542A78B"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92259F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5E108E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51E7E8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DE8ABE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21792D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D69E8D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317A2E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CD072E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3D591C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345D15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87DA95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7D720B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30DD9D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56B58D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23BDF0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DE75BB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F152D73"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7035F593"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Net loss</w:t>
            </w:r>
          </w:p>
        </w:tc>
        <w:tc>
          <w:tcPr>
            <w:tcW w:w="0" w:type="auto"/>
            <w:shd w:val="clear" w:color="auto" w:fill="CCEEFF"/>
            <w:vAlign w:val="bottom"/>
            <w:hideMark/>
          </w:tcPr>
          <w:p w:rsidRPr="004004C7" w:rsidR="004004C7" w:rsidP="004004C7" w:rsidRDefault="004004C7" w14:paraId="611AEB3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60BF26C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203E784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(145,479,105</w:t>
            </w:r>
          </w:p>
        </w:tc>
        <w:tc>
          <w:tcPr>
            <w:tcW w:w="0" w:type="auto"/>
            <w:shd w:val="clear" w:color="auto" w:fill="CCEEFF"/>
            <w:vAlign w:val="bottom"/>
            <w:hideMark/>
          </w:tcPr>
          <w:p w:rsidRPr="004004C7" w:rsidR="004004C7" w:rsidP="004004C7" w:rsidRDefault="004004C7" w14:paraId="179A190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0DBF39C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7C19248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6B9BD5B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(433,464,871</w:t>
            </w:r>
          </w:p>
        </w:tc>
        <w:tc>
          <w:tcPr>
            <w:tcW w:w="0" w:type="auto"/>
            <w:shd w:val="clear" w:color="auto" w:fill="CCEEFF"/>
            <w:vAlign w:val="bottom"/>
            <w:hideMark/>
          </w:tcPr>
          <w:p w:rsidRPr="004004C7" w:rsidR="004004C7" w:rsidP="004004C7" w:rsidRDefault="004004C7" w14:paraId="5463AD9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0F0681E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07B20F7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5077FC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(99,982,451</w:t>
            </w:r>
          </w:p>
        </w:tc>
        <w:tc>
          <w:tcPr>
            <w:tcW w:w="0" w:type="auto"/>
            <w:shd w:val="clear" w:color="auto" w:fill="CCEEFF"/>
            <w:vAlign w:val="bottom"/>
            <w:hideMark/>
          </w:tcPr>
          <w:p w:rsidRPr="004004C7" w:rsidR="004004C7" w:rsidP="004004C7" w:rsidRDefault="004004C7" w14:paraId="1BBDB65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5808A7D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F1B5EC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380F242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(13,928,624</w:t>
            </w:r>
          </w:p>
        </w:tc>
        <w:tc>
          <w:tcPr>
            <w:tcW w:w="0" w:type="auto"/>
            <w:shd w:val="clear" w:color="auto" w:fill="CCEEFF"/>
            <w:vAlign w:val="bottom"/>
            <w:hideMark/>
          </w:tcPr>
          <w:p w:rsidRPr="004004C7" w:rsidR="004004C7" w:rsidP="004004C7" w:rsidRDefault="004004C7" w14:paraId="37EAA05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4ED0680B"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2A7D6F71"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Accretion to redemption value of convertible redeemable preferred shares</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92913A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7E399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18D46E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(137,991,697</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3E670C1"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A80454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5ED775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209708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F2E859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6C6F10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91A76B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748E8A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313166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E4F5A7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54D5F8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4571DB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D1B63C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109CA44" w14:textId="77777777">
        <w:tc>
          <w:tcPr>
            <w:tcW w:w="0" w:type="auto"/>
            <w:shd w:val="clear" w:color="auto" w:fill="CCEEFF"/>
            <w:tcMar>
              <w:top w:w="0" w:type="dxa"/>
              <w:left w:w="180" w:type="dxa"/>
              <w:bottom w:w="80" w:type="dxa"/>
              <w:right w:w="0" w:type="dxa"/>
            </w:tcMar>
            <w:vAlign w:val="bottom"/>
            <w:hideMark/>
          </w:tcPr>
          <w:p w:rsidRPr="004004C7" w:rsidR="004004C7" w:rsidP="004004C7" w:rsidRDefault="004004C7" w14:paraId="2C344D3B"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Net loss attributable to LakeShore Group</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6D83A51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E61BA0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362A6174"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(283,470,802</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12E980E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2303B92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0E2B15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73BAE5F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(433,464,871</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64163DB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444AFD8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0BED390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26B092B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(99,982,451</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5EFA190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3B9FF0F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01ED485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tcBorders>
              <w:bottom w:val="double" w:color="000000" w:sz="12" w:space="0"/>
            </w:tcBorders>
            <w:shd w:val="clear" w:color="auto" w:fill="CCEEFF"/>
            <w:vAlign w:val="bottom"/>
            <w:hideMark/>
          </w:tcPr>
          <w:p w:rsidRPr="004004C7" w:rsidR="004004C7" w:rsidP="004004C7" w:rsidRDefault="004004C7" w14:paraId="06FD2C6B"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(13,928,624</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399DAD3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413D5DCE"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1FA17A55"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0DECA7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E0960C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8D2018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B90F54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31E73D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24EF12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98603D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54D279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BF3B9D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02C867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72EEFD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EB349C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F21D56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005555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7A6F06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A61491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DC09BD9"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6A4483FF"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Net loss</w:t>
            </w:r>
          </w:p>
        </w:tc>
        <w:tc>
          <w:tcPr>
            <w:tcW w:w="0" w:type="auto"/>
            <w:shd w:val="clear" w:color="auto" w:fill="CCEEFF"/>
            <w:vAlign w:val="bottom"/>
            <w:hideMark/>
          </w:tcPr>
          <w:p w:rsidRPr="004004C7" w:rsidR="004004C7" w:rsidP="004004C7" w:rsidRDefault="004004C7" w14:paraId="6188B78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4F4E95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2A7A244"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(145,479,105</w:t>
            </w:r>
          </w:p>
        </w:tc>
        <w:tc>
          <w:tcPr>
            <w:tcW w:w="0" w:type="auto"/>
            <w:shd w:val="clear" w:color="auto" w:fill="CCEEFF"/>
            <w:vAlign w:val="bottom"/>
            <w:hideMark/>
          </w:tcPr>
          <w:p w:rsidRPr="004004C7" w:rsidR="004004C7" w:rsidP="004004C7" w:rsidRDefault="004004C7" w14:paraId="0408DC6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62FB284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84486E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7F9243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(433,464,871</w:t>
            </w:r>
          </w:p>
        </w:tc>
        <w:tc>
          <w:tcPr>
            <w:tcW w:w="0" w:type="auto"/>
            <w:shd w:val="clear" w:color="auto" w:fill="CCEEFF"/>
            <w:vAlign w:val="bottom"/>
            <w:hideMark/>
          </w:tcPr>
          <w:p w:rsidRPr="004004C7" w:rsidR="004004C7" w:rsidP="004004C7" w:rsidRDefault="004004C7" w14:paraId="0BEF1DF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6F5D20E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62C378F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00053132"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(99,982,451</w:t>
            </w:r>
          </w:p>
        </w:tc>
        <w:tc>
          <w:tcPr>
            <w:tcW w:w="0" w:type="auto"/>
            <w:shd w:val="clear" w:color="auto" w:fill="CCEEFF"/>
            <w:vAlign w:val="bottom"/>
            <w:hideMark/>
          </w:tcPr>
          <w:p w:rsidRPr="004004C7" w:rsidR="004004C7" w:rsidP="004004C7" w:rsidRDefault="004004C7" w14:paraId="623CEFE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56CB64B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3E4210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71D464EE"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(13,928,624</w:t>
            </w:r>
          </w:p>
        </w:tc>
        <w:tc>
          <w:tcPr>
            <w:tcW w:w="0" w:type="auto"/>
            <w:shd w:val="clear" w:color="auto" w:fill="CCEEFF"/>
            <w:vAlign w:val="bottom"/>
            <w:hideMark/>
          </w:tcPr>
          <w:p w:rsidRPr="004004C7" w:rsidR="004004C7" w:rsidP="004004C7" w:rsidRDefault="004004C7" w14:paraId="7C30F8A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07A1CFE5" w14:textId="77777777">
        <w:tc>
          <w:tcPr>
            <w:tcW w:w="0" w:type="auto"/>
            <w:shd w:val="clear" w:color="auto" w:fill="FFFFFF"/>
            <w:tcMar>
              <w:top w:w="0" w:type="dxa"/>
              <w:left w:w="360" w:type="dxa"/>
              <w:bottom w:w="30" w:type="dxa"/>
              <w:right w:w="0" w:type="dxa"/>
            </w:tcMar>
            <w:vAlign w:val="bottom"/>
            <w:hideMark/>
          </w:tcPr>
          <w:p w:rsidRPr="004004C7" w:rsidR="004004C7" w:rsidP="004004C7" w:rsidRDefault="004004C7" w14:paraId="6127CB0B"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Other comprehensive income (loss), net of tax: Foreign currency translation adjustment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4EA53E8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45CE9E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6B87395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(137,500,063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DAF64F8"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CC157F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0573D7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5DDF0A8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(3,767,798</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0A3AB58"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1F121B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AA64B2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89E1EC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908,210</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50FFC6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151FCA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155EC8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85FE5C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126,523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1FF3BB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4CDF154" w14:textId="77777777">
        <w:tc>
          <w:tcPr>
            <w:tcW w:w="0" w:type="auto"/>
            <w:shd w:val="clear" w:color="auto" w:fill="CCEEFF"/>
            <w:tcMar>
              <w:top w:w="0" w:type="dxa"/>
              <w:left w:w="180" w:type="dxa"/>
              <w:bottom w:w="80" w:type="dxa"/>
              <w:right w:w="0" w:type="dxa"/>
            </w:tcMar>
            <w:vAlign w:val="bottom"/>
            <w:hideMark/>
          </w:tcPr>
          <w:p w:rsidRPr="004004C7" w:rsidR="004004C7" w:rsidP="004004C7" w:rsidRDefault="004004C7" w14:paraId="65B12874"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Total comprehensive loss</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5869E70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71D1895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0E8E50C8"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(282,979,168</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04BDC67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7F73E42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1C05727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1805B453"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(437,232,669</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2DE38D4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0DAE937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7D5BED1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AA328F4"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(99,074,241</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7066E8E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37013AE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53DCC9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tcBorders>
              <w:bottom w:val="double" w:color="000000" w:sz="12" w:space="0"/>
            </w:tcBorders>
            <w:shd w:val="clear" w:color="auto" w:fill="CCEEFF"/>
            <w:vAlign w:val="bottom"/>
            <w:hideMark/>
          </w:tcPr>
          <w:p w:rsidRPr="004004C7" w:rsidR="004004C7" w:rsidP="004004C7" w:rsidRDefault="004004C7" w14:paraId="6EDEB5CA"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(13,802,101</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70F0E6A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0FFAA5DA" w14:textId="77777777">
        <w:tc>
          <w:tcPr>
            <w:tcW w:w="0" w:type="auto"/>
            <w:shd w:val="clear" w:color="auto" w:fill="FFFFFF"/>
            <w:tcMar>
              <w:top w:w="0" w:type="dxa"/>
              <w:left w:w="180" w:type="dxa"/>
              <w:bottom w:w="0" w:type="dxa"/>
              <w:right w:w="0" w:type="dxa"/>
            </w:tcMar>
            <w:vAlign w:val="bottom"/>
            <w:hideMark/>
          </w:tcPr>
          <w:p w:rsidRPr="004004C7" w:rsidR="004004C7" w:rsidP="004004C7" w:rsidRDefault="004004C7" w14:paraId="4BB0212C"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EF55F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66D600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D0B074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B23E55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B23438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2E27FF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653EC1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C95F60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00BF45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5AA3F6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F4ED49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E3E88F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019129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CEC1BA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8EDB0D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1A69DA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4E21C84"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1DB946AF"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Loss per share*:</w:t>
            </w:r>
          </w:p>
        </w:tc>
        <w:tc>
          <w:tcPr>
            <w:tcW w:w="0" w:type="auto"/>
            <w:shd w:val="clear" w:color="auto" w:fill="CCEEFF"/>
            <w:vAlign w:val="bottom"/>
            <w:hideMark/>
          </w:tcPr>
          <w:p w:rsidRPr="004004C7" w:rsidR="004004C7" w:rsidP="004004C7" w:rsidRDefault="004004C7" w14:paraId="67D95AA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878740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00891A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3C799D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B65AA7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6497D8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C60BBB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60F47D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344829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65383A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CEE3D2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AAC4CA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F05231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321133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6E9D17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315581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0443753" w14:textId="77777777">
        <w:tc>
          <w:tcPr>
            <w:tcW w:w="0" w:type="auto"/>
            <w:shd w:val="clear" w:color="auto" w:fill="FFFFFF"/>
            <w:tcMar>
              <w:top w:w="0" w:type="dxa"/>
              <w:left w:w="360" w:type="dxa"/>
              <w:bottom w:w="80" w:type="dxa"/>
              <w:right w:w="0" w:type="dxa"/>
            </w:tcMar>
            <w:vAlign w:val="bottom"/>
            <w:hideMark/>
          </w:tcPr>
          <w:p w:rsidRPr="004004C7" w:rsidR="004004C7" w:rsidP="004004C7" w:rsidRDefault="004004C7" w14:paraId="416CAE9F"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Basic and Diluted</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0173EC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5739EDB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64628437"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(23.55</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32771064"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1CBCA11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0B7C1A1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3301A31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(40.54</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60D9C4A6"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1D5A0FB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2319992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281627F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(5.22</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75072529"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2E29833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099BAF6C"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tcBorders>
              <w:bottom w:val="double" w:color="000000" w:sz="12" w:space="0"/>
            </w:tcBorders>
            <w:shd w:val="clear" w:color="auto" w:fill="FFFFFF"/>
            <w:vAlign w:val="bottom"/>
            <w:hideMark/>
          </w:tcPr>
          <w:p w:rsidRPr="004004C7" w:rsidR="004004C7" w:rsidP="004004C7" w:rsidRDefault="004004C7" w14:paraId="34A57EE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(0.73</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4C0328E2"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796D55E5" w14:textId="77777777">
        <w:tc>
          <w:tcPr>
            <w:tcW w:w="0" w:type="auto"/>
            <w:shd w:val="clear" w:color="auto" w:fill="CCEEFF"/>
            <w:tcMar>
              <w:top w:w="0" w:type="dxa"/>
              <w:left w:w="180" w:type="dxa"/>
              <w:bottom w:w="0" w:type="dxa"/>
              <w:right w:w="0" w:type="dxa"/>
            </w:tcMar>
            <w:vAlign w:val="bottom"/>
            <w:hideMark/>
          </w:tcPr>
          <w:p w:rsidRPr="004004C7" w:rsidR="004004C7" w:rsidP="004004C7" w:rsidRDefault="004004C7" w14:paraId="440B4118" w14:textId="77777777">
            <w:pPr>
              <w:ind w:hanging="180"/>
              <w:rPr>
                <w:rFonts w:eastAsia="Times New Roman" w:cs="Times New Roman"/>
                <w:b/>
                <w:bCs/>
                <w:kern w:val="0"/>
                <w:szCs w:val="20"/>
                <w14:ligatures w14:val="none"/>
              </w:rPr>
            </w:pPr>
            <w:r w:rsidRPr="004004C7">
              <w:rPr>
                <w:rFonts w:eastAsia="Times New Roman" w:cs="Times New Roman"/>
                <w:b/>
                <w:bCs/>
                <w:kern w:val="0"/>
                <w:szCs w:val="20"/>
                <w14:ligatures w14:val="none"/>
              </w:rPr>
              <w:t>Weighted average number of ordinary shares outstanding*:</w:t>
            </w:r>
          </w:p>
        </w:tc>
        <w:tc>
          <w:tcPr>
            <w:tcW w:w="0" w:type="auto"/>
            <w:shd w:val="clear" w:color="auto" w:fill="CCEEFF"/>
            <w:vAlign w:val="bottom"/>
            <w:hideMark/>
          </w:tcPr>
          <w:p w:rsidRPr="004004C7" w:rsidR="004004C7" w:rsidP="004004C7" w:rsidRDefault="004004C7" w14:paraId="7ECD1CA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DD1BBF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225BA1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C60F4B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E9A2EE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C066D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D98EF9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F2D0D9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E6F0C2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531499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EE2275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50CE30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A6DEE2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6578A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75D633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4B4715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5E8E36C2" w14:textId="77777777">
        <w:tc>
          <w:tcPr>
            <w:tcW w:w="0" w:type="auto"/>
            <w:shd w:val="clear" w:color="auto" w:fill="FFFFFF"/>
            <w:tcMar>
              <w:top w:w="0" w:type="dxa"/>
              <w:left w:w="360" w:type="dxa"/>
              <w:bottom w:w="80" w:type="dxa"/>
              <w:right w:w="0" w:type="dxa"/>
            </w:tcMar>
            <w:vAlign w:val="bottom"/>
            <w:hideMark/>
          </w:tcPr>
          <w:p w:rsidRPr="004004C7" w:rsidR="004004C7" w:rsidP="004004C7" w:rsidRDefault="004004C7" w14:paraId="728527FA" w14:textId="77777777">
            <w:pPr>
              <w:ind w:hanging="180"/>
              <w:rPr>
                <w:rFonts w:eastAsia="Times New Roman" w:cs="Times New Roman"/>
                <w:kern w:val="0"/>
                <w:szCs w:val="20"/>
                <w14:ligatures w14:val="none"/>
              </w:rPr>
            </w:pPr>
            <w:r w:rsidRPr="004004C7">
              <w:rPr>
                <w:rFonts w:eastAsia="Times New Roman" w:cs="Times New Roman"/>
                <w:kern w:val="0"/>
                <w:szCs w:val="20"/>
                <w14:ligatures w14:val="none"/>
              </w:rPr>
              <w:t>– Basic and Diluted</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795B905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48BD307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1CF87356"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6,178,547</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026D6FA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3B602E9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73E8D63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466EC7A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10,692,312</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22EE638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2E6E0B2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4EAF162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2DF1FCC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19,158,907</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377C69D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3AF5326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6B9A5B7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1BB41F8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19,158,907</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682B41F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bl>
    <w:p w:rsidRPr="004004C7" w:rsidR="004004C7" w:rsidP="004004C7" w:rsidRDefault="004004C7" w14:paraId="10D799C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Mar>
          <w:left w:w="0" w:type="dxa"/>
          <w:right w:w="0" w:type="dxa"/>
        </w:tblCellMar>
        <w:tblLook w:val="04A0" w:firstRow="1" w:lastRow="0" w:firstColumn="1" w:lastColumn="0" w:noHBand="0" w:noVBand="1"/>
      </w:tblPr>
      <w:tblGrid>
        <w:gridCol w:w="360"/>
        <w:gridCol w:w="9000"/>
      </w:tblGrid>
      <w:tr w:rsidRPr="004004C7" w:rsidR="004004C7" w:rsidTr="004004C7" w14:paraId="029DC0F5" w14:textId="77777777">
        <w:tc>
          <w:tcPr>
            <w:tcW w:w="360" w:type="dxa"/>
            <w:hideMark/>
          </w:tcPr>
          <w:p w:rsidRPr="004004C7" w:rsidR="004004C7" w:rsidP="004004C7" w:rsidRDefault="004004C7" w14:paraId="3A323C75"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hideMark/>
          </w:tcPr>
          <w:p w:rsidRPr="004004C7" w:rsidR="004004C7" w:rsidP="004004C7" w:rsidRDefault="004004C7" w14:paraId="344628F3" w14:textId="77777777">
            <w:pPr>
              <w:rPr>
                <w:rFonts w:eastAsia="Times New Roman" w:cs="Times New Roman"/>
                <w:kern w:val="0"/>
                <w:szCs w:val="20"/>
                <w14:ligatures w14:val="none"/>
              </w:rPr>
            </w:pPr>
            <w:r w:rsidRPr="004004C7">
              <w:rPr>
                <w:rFonts w:eastAsia="Times New Roman" w:cs="Times New Roman"/>
                <w:kern w:val="0"/>
                <w:szCs w:val="20"/>
                <w14:ligatures w14:val="none"/>
              </w:rPr>
              <w:t>Gives retroactive effect to the Share Consolidation in October 2024.</w:t>
            </w:r>
          </w:p>
        </w:tc>
      </w:tr>
    </w:tbl>
    <w:p w:rsidRPr="004004C7" w:rsidR="004004C7" w:rsidP="004004C7" w:rsidRDefault="004004C7" w14:paraId="79001FD6" w14:textId="77777777">
      <w:pPr>
        <w:ind w:firstLine="400"/>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14D254BA"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7</w:t>
      </w:r>
    </w:p>
    <w:p w:rsidRPr="004004C7" w:rsidR="004004C7" w:rsidP="004004C7" w:rsidRDefault="004004C7" w14:paraId="6409110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4AE00360"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0EEE6A0C" w14:textId="77777777">
      <w:pPr>
        <w:jc w:val="center"/>
        <w:rPr>
          <w:rFonts w:eastAsia="Times New Roman" w:cs="Times New Roman"/>
          <w:kern w:val="0"/>
          <w:szCs w:val="20"/>
          <w14:ligatures w14:val="none"/>
        </w:rPr>
      </w:pPr>
      <w:r w:rsidRPr="004004C7">
        <w:rPr>
          <w:rFonts w:eastAsia="Times New Roman" w:cs="Times New Roman"/>
          <w:b/>
          <w:bCs/>
          <w:kern w:val="0"/>
          <w:szCs w:val="20"/>
          <w14:ligatures w14:val="none"/>
        </w:rPr>
        <w:lastRenderedPageBreak/>
        <w:t>Lakeshore Biopharma Co., Ltd</w:t>
      </w:r>
      <w:r w:rsidRPr="004004C7">
        <w:rPr>
          <w:rFonts w:eastAsia="Times New Roman" w:cs="Times New Roman"/>
          <w:b/>
          <w:bCs/>
          <w:kern w:val="0"/>
          <w:szCs w:val="20"/>
          <w14:ligatures w14:val="none"/>
        </w:rPr>
        <w:br/>
        <w:t>Unaudited Reconciliations of GAAP And Non-GAAP Results</w:t>
      </w:r>
    </w:p>
    <w:p w:rsidRPr="004004C7" w:rsidR="004004C7" w:rsidP="004004C7" w:rsidRDefault="004004C7" w14:paraId="6B66FE9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Mar>
          <w:left w:w="0" w:type="dxa"/>
          <w:right w:w="0" w:type="dxa"/>
        </w:tblCellMar>
        <w:tblLook w:val="04A0" w:firstRow="1" w:lastRow="0" w:firstColumn="1" w:lastColumn="0" w:noHBand="0" w:noVBand="1"/>
      </w:tblPr>
      <w:tblGrid>
        <w:gridCol w:w="5808"/>
        <w:gridCol w:w="50"/>
        <w:gridCol w:w="50"/>
        <w:gridCol w:w="1067"/>
        <w:gridCol w:w="67"/>
        <w:gridCol w:w="50"/>
        <w:gridCol w:w="50"/>
        <w:gridCol w:w="967"/>
        <w:gridCol w:w="67"/>
        <w:gridCol w:w="50"/>
        <w:gridCol w:w="100"/>
        <w:gridCol w:w="967"/>
        <w:gridCol w:w="67"/>
      </w:tblGrid>
      <w:tr w:rsidRPr="004004C7" w:rsidR="004004C7" w:rsidTr="004004C7" w14:paraId="60A4E359" w14:textId="77777777">
        <w:tc>
          <w:tcPr>
            <w:tcW w:w="0" w:type="auto"/>
            <w:vAlign w:val="bottom"/>
            <w:hideMark/>
          </w:tcPr>
          <w:p w:rsidRPr="004004C7" w:rsidR="004004C7" w:rsidP="004004C7" w:rsidRDefault="004004C7" w14:paraId="6942A5F9"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3CE632A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10"/>
            <w:tcBorders>
              <w:bottom w:val="single" w:color="000000" w:sz="12" w:space="0"/>
            </w:tcBorders>
            <w:vAlign w:val="bottom"/>
            <w:hideMark/>
          </w:tcPr>
          <w:p w:rsidRPr="004004C7" w:rsidR="004004C7" w:rsidP="004004C7" w:rsidRDefault="004004C7" w14:paraId="6632DBEE"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Years Ended March 31,</w:t>
            </w:r>
          </w:p>
        </w:tc>
        <w:tc>
          <w:tcPr>
            <w:tcW w:w="0" w:type="auto"/>
            <w:tcMar>
              <w:top w:w="0" w:type="dxa"/>
              <w:left w:w="0" w:type="dxa"/>
              <w:bottom w:w="30" w:type="dxa"/>
              <w:right w:w="0" w:type="dxa"/>
            </w:tcMar>
            <w:vAlign w:val="bottom"/>
            <w:hideMark/>
          </w:tcPr>
          <w:p w:rsidRPr="004004C7" w:rsidR="004004C7" w:rsidP="004004C7" w:rsidRDefault="004004C7" w14:paraId="482C256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03EE1BBC" w14:textId="77777777">
        <w:tc>
          <w:tcPr>
            <w:tcW w:w="0" w:type="auto"/>
            <w:vAlign w:val="bottom"/>
            <w:hideMark/>
          </w:tcPr>
          <w:p w:rsidRPr="004004C7" w:rsidR="004004C7" w:rsidP="004004C7" w:rsidRDefault="004004C7" w14:paraId="30B2A6DF"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50B8952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543FA2DB"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2024</w:t>
            </w:r>
          </w:p>
        </w:tc>
        <w:tc>
          <w:tcPr>
            <w:tcW w:w="0" w:type="auto"/>
            <w:tcMar>
              <w:top w:w="0" w:type="dxa"/>
              <w:left w:w="0" w:type="dxa"/>
              <w:bottom w:w="30" w:type="dxa"/>
              <w:right w:w="0" w:type="dxa"/>
            </w:tcMar>
            <w:vAlign w:val="bottom"/>
            <w:hideMark/>
          </w:tcPr>
          <w:p w:rsidRPr="004004C7" w:rsidR="004004C7" w:rsidP="004004C7" w:rsidRDefault="004004C7" w14:paraId="28579EA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446E202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4FD3FD1D"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0" w:type="auto"/>
            <w:tcMar>
              <w:top w:w="0" w:type="dxa"/>
              <w:left w:w="0" w:type="dxa"/>
              <w:bottom w:w="30" w:type="dxa"/>
              <w:right w:w="0" w:type="dxa"/>
            </w:tcMar>
            <w:vAlign w:val="bottom"/>
            <w:hideMark/>
          </w:tcPr>
          <w:p w:rsidRPr="004004C7" w:rsidR="004004C7" w:rsidP="004004C7" w:rsidRDefault="004004C7" w14:paraId="12A21AE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Mar>
              <w:top w:w="0" w:type="dxa"/>
              <w:left w:w="0" w:type="dxa"/>
              <w:bottom w:w="30" w:type="dxa"/>
              <w:right w:w="0" w:type="dxa"/>
            </w:tcMar>
            <w:vAlign w:val="bottom"/>
            <w:hideMark/>
          </w:tcPr>
          <w:p w:rsidRPr="004004C7" w:rsidR="004004C7" w:rsidP="004004C7" w:rsidRDefault="004004C7" w14:paraId="6FEFC45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tcBorders>
              <w:bottom w:val="single" w:color="000000" w:sz="12" w:space="0"/>
            </w:tcBorders>
            <w:vAlign w:val="bottom"/>
            <w:hideMark/>
          </w:tcPr>
          <w:p w:rsidRPr="004004C7" w:rsidR="004004C7" w:rsidP="004004C7" w:rsidRDefault="004004C7" w14:paraId="5C4B6FE7"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0" w:type="auto"/>
            <w:tcMar>
              <w:top w:w="0" w:type="dxa"/>
              <w:left w:w="0" w:type="dxa"/>
              <w:bottom w:w="30" w:type="dxa"/>
              <w:right w:w="0" w:type="dxa"/>
            </w:tcMar>
            <w:vAlign w:val="bottom"/>
            <w:hideMark/>
          </w:tcPr>
          <w:p w:rsidRPr="004004C7" w:rsidR="004004C7" w:rsidP="004004C7" w:rsidRDefault="004004C7" w14:paraId="5510E35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0AD51D47" w14:textId="77777777">
        <w:tc>
          <w:tcPr>
            <w:tcW w:w="0" w:type="auto"/>
            <w:vAlign w:val="bottom"/>
            <w:hideMark/>
          </w:tcPr>
          <w:p w:rsidRPr="004004C7" w:rsidR="004004C7" w:rsidP="004004C7" w:rsidRDefault="004004C7" w14:paraId="60AAA554"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vAlign w:val="bottom"/>
            <w:hideMark/>
          </w:tcPr>
          <w:p w:rsidRPr="004004C7" w:rsidR="004004C7" w:rsidP="004004C7" w:rsidRDefault="004004C7" w14:paraId="0D9583E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3BF1D61D"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47AFDBE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4094A7D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21F83C1A"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vAlign w:val="bottom"/>
            <w:hideMark/>
          </w:tcPr>
          <w:p w:rsidRPr="004004C7" w:rsidR="004004C7" w:rsidP="004004C7" w:rsidRDefault="004004C7" w14:paraId="4B26661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vAlign w:val="bottom"/>
            <w:hideMark/>
          </w:tcPr>
          <w:p w:rsidRPr="004004C7" w:rsidR="004004C7" w:rsidP="004004C7" w:rsidRDefault="004004C7" w14:paraId="1B28815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2"/>
            <w:vAlign w:val="bottom"/>
            <w:hideMark/>
          </w:tcPr>
          <w:p w:rsidRPr="004004C7" w:rsidR="004004C7" w:rsidP="004004C7" w:rsidRDefault="004004C7" w14:paraId="7BF6A46B"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US$</w:t>
            </w:r>
          </w:p>
        </w:tc>
        <w:tc>
          <w:tcPr>
            <w:tcW w:w="0" w:type="auto"/>
            <w:vAlign w:val="bottom"/>
            <w:hideMark/>
          </w:tcPr>
          <w:p w:rsidRPr="004004C7" w:rsidR="004004C7" w:rsidP="004004C7" w:rsidRDefault="004004C7" w14:paraId="400E977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08BB7F94" w14:textId="77777777">
        <w:tc>
          <w:tcPr>
            <w:tcW w:w="3200" w:type="pct"/>
            <w:shd w:val="clear" w:color="auto" w:fill="CCEEFF"/>
            <w:vAlign w:val="bottom"/>
            <w:hideMark/>
          </w:tcPr>
          <w:p w:rsidRPr="004004C7" w:rsidR="004004C7" w:rsidP="004004C7" w:rsidRDefault="004004C7" w14:paraId="2CD0E1F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Net income (loss)</w:t>
            </w:r>
          </w:p>
        </w:tc>
        <w:tc>
          <w:tcPr>
            <w:tcW w:w="50" w:type="pct"/>
            <w:shd w:val="clear" w:color="auto" w:fill="CCEEFF"/>
            <w:vAlign w:val="bottom"/>
            <w:hideMark/>
          </w:tcPr>
          <w:p w:rsidRPr="004004C7" w:rsidR="004004C7" w:rsidP="004004C7" w:rsidRDefault="004004C7" w14:paraId="647AA5C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5036178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shd w:val="clear" w:color="auto" w:fill="CCEEFF"/>
            <w:vAlign w:val="bottom"/>
            <w:hideMark/>
          </w:tcPr>
          <w:p w:rsidRPr="004004C7" w:rsidR="004004C7" w:rsidP="004004C7" w:rsidRDefault="004004C7" w14:paraId="4631B99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(433,464,871</w:t>
            </w:r>
          </w:p>
        </w:tc>
        <w:tc>
          <w:tcPr>
            <w:tcW w:w="50" w:type="pct"/>
            <w:shd w:val="clear" w:color="auto" w:fill="CCEEFF"/>
            <w:vAlign w:val="bottom"/>
            <w:hideMark/>
          </w:tcPr>
          <w:p w:rsidRPr="004004C7" w:rsidR="004004C7" w:rsidP="004004C7" w:rsidRDefault="004004C7" w14:paraId="7CAA838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50" w:type="pct"/>
            <w:shd w:val="clear" w:color="auto" w:fill="CCEEFF"/>
            <w:vAlign w:val="bottom"/>
            <w:hideMark/>
          </w:tcPr>
          <w:p w:rsidRPr="004004C7" w:rsidR="004004C7" w:rsidP="004004C7" w:rsidRDefault="004004C7" w14:paraId="348443B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5127429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shd w:val="clear" w:color="auto" w:fill="CCEEFF"/>
            <w:vAlign w:val="bottom"/>
            <w:hideMark/>
          </w:tcPr>
          <w:p w:rsidRPr="004004C7" w:rsidR="004004C7" w:rsidP="004004C7" w:rsidRDefault="004004C7" w14:paraId="6A33472A"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(99,982,451</w:t>
            </w:r>
          </w:p>
        </w:tc>
        <w:tc>
          <w:tcPr>
            <w:tcW w:w="50" w:type="pct"/>
            <w:shd w:val="clear" w:color="auto" w:fill="CCEEFF"/>
            <w:vAlign w:val="bottom"/>
            <w:hideMark/>
          </w:tcPr>
          <w:p w:rsidRPr="004004C7" w:rsidR="004004C7" w:rsidP="004004C7" w:rsidRDefault="004004C7" w14:paraId="4C3E170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50" w:type="pct"/>
            <w:shd w:val="clear" w:color="auto" w:fill="CCEEFF"/>
            <w:vAlign w:val="bottom"/>
            <w:hideMark/>
          </w:tcPr>
          <w:p w:rsidRPr="004004C7" w:rsidR="004004C7" w:rsidP="004004C7" w:rsidRDefault="004004C7" w14:paraId="05077D8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CCEEFF"/>
            <w:vAlign w:val="bottom"/>
            <w:hideMark/>
          </w:tcPr>
          <w:p w:rsidRPr="004004C7" w:rsidR="004004C7" w:rsidP="004004C7" w:rsidRDefault="004004C7" w14:paraId="0B669CA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450" w:type="pct"/>
            <w:shd w:val="clear" w:color="auto" w:fill="CCEEFF"/>
            <w:vAlign w:val="bottom"/>
            <w:hideMark/>
          </w:tcPr>
          <w:p w:rsidRPr="004004C7" w:rsidR="004004C7" w:rsidP="004004C7" w:rsidRDefault="004004C7" w14:paraId="7A945D8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(13,928,624</w:t>
            </w:r>
          </w:p>
        </w:tc>
        <w:tc>
          <w:tcPr>
            <w:tcW w:w="50" w:type="pct"/>
            <w:shd w:val="clear" w:color="auto" w:fill="CCEEFF"/>
            <w:vAlign w:val="bottom"/>
            <w:hideMark/>
          </w:tcPr>
          <w:p w:rsidRPr="004004C7" w:rsidR="004004C7" w:rsidP="004004C7" w:rsidRDefault="004004C7" w14:paraId="28D4D9F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298920BD" w14:textId="77777777">
        <w:tc>
          <w:tcPr>
            <w:tcW w:w="0" w:type="auto"/>
            <w:shd w:val="clear" w:color="auto" w:fill="FFFFFF"/>
            <w:vAlign w:val="bottom"/>
            <w:hideMark/>
          </w:tcPr>
          <w:p w:rsidRPr="004004C7" w:rsidR="004004C7" w:rsidP="004004C7" w:rsidRDefault="004004C7" w14:paraId="1C19FAE1" w14:textId="77777777">
            <w:pPr>
              <w:rPr>
                <w:rFonts w:eastAsia="Times New Roman" w:cs="Times New Roman"/>
                <w:kern w:val="0"/>
                <w:szCs w:val="20"/>
                <w14:ligatures w14:val="none"/>
              </w:rPr>
            </w:pPr>
            <w:r w:rsidRPr="004004C7">
              <w:rPr>
                <w:rFonts w:eastAsia="Times New Roman" w:cs="Times New Roman"/>
                <w:kern w:val="0"/>
                <w:szCs w:val="20"/>
                <w14:ligatures w14:val="none"/>
              </w:rPr>
              <w:t>Add: income tax benefit (expense)</w:t>
            </w:r>
          </w:p>
        </w:tc>
        <w:tc>
          <w:tcPr>
            <w:tcW w:w="0" w:type="auto"/>
            <w:shd w:val="clear" w:color="auto" w:fill="FFFFFF"/>
            <w:vAlign w:val="bottom"/>
            <w:hideMark/>
          </w:tcPr>
          <w:p w:rsidRPr="004004C7" w:rsidR="004004C7" w:rsidP="004004C7" w:rsidRDefault="004004C7" w14:paraId="2BBA405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343F3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0D6977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(21,728,607</w:t>
            </w:r>
          </w:p>
        </w:tc>
        <w:tc>
          <w:tcPr>
            <w:tcW w:w="0" w:type="auto"/>
            <w:shd w:val="clear" w:color="auto" w:fill="FFFFFF"/>
            <w:vAlign w:val="bottom"/>
            <w:hideMark/>
          </w:tcPr>
          <w:p w:rsidRPr="004004C7" w:rsidR="004004C7" w:rsidP="004004C7" w:rsidRDefault="004004C7" w14:paraId="437D8E31"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42C4BF1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0E40A7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772055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(946,873</w:t>
            </w:r>
          </w:p>
        </w:tc>
        <w:tc>
          <w:tcPr>
            <w:tcW w:w="0" w:type="auto"/>
            <w:shd w:val="clear" w:color="auto" w:fill="FFFFFF"/>
            <w:vAlign w:val="bottom"/>
            <w:hideMark/>
          </w:tcPr>
          <w:p w:rsidRPr="004004C7" w:rsidR="004004C7" w:rsidP="004004C7" w:rsidRDefault="004004C7" w14:paraId="0C42D3F6"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7ACA4E8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E3423F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154326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(131,910</w:t>
            </w:r>
          </w:p>
        </w:tc>
        <w:tc>
          <w:tcPr>
            <w:tcW w:w="0" w:type="auto"/>
            <w:shd w:val="clear" w:color="auto" w:fill="FFFFFF"/>
            <w:vAlign w:val="bottom"/>
            <w:hideMark/>
          </w:tcPr>
          <w:p w:rsidRPr="004004C7" w:rsidR="004004C7" w:rsidP="004004C7" w:rsidRDefault="004004C7" w14:paraId="461EE021"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1F157A37" w14:textId="77777777">
        <w:tc>
          <w:tcPr>
            <w:tcW w:w="0" w:type="auto"/>
            <w:shd w:val="clear" w:color="auto" w:fill="CCEEFF"/>
            <w:vAlign w:val="bottom"/>
            <w:hideMark/>
          </w:tcPr>
          <w:p w:rsidRPr="004004C7" w:rsidR="004004C7" w:rsidP="004004C7" w:rsidRDefault="004004C7" w14:paraId="0CB9C8D5" w14:textId="77777777">
            <w:pPr>
              <w:rPr>
                <w:rFonts w:eastAsia="Times New Roman" w:cs="Times New Roman"/>
                <w:kern w:val="0"/>
                <w:szCs w:val="20"/>
                <w14:ligatures w14:val="none"/>
              </w:rPr>
            </w:pPr>
            <w:r w:rsidRPr="004004C7">
              <w:rPr>
                <w:rFonts w:eastAsia="Times New Roman" w:cs="Times New Roman"/>
                <w:kern w:val="0"/>
                <w:szCs w:val="20"/>
                <w14:ligatures w14:val="none"/>
              </w:rPr>
              <w:t>Add: financial expenses</w:t>
            </w:r>
          </w:p>
        </w:tc>
        <w:tc>
          <w:tcPr>
            <w:tcW w:w="0" w:type="auto"/>
            <w:shd w:val="clear" w:color="auto" w:fill="CCEEFF"/>
            <w:vAlign w:val="bottom"/>
            <w:hideMark/>
          </w:tcPr>
          <w:p w:rsidRPr="004004C7" w:rsidR="004004C7" w:rsidP="004004C7" w:rsidRDefault="004004C7" w14:paraId="4E5A428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7B658B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976E02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44,344,808</w:t>
            </w:r>
          </w:p>
        </w:tc>
        <w:tc>
          <w:tcPr>
            <w:tcW w:w="0" w:type="auto"/>
            <w:shd w:val="clear" w:color="auto" w:fill="CCEEFF"/>
            <w:vAlign w:val="bottom"/>
            <w:hideMark/>
          </w:tcPr>
          <w:p w:rsidRPr="004004C7" w:rsidR="004004C7" w:rsidP="004004C7" w:rsidRDefault="004004C7" w14:paraId="50828A3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AFC58F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DEDA31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095AAE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15,739,410</w:t>
            </w:r>
          </w:p>
        </w:tc>
        <w:tc>
          <w:tcPr>
            <w:tcW w:w="0" w:type="auto"/>
            <w:shd w:val="clear" w:color="auto" w:fill="CCEEFF"/>
            <w:vAlign w:val="bottom"/>
            <w:hideMark/>
          </w:tcPr>
          <w:p w:rsidRPr="004004C7" w:rsidR="004004C7" w:rsidP="004004C7" w:rsidRDefault="004004C7" w14:paraId="28C93C3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B174EC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836623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961BE3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2,192,668</w:t>
            </w:r>
          </w:p>
        </w:tc>
        <w:tc>
          <w:tcPr>
            <w:tcW w:w="0" w:type="auto"/>
            <w:shd w:val="clear" w:color="auto" w:fill="CCEEFF"/>
            <w:vAlign w:val="bottom"/>
            <w:hideMark/>
          </w:tcPr>
          <w:p w:rsidRPr="004004C7" w:rsidR="004004C7" w:rsidP="004004C7" w:rsidRDefault="004004C7" w14:paraId="75CB9B6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E4BF3DA" w14:textId="77777777">
        <w:tc>
          <w:tcPr>
            <w:tcW w:w="0" w:type="auto"/>
            <w:shd w:val="clear" w:color="auto" w:fill="FFFFFF"/>
            <w:tcMar>
              <w:top w:w="0" w:type="dxa"/>
              <w:left w:w="0" w:type="dxa"/>
              <w:bottom w:w="30" w:type="dxa"/>
              <w:right w:w="0" w:type="dxa"/>
            </w:tcMar>
            <w:vAlign w:val="bottom"/>
            <w:hideMark/>
          </w:tcPr>
          <w:p w:rsidRPr="004004C7" w:rsidR="004004C7" w:rsidP="004004C7" w:rsidRDefault="004004C7" w14:paraId="15FE41A9" w14:textId="77777777">
            <w:pPr>
              <w:rPr>
                <w:rFonts w:eastAsia="Times New Roman" w:cs="Times New Roman"/>
                <w:kern w:val="0"/>
                <w:szCs w:val="20"/>
                <w14:ligatures w14:val="none"/>
              </w:rPr>
            </w:pPr>
            <w:r w:rsidRPr="004004C7">
              <w:rPr>
                <w:rFonts w:eastAsia="Times New Roman" w:cs="Times New Roman"/>
                <w:kern w:val="0"/>
                <w:szCs w:val="20"/>
                <w14:ligatures w14:val="none"/>
              </w:rPr>
              <w:t>Add: depreciation and amortization</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629B44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8F5F75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F1F700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42,185,383</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6419435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383A0E9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64DAA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CA49AD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36,651,608</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1D55DD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17E91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3F9CACA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89952A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5,105,961</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D04701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889F342" w14:textId="77777777">
        <w:tc>
          <w:tcPr>
            <w:tcW w:w="0" w:type="auto"/>
            <w:shd w:val="clear" w:color="auto" w:fill="CCEEFF"/>
            <w:tcMar>
              <w:top w:w="0" w:type="dxa"/>
              <w:left w:w="0" w:type="dxa"/>
              <w:bottom w:w="80" w:type="dxa"/>
              <w:right w:w="0" w:type="dxa"/>
            </w:tcMar>
            <w:vAlign w:val="bottom"/>
            <w:hideMark/>
          </w:tcPr>
          <w:p w:rsidRPr="004004C7" w:rsidR="004004C7" w:rsidP="004004C7" w:rsidRDefault="004004C7" w14:paraId="62D6A41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EBITDA</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5F622BD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5439ED3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D4E43B3"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(368,663,287</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4E88195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5642283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30D32C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C62A921"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(48,538,306</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1FFF3BD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1DA793D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0DEF4F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469B154"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(6,761,905</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25C4C36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26079429" w14:textId="77777777">
        <w:tc>
          <w:tcPr>
            <w:tcW w:w="0" w:type="auto"/>
            <w:shd w:val="clear" w:color="auto" w:fill="FFFFFF"/>
            <w:vAlign w:val="bottom"/>
            <w:hideMark/>
          </w:tcPr>
          <w:p w:rsidRPr="004004C7" w:rsidR="004004C7" w:rsidP="004004C7" w:rsidRDefault="004004C7" w14:paraId="2F45E978" w14:textId="77777777">
            <w:pPr>
              <w:rPr>
                <w:rFonts w:eastAsia="Times New Roman" w:cs="Times New Roman"/>
                <w:kern w:val="0"/>
                <w:szCs w:val="20"/>
                <w14:ligatures w14:val="none"/>
              </w:rPr>
            </w:pPr>
            <w:r w:rsidRPr="004004C7">
              <w:rPr>
                <w:rFonts w:eastAsia="Times New Roman" w:cs="Times New Roman"/>
                <w:kern w:val="0"/>
                <w:szCs w:val="20"/>
                <w14:ligatures w14:val="none"/>
              </w:rPr>
              <w:t>Add: share-based compensation expenses</w:t>
            </w:r>
          </w:p>
        </w:tc>
        <w:tc>
          <w:tcPr>
            <w:tcW w:w="0" w:type="auto"/>
            <w:shd w:val="clear" w:color="auto" w:fill="FFFFFF"/>
            <w:vAlign w:val="bottom"/>
            <w:hideMark/>
          </w:tcPr>
          <w:p w:rsidRPr="004004C7" w:rsidR="004004C7" w:rsidP="004004C7" w:rsidRDefault="004004C7" w14:paraId="281A66C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7E6A7E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6C341A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9,789,686</w:t>
            </w:r>
          </w:p>
        </w:tc>
        <w:tc>
          <w:tcPr>
            <w:tcW w:w="0" w:type="auto"/>
            <w:shd w:val="clear" w:color="auto" w:fill="FFFFFF"/>
            <w:vAlign w:val="bottom"/>
            <w:hideMark/>
          </w:tcPr>
          <w:p w:rsidRPr="004004C7" w:rsidR="004004C7" w:rsidP="004004C7" w:rsidRDefault="004004C7" w14:paraId="0BBB42A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9F881A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D92584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251849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13,557,214</w:t>
            </w:r>
          </w:p>
        </w:tc>
        <w:tc>
          <w:tcPr>
            <w:tcW w:w="0" w:type="auto"/>
            <w:shd w:val="clear" w:color="auto" w:fill="FFFFFF"/>
            <w:vAlign w:val="bottom"/>
            <w:hideMark/>
          </w:tcPr>
          <w:p w:rsidRPr="004004C7" w:rsidR="004004C7" w:rsidP="004004C7" w:rsidRDefault="004004C7" w14:paraId="7C597FA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0833D3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5CFC06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E14A7A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1,888,665</w:t>
            </w:r>
          </w:p>
        </w:tc>
        <w:tc>
          <w:tcPr>
            <w:tcW w:w="0" w:type="auto"/>
            <w:shd w:val="clear" w:color="auto" w:fill="FFFFFF"/>
            <w:vAlign w:val="bottom"/>
            <w:hideMark/>
          </w:tcPr>
          <w:p w:rsidRPr="004004C7" w:rsidR="004004C7" w:rsidP="004004C7" w:rsidRDefault="004004C7" w14:paraId="596F832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599C4850" w14:textId="77777777">
        <w:tc>
          <w:tcPr>
            <w:tcW w:w="0" w:type="auto"/>
            <w:shd w:val="clear" w:color="auto" w:fill="CCEEFF"/>
            <w:vAlign w:val="bottom"/>
            <w:hideMark/>
          </w:tcPr>
          <w:p w:rsidRPr="004004C7" w:rsidR="004004C7" w:rsidP="004004C7" w:rsidRDefault="004004C7" w14:paraId="0BCBC1B0" w14:textId="77777777">
            <w:pPr>
              <w:rPr>
                <w:rFonts w:eastAsia="Times New Roman" w:cs="Times New Roman"/>
                <w:kern w:val="0"/>
                <w:szCs w:val="20"/>
                <w14:ligatures w14:val="none"/>
              </w:rPr>
            </w:pPr>
            <w:r w:rsidRPr="004004C7">
              <w:rPr>
                <w:rFonts w:eastAsia="Times New Roman" w:cs="Times New Roman"/>
                <w:kern w:val="0"/>
                <w:szCs w:val="20"/>
                <w14:ligatures w14:val="none"/>
              </w:rPr>
              <w:t>Add: impairment loss on inventory, property, plant and equipment and other assets</w:t>
            </w:r>
          </w:p>
        </w:tc>
        <w:tc>
          <w:tcPr>
            <w:tcW w:w="0" w:type="auto"/>
            <w:shd w:val="clear" w:color="auto" w:fill="CCEEFF"/>
            <w:vAlign w:val="bottom"/>
            <w:hideMark/>
          </w:tcPr>
          <w:p w:rsidRPr="004004C7" w:rsidR="004004C7" w:rsidP="004004C7" w:rsidRDefault="004004C7" w14:paraId="22D239C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5FF740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412866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157,415,875</w:t>
            </w:r>
          </w:p>
        </w:tc>
        <w:tc>
          <w:tcPr>
            <w:tcW w:w="0" w:type="auto"/>
            <w:shd w:val="clear" w:color="auto" w:fill="CCEEFF"/>
            <w:vAlign w:val="bottom"/>
            <w:hideMark/>
          </w:tcPr>
          <w:p w:rsidRPr="004004C7" w:rsidR="004004C7" w:rsidP="004004C7" w:rsidRDefault="004004C7" w14:paraId="35BC272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0E37641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E081E3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87C5650"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36,715,041</w:t>
            </w:r>
          </w:p>
        </w:tc>
        <w:tc>
          <w:tcPr>
            <w:tcW w:w="0" w:type="auto"/>
            <w:shd w:val="clear" w:color="auto" w:fill="CCEEFF"/>
            <w:vAlign w:val="bottom"/>
            <w:hideMark/>
          </w:tcPr>
          <w:p w:rsidRPr="004004C7" w:rsidR="004004C7" w:rsidP="004004C7" w:rsidRDefault="004004C7" w14:paraId="7507FA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4E1761A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7209405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67F553A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5,114,798</w:t>
            </w:r>
          </w:p>
        </w:tc>
        <w:tc>
          <w:tcPr>
            <w:tcW w:w="0" w:type="auto"/>
            <w:shd w:val="clear" w:color="auto" w:fill="CCEEFF"/>
            <w:vAlign w:val="bottom"/>
            <w:hideMark/>
          </w:tcPr>
          <w:p w:rsidRPr="004004C7" w:rsidR="004004C7" w:rsidP="004004C7" w:rsidRDefault="004004C7" w14:paraId="4997A4D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3EFA2683" w14:textId="77777777">
        <w:tc>
          <w:tcPr>
            <w:tcW w:w="0" w:type="auto"/>
            <w:shd w:val="clear" w:color="auto" w:fill="FFFFFF"/>
            <w:vAlign w:val="bottom"/>
            <w:hideMark/>
          </w:tcPr>
          <w:p w:rsidRPr="004004C7" w:rsidR="004004C7" w:rsidP="004004C7" w:rsidRDefault="004004C7" w14:paraId="5B8F0E56" w14:textId="77777777">
            <w:pPr>
              <w:rPr>
                <w:rFonts w:eastAsia="Times New Roman" w:cs="Times New Roman"/>
                <w:kern w:val="0"/>
                <w:szCs w:val="20"/>
                <w14:ligatures w14:val="none"/>
              </w:rPr>
            </w:pPr>
            <w:r w:rsidRPr="004004C7">
              <w:rPr>
                <w:rFonts w:eastAsia="Times New Roman" w:cs="Times New Roman"/>
                <w:kern w:val="0"/>
                <w:szCs w:val="20"/>
                <w14:ligatures w14:val="none"/>
              </w:rPr>
              <w:t>late fees related to social security insurance</w:t>
            </w:r>
          </w:p>
        </w:tc>
        <w:tc>
          <w:tcPr>
            <w:tcW w:w="0" w:type="auto"/>
            <w:shd w:val="clear" w:color="auto" w:fill="FFFFFF"/>
            <w:vAlign w:val="bottom"/>
            <w:hideMark/>
          </w:tcPr>
          <w:p w:rsidRPr="004004C7" w:rsidR="004004C7" w:rsidP="004004C7" w:rsidRDefault="004004C7" w14:paraId="1A25DAF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94D70B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AEA37E1"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756,201</w:t>
            </w:r>
          </w:p>
        </w:tc>
        <w:tc>
          <w:tcPr>
            <w:tcW w:w="0" w:type="auto"/>
            <w:shd w:val="clear" w:color="auto" w:fill="FFFFFF"/>
            <w:vAlign w:val="bottom"/>
            <w:hideMark/>
          </w:tcPr>
          <w:p w:rsidRPr="004004C7" w:rsidR="004004C7" w:rsidP="004004C7" w:rsidRDefault="004004C7" w14:paraId="366EA84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E3B6BA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89E1C7E"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4B7EF6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454,863</w:t>
            </w:r>
          </w:p>
        </w:tc>
        <w:tc>
          <w:tcPr>
            <w:tcW w:w="0" w:type="auto"/>
            <w:shd w:val="clear" w:color="auto" w:fill="FFFFFF"/>
            <w:vAlign w:val="bottom"/>
            <w:hideMark/>
          </w:tcPr>
          <w:p w:rsidRPr="004004C7" w:rsidR="004004C7" w:rsidP="004004C7" w:rsidRDefault="004004C7" w14:paraId="5F68364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BF654C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41EFEC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4200F3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63,367</w:t>
            </w:r>
          </w:p>
        </w:tc>
        <w:tc>
          <w:tcPr>
            <w:tcW w:w="0" w:type="auto"/>
            <w:shd w:val="clear" w:color="auto" w:fill="FFFFFF"/>
            <w:vAlign w:val="bottom"/>
            <w:hideMark/>
          </w:tcPr>
          <w:p w:rsidRPr="004004C7" w:rsidR="004004C7" w:rsidP="004004C7" w:rsidRDefault="004004C7" w14:paraId="3CF5DBB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22F20FDF" w14:textId="77777777">
        <w:tc>
          <w:tcPr>
            <w:tcW w:w="0" w:type="auto"/>
            <w:shd w:val="clear" w:color="auto" w:fill="CCEEFF"/>
            <w:vAlign w:val="bottom"/>
            <w:hideMark/>
          </w:tcPr>
          <w:p w:rsidRPr="004004C7" w:rsidR="004004C7" w:rsidP="004004C7" w:rsidRDefault="004004C7" w14:paraId="1DA44A2E" w14:textId="77777777">
            <w:pPr>
              <w:rPr>
                <w:rFonts w:eastAsia="Times New Roman" w:cs="Times New Roman"/>
                <w:kern w:val="0"/>
                <w:szCs w:val="20"/>
                <w14:ligatures w14:val="none"/>
              </w:rPr>
            </w:pPr>
            <w:r w:rsidRPr="004004C7">
              <w:rPr>
                <w:rFonts w:eastAsia="Times New Roman" w:cs="Times New Roman"/>
                <w:kern w:val="0"/>
                <w:szCs w:val="20"/>
                <w14:ligatures w14:val="none"/>
              </w:rPr>
              <w:t>Add: other income (expense)</w:t>
            </w:r>
          </w:p>
        </w:tc>
        <w:tc>
          <w:tcPr>
            <w:tcW w:w="0" w:type="auto"/>
            <w:shd w:val="clear" w:color="auto" w:fill="CCEEFF"/>
            <w:vAlign w:val="bottom"/>
            <w:hideMark/>
          </w:tcPr>
          <w:p w:rsidRPr="004004C7" w:rsidR="004004C7" w:rsidP="004004C7" w:rsidRDefault="004004C7" w14:paraId="42BE915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3DA8D2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1265BCC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(10,572,411</w:t>
            </w:r>
          </w:p>
        </w:tc>
        <w:tc>
          <w:tcPr>
            <w:tcW w:w="0" w:type="auto"/>
            <w:shd w:val="clear" w:color="auto" w:fill="CCEEFF"/>
            <w:vAlign w:val="bottom"/>
            <w:hideMark/>
          </w:tcPr>
          <w:p w:rsidRPr="004004C7" w:rsidR="004004C7" w:rsidP="004004C7" w:rsidRDefault="004004C7" w14:paraId="6407ED31"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vAlign w:val="bottom"/>
            <w:hideMark/>
          </w:tcPr>
          <w:p w:rsidRPr="004004C7" w:rsidR="004004C7" w:rsidP="004004C7" w:rsidRDefault="004004C7" w14:paraId="1F2354E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297D158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EAFE6A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4,718,525</w:t>
            </w:r>
          </w:p>
        </w:tc>
        <w:tc>
          <w:tcPr>
            <w:tcW w:w="0" w:type="auto"/>
            <w:shd w:val="clear" w:color="auto" w:fill="CCEEFF"/>
            <w:vAlign w:val="bottom"/>
            <w:hideMark/>
          </w:tcPr>
          <w:p w:rsidRPr="004004C7" w:rsidR="004004C7" w:rsidP="004004C7" w:rsidRDefault="004004C7" w14:paraId="7D30BC9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51BF7C2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A0A4D0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vAlign w:val="bottom"/>
            <w:hideMark/>
          </w:tcPr>
          <w:p w:rsidRPr="004004C7" w:rsidR="004004C7" w:rsidP="004004C7" w:rsidRDefault="004004C7" w14:paraId="3839676C"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657,341</w:t>
            </w:r>
          </w:p>
        </w:tc>
        <w:tc>
          <w:tcPr>
            <w:tcW w:w="0" w:type="auto"/>
            <w:shd w:val="clear" w:color="auto" w:fill="CCEEFF"/>
            <w:vAlign w:val="bottom"/>
            <w:hideMark/>
          </w:tcPr>
          <w:p w:rsidRPr="004004C7" w:rsidR="004004C7" w:rsidP="004004C7" w:rsidRDefault="004004C7" w14:paraId="0D41735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0AF13947" w14:textId="77777777">
        <w:tc>
          <w:tcPr>
            <w:tcW w:w="0" w:type="auto"/>
            <w:shd w:val="clear" w:color="auto" w:fill="FFFFFF"/>
            <w:vAlign w:val="bottom"/>
            <w:hideMark/>
          </w:tcPr>
          <w:p w:rsidRPr="004004C7" w:rsidR="004004C7" w:rsidP="004004C7" w:rsidRDefault="004004C7" w14:paraId="3B5793E3" w14:textId="77777777">
            <w:pPr>
              <w:rPr>
                <w:rFonts w:eastAsia="Times New Roman" w:cs="Times New Roman"/>
                <w:kern w:val="0"/>
                <w:szCs w:val="20"/>
                <w14:ligatures w14:val="none"/>
              </w:rPr>
            </w:pPr>
            <w:r w:rsidRPr="004004C7">
              <w:rPr>
                <w:rFonts w:eastAsia="Times New Roman" w:cs="Times New Roman"/>
                <w:kern w:val="0"/>
                <w:szCs w:val="20"/>
                <w14:ligatures w14:val="none"/>
              </w:rPr>
              <w:t>Add: fair value changes of warrant liability</w:t>
            </w:r>
          </w:p>
        </w:tc>
        <w:tc>
          <w:tcPr>
            <w:tcW w:w="0" w:type="auto"/>
            <w:shd w:val="clear" w:color="auto" w:fill="FFFFFF"/>
            <w:vAlign w:val="bottom"/>
            <w:hideMark/>
          </w:tcPr>
          <w:p w:rsidRPr="004004C7" w:rsidR="004004C7" w:rsidP="004004C7" w:rsidRDefault="004004C7" w14:paraId="29D135F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A0F4D8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81DC18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(4,458,844</w:t>
            </w:r>
          </w:p>
        </w:tc>
        <w:tc>
          <w:tcPr>
            <w:tcW w:w="0" w:type="auto"/>
            <w:shd w:val="clear" w:color="auto" w:fill="FFFFFF"/>
            <w:vAlign w:val="bottom"/>
            <w:hideMark/>
          </w:tcPr>
          <w:p w:rsidRPr="004004C7" w:rsidR="004004C7" w:rsidP="004004C7" w:rsidRDefault="004004C7" w14:paraId="48964C8E"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4903CEB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21ED26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37A4D3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(1,149,792</w:t>
            </w:r>
          </w:p>
        </w:tc>
        <w:tc>
          <w:tcPr>
            <w:tcW w:w="0" w:type="auto"/>
            <w:shd w:val="clear" w:color="auto" w:fill="FFFFFF"/>
            <w:vAlign w:val="bottom"/>
            <w:hideMark/>
          </w:tcPr>
          <w:p w:rsidRPr="004004C7" w:rsidR="004004C7" w:rsidP="004004C7" w:rsidRDefault="004004C7" w14:paraId="65F07591"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FFFFFF"/>
            <w:vAlign w:val="bottom"/>
            <w:hideMark/>
          </w:tcPr>
          <w:p w:rsidRPr="004004C7" w:rsidR="004004C7" w:rsidP="004004C7" w:rsidRDefault="004004C7" w14:paraId="54DB25E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764ABE4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2C737B9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(160,178</w:t>
            </w:r>
          </w:p>
        </w:tc>
        <w:tc>
          <w:tcPr>
            <w:tcW w:w="0" w:type="auto"/>
            <w:shd w:val="clear" w:color="auto" w:fill="FFFFFF"/>
            <w:vAlign w:val="bottom"/>
            <w:hideMark/>
          </w:tcPr>
          <w:p w:rsidRPr="004004C7" w:rsidR="004004C7" w:rsidP="004004C7" w:rsidRDefault="004004C7" w14:paraId="65586395"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77E6F2CA" w14:textId="77777777">
        <w:tc>
          <w:tcPr>
            <w:tcW w:w="0" w:type="auto"/>
            <w:shd w:val="clear" w:color="auto" w:fill="CCEEFF"/>
            <w:tcMar>
              <w:top w:w="0" w:type="dxa"/>
              <w:left w:w="0" w:type="dxa"/>
              <w:bottom w:w="30" w:type="dxa"/>
              <w:right w:w="0" w:type="dxa"/>
            </w:tcMar>
            <w:vAlign w:val="bottom"/>
            <w:hideMark/>
          </w:tcPr>
          <w:p w:rsidRPr="004004C7" w:rsidR="004004C7" w:rsidP="004004C7" w:rsidRDefault="004004C7" w14:paraId="632F0CB7" w14:textId="77777777">
            <w:pPr>
              <w:rPr>
                <w:rFonts w:eastAsia="Times New Roman" w:cs="Times New Roman"/>
                <w:kern w:val="0"/>
                <w:szCs w:val="20"/>
                <w14:ligatures w14:val="none"/>
              </w:rPr>
            </w:pPr>
            <w:r w:rsidRPr="004004C7">
              <w:rPr>
                <w:rFonts w:eastAsia="Times New Roman" w:cs="Times New Roman"/>
                <w:kern w:val="0"/>
                <w:szCs w:val="20"/>
                <w14:ligatures w14:val="none"/>
              </w:rPr>
              <w:t>Add: government grants</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F07C3F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7F59B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74574229"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(20,708,778</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5292223E"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B388E6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3BBABC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61B9F17E"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(5,125,566</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57266CF"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0DEEC9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3272B1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10AC9063"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(714,046</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72BD714" w14:textId="77777777">
            <w:pPr>
              <w:rPr>
                <w:rFonts w:eastAsia="Times New Roman" w:cs="Times New Roman"/>
                <w:kern w:val="0"/>
                <w:szCs w:val="20"/>
                <w14:ligatures w14:val="none"/>
              </w:rPr>
            </w:pPr>
            <w:r w:rsidRPr="004004C7">
              <w:rPr>
                <w:rFonts w:eastAsia="Times New Roman" w:cs="Times New Roman"/>
                <w:kern w:val="0"/>
                <w:szCs w:val="20"/>
                <w14:ligatures w14:val="none"/>
              </w:rPr>
              <w:t>)</w:t>
            </w:r>
          </w:p>
        </w:tc>
      </w:tr>
      <w:tr w:rsidRPr="004004C7" w:rsidR="004004C7" w:rsidTr="004004C7" w14:paraId="3AEDFF2A" w14:textId="77777777">
        <w:tc>
          <w:tcPr>
            <w:tcW w:w="0" w:type="auto"/>
            <w:shd w:val="clear" w:color="auto" w:fill="FFFFFF"/>
            <w:tcMar>
              <w:top w:w="0" w:type="dxa"/>
              <w:left w:w="0" w:type="dxa"/>
              <w:bottom w:w="80" w:type="dxa"/>
              <w:right w:w="0" w:type="dxa"/>
            </w:tcMar>
            <w:vAlign w:val="bottom"/>
            <w:hideMark/>
          </w:tcPr>
          <w:p w:rsidRPr="004004C7" w:rsidR="004004C7" w:rsidP="004004C7" w:rsidRDefault="004004C7" w14:paraId="71FD33B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Adjusted EBITDA</w:t>
            </w:r>
          </w:p>
        </w:tc>
        <w:tc>
          <w:tcPr>
            <w:tcW w:w="0" w:type="auto"/>
            <w:shd w:val="clear" w:color="auto" w:fill="FFFFFF"/>
            <w:tcMar>
              <w:top w:w="0" w:type="dxa"/>
              <w:left w:w="0" w:type="dxa"/>
              <w:bottom w:w="80" w:type="dxa"/>
              <w:right w:w="0" w:type="dxa"/>
            </w:tcMar>
            <w:vAlign w:val="bottom"/>
            <w:hideMark/>
          </w:tcPr>
          <w:p w:rsidRPr="004004C7" w:rsidR="004004C7" w:rsidP="004004C7" w:rsidRDefault="004004C7" w14:paraId="19B5783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61D12773"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2FE34856"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(236,441,558</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3D5AD1C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FFFFFF"/>
            <w:tcMar>
              <w:top w:w="0" w:type="dxa"/>
              <w:left w:w="0" w:type="dxa"/>
              <w:bottom w:w="80" w:type="dxa"/>
              <w:right w:w="0" w:type="dxa"/>
            </w:tcMar>
            <w:vAlign w:val="bottom"/>
            <w:hideMark/>
          </w:tcPr>
          <w:p w:rsidRPr="004004C7" w:rsidR="004004C7" w:rsidP="004004C7" w:rsidRDefault="004004C7" w14:paraId="602D89A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4E07339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055248B3"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631,979</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40BBBAA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tcMar>
              <w:top w:w="0" w:type="dxa"/>
              <w:left w:w="0" w:type="dxa"/>
              <w:bottom w:w="80" w:type="dxa"/>
              <w:right w:w="0" w:type="dxa"/>
            </w:tcMar>
            <w:vAlign w:val="bottom"/>
            <w:hideMark/>
          </w:tcPr>
          <w:p w:rsidRPr="004004C7" w:rsidR="004004C7" w:rsidP="004004C7" w:rsidRDefault="004004C7" w14:paraId="7CF4079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FFFFFF"/>
            <w:vAlign w:val="bottom"/>
            <w:hideMark/>
          </w:tcPr>
          <w:p w:rsidRPr="004004C7" w:rsidR="004004C7" w:rsidP="004004C7" w:rsidRDefault="004004C7" w14:paraId="38D3CF7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tcBorders>
              <w:bottom w:val="double" w:color="000000" w:sz="12" w:space="0"/>
            </w:tcBorders>
            <w:shd w:val="clear" w:color="auto" w:fill="FFFFFF"/>
            <w:vAlign w:val="bottom"/>
            <w:hideMark/>
          </w:tcPr>
          <w:p w:rsidRPr="004004C7" w:rsidR="004004C7" w:rsidP="004004C7" w:rsidRDefault="004004C7" w14:paraId="30CA2D0B"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88,041</w:t>
            </w:r>
          </w:p>
        </w:tc>
        <w:tc>
          <w:tcPr>
            <w:tcW w:w="0" w:type="auto"/>
            <w:shd w:val="clear" w:color="auto" w:fill="FFFFFF"/>
            <w:tcMar>
              <w:top w:w="0" w:type="dxa"/>
              <w:left w:w="0" w:type="dxa"/>
              <w:bottom w:w="50" w:type="dxa"/>
              <w:right w:w="0" w:type="dxa"/>
            </w:tcMar>
            <w:vAlign w:val="bottom"/>
            <w:hideMark/>
          </w:tcPr>
          <w:p w:rsidRPr="004004C7" w:rsidR="004004C7" w:rsidP="004004C7" w:rsidRDefault="004004C7" w14:paraId="572ED6A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bl>
    <w:p w:rsidRPr="004004C7" w:rsidR="004004C7" w:rsidP="004004C7" w:rsidRDefault="004004C7" w14:paraId="5762CC1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bl>
      <w:tblPr>
        <w:tblW w:w="5000" w:type="pct"/>
        <w:tblCellMar>
          <w:left w:w="0" w:type="dxa"/>
          <w:right w:w="0" w:type="dxa"/>
        </w:tblCellMar>
        <w:tblLook w:val="04A0" w:firstRow="1" w:lastRow="0" w:firstColumn="1" w:lastColumn="0" w:noHBand="0" w:noVBand="1"/>
      </w:tblPr>
      <w:tblGrid>
        <w:gridCol w:w="5808"/>
        <w:gridCol w:w="50"/>
        <w:gridCol w:w="50"/>
        <w:gridCol w:w="1067"/>
        <w:gridCol w:w="67"/>
        <w:gridCol w:w="50"/>
        <w:gridCol w:w="50"/>
        <w:gridCol w:w="967"/>
        <w:gridCol w:w="67"/>
        <w:gridCol w:w="50"/>
        <w:gridCol w:w="100"/>
        <w:gridCol w:w="967"/>
        <w:gridCol w:w="67"/>
      </w:tblGrid>
      <w:tr w:rsidRPr="004004C7" w:rsidR="004004C7" w:rsidTr="004004C7" w14:paraId="7D6850BC" w14:textId="77777777">
        <w:tc>
          <w:tcPr>
            <w:tcW w:w="0" w:type="auto"/>
            <w:shd w:val="clear" w:color="auto" w:fill="FFFFFF"/>
            <w:tcMar>
              <w:top w:w="0" w:type="dxa"/>
              <w:left w:w="0" w:type="dxa"/>
              <w:bottom w:w="30" w:type="dxa"/>
              <w:right w:w="0" w:type="dxa"/>
            </w:tcMar>
            <w:vAlign w:val="bottom"/>
            <w:hideMark/>
          </w:tcPr>
          <w:p w:rsidRPr="004004C7" w:rsidR="004004C7" w:rsidP="004004C7" w:rsidRDefault="004004C7" w14:paraId="043B91E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C5909B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gridSpan w:val="11"/>
            <w:tcBorders>
              <w:bottom w:val="single" w:color="000000" w:sz="12" w:space="0"/>
            </w:tcBorders>
            <w:shd w:val="clear" w:color="auto" w:fill="FFFFFF"/>
            <w:vAlign w:val="bottom"/>
            <w:hideMark/>
          </w:tcPr>
          <w:p w:rsidRPr="004004C7" w:rsidR="004004C7" w:rsidP="004004C7" w:rsidRDefault="004004C7" w14:paraId="7ED646D5"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Years Ended March 31,</w:t>
            </w:r>
          </w:p>
        </w:tc>
      </w:tr>
      <w:tr w:rsidRPr="004004C7" w:rsidR="004004C7" w:rsidTr="004004C7" w14:paraId="3EDD00D1" w14:textId="77777777">
        <w:tc>
          <w:tcPr>
            <w:tcW w:w="3200" w:type="pct"/>
            <w:shd w:val="clear" w:color="auto" w:fill="FFFFFF"/>
            <w:tcMar>
              <w:top w:w="0" w:type="dxa"/>
              <w:left w:w="0" w:type="dxa"/>
              <w:bottom w:w="30" w:type="dxa"/>
              <w:right w:w="0" w:type="dxa"/>
            </w:tcMar>
            <w:vAlign w:val="bottom"/>
            <w:hideMark/>
          </w:tcPr>
          <w:p w:rsidRPr="004004C7" w:rsidR="004004C7" w:rsidP="004004C7" w:rsidRDefault="004004C7" w14:paraId="25EE4A2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419EF4B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tcBorders>
              <w:bottom w:val="single" w:color="000000" w:sz="12" w:space="0"/>
            </w:tcBorders>
            <w:shd w:val="clear" w:color="auto" w:fill="FFFFFF"/>
            <w:vAlign w:val="bottom"/>
            <w:hideMark/>
          </w:tcPr>
          <w:p w:rsidRPr="004004C7" w:rsidR="004004C7" w:rsidP="004004C7" w:rsidRDefault="004004C7" w14:paraId="0A1EB55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tcBorders>
              <w:bottom w:val="single" w:color="000000" w:sz="12" w:space="0"/>
            </w:tcBorders>
            <w:shd w:val="clear" w:color="auto" w:fill="FFFFFF"/>
            <w:vAlign w:val="bottom"/>
            <w:hideMark/>
          </w:tcPr>
          <w:p w:rsidRPr="004004C7" w:rsidR="004004C7" w:rsidP="004004C7" w:rsidRDefault="004004C7" w14:paraId="571FD8E5"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2024</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7BD0A08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0DAC5FD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tcBorders>
              <w:bottom w:val="single" w:color="000000" w:sz="12" w:space="0"/>
            </w:tcBorders>
            <w:shd w:val="clear" w:color="auto" w:fill="FFFFFF"/>
            <w:vAlign w:val="bottom"/>
            <w:hideMark/>
          </w:tcPr>
          <w:p w:rsidRPr="004004C7" w:rsidR="004004C7" w:rsidP="004004C7" w:rsidRDefault="004004C7" w14:paraId="28E5CFD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tcBorders>
              <w:bottom w:val="single" w:color="000000" w:sz="12" w:space="0"/>
            </w:tcBorders>
            <w:shd w:val="clear" w:color="auto" w:fill="FFFFFF"/>
            <w:vAlign w:val="bottom"/>
            <w:hideMark/>
          </w:tcPr>
          <w:p w:rsidRPr="004004C7" w:rsidR="004004C7" w:rsidP="004004C7" w:rsidRDefault="004004C7" w14:paraId="136333F0"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5FCC46F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3ACA73B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50" w:type="pct"/>
            <w:tcBorders>
              <w:bottom w:val="single" w:color="000000" w:sz="12" w:space="0"/>
            </w:tcBorders>
            <w:shd w:val="clear" w:color="auto" w:fill="FFFFFF"/>
            <w:vAlign w:val="bottom"/>
            <w:hideMark/>
          </w:tcPr>
          <w:p w:rsidRPr="004004C7" w:rsidR="004004C7" w:rsidP="004004C7" w:rsidRDefault="004004C7" w14:paraId="03C5864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450" w:type="pct"/>
            <w:tcBorders>
              <w:bottom w:val="single" w:color="000000" w:sz="12" w:space="0"/>
            </w:tcBorders>
            <w:shd w:val="clear" w:color="auto" w:fill="FFFFFF"/>
            <w:vAlign w:val="bottom"/>
            <w:hideMark/>
          </w:tcPr>
          <w:p w:rsidRPr="004004C7" w:rsidR="004004C7" w:rsidP="004004C7" w:rsidRDefault="004004C7" w14:paraId="4BBDFD81"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2025</w:t>
            </w:r>
          </w:p>
        </w:tc>
        <w:tc>
          <w:tcPr>
            <w:tcW w:w="50" w:type="pct"/>
            <w:shd w:val="clear" w:color="auto" w:fill="FFFFFF"/>
            <w:tcMar>
              <w:top w:w="0" w:type="dxa"/>
              <w:left w:w="0" w:type="dxa"/>
              <w:bottom w:w="30" w:type="dxa"/>
              <w:right w:w="0" w:type="dxa"/>
            </w:tcMar>
            <w:vAlign w:val="bottom"/>
            <w:hideMark/>
          </w:tcPr>
          <w:p w:rsidRPr="004004C7" w:rsidR="004004C7" w:rsidP="004004C7" w:rsidRDefault="004004C7" w14:paraId="52B32D4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53C109CA" w14:textId="77777777">
        <w:tc>
          <w:tcPr>
            <w:tcW w:w="0" w:type="auto"/>
            <w:shd w:val="clear" w:color="auto" w:fill="FFFFFF"/>
            <w:vAlign w:val="bottom"/>
            <w:hideMark/>
          </w:tcPr>
          <w:p w:rsidRPr="004004C7" w:rsidR="004004C7" w:rsidP="004004C7" w:rsidRDefault="004004C7" w14:paraId="3F752DB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D678C84"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58865EE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35F45BB3"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shd w:val="clear" w:color="auto" w:fill="FFFFFF"/>
            <w:vAlign w:val="bottom"/>
            <w:hideMark/>
          </w:tcPr>
          <w:p w:rsidRPr="004004C7" w:rsidR="004004C7" w:rsidP="004004C7" w:rsidRDefault="004004C7" w14:paraId="7A6EC54E"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0694350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7EC3126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1CA5D07D"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RMB</w:t>
            </w:r>
          </w:p>
        </w:tc>
        <w:tc>
          <w:tcPr>
            <w:tcW w:w="0" w:type="auto"/>
            <w:shd w:val="clear" w:color="auto" w:fill="FFFFFF"/>
            <w:vAlign w:val="bottom"/>
            <w:hideMark/>
          </w:tcPr>
          <w:p w:rsidRPr="004004C7" w:rsidR="004004C7" w:rsidP="004004C7" w:rsidRDefault="004004C7" w14:paraId="203C019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3915977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0C61282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FFFFFF"/>
            <w:vAlign w:val="bottom"/>
            <w:hideMark/>
          </w:tcPr>
          <w:p w:rsidRPr="004004C7" w:rsidR="004004C7" w:rsidP="004004C7" w:rsidRDefault="004004C7" w14:paraId="064ED556" w14:textId="77777777">
            <w:pPr>
              <w:jc w:val="center"/>
              <w:rPr>
                <w:rFonts w:eastAsia="Times New Roman" w:cs="Times New Roman"/>
                <w:b/>
                <w:bCs/>
                <w:kern w:val="0"/>
                <w:szCs w:val="20"/>
                <w14:ligatures w14:val="none"/>
              </w:rPr>
            </w:pPr>
            <w:r w:rsidRPr="004004C7">
              <w:rPr>
                <w:rFonts w:eastAsia="Times New Roman" w:cs="Times New Roman"/>
                <w:b/>
                <w:bCs/>
                <w:kern w:val="0"/>
                <w:szCs w:val="20"/>
                <w14:ligatures w14:val="none"/>
              </w:rPr>
              <w:t>US$</w:t>
            </w:r>
          </w:p>
        </w:tc>
        <w:tc>
          <w:tcPr>
            <w:tcW w:w="0" w:type="auto"/>
            <w:shd w:val="clear" w:color="auto" w:fill="FFFFFF"/>
            <w:vAlign w:val="bottom"/>
            <w:hideMark/>
          </w:tcPr>
          <w:p w:rsidRPr="004004C7" w:rsidR="004004C7" w:rsidP="004004C7" w:rsidRDefault="004004C7" w14:paraId="195B044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r>
      <w:tr w:rsidRPr="004004C7" w:rsidR="004004C7" w:rsidTr="004004C7" w14:paraId="5BECB646" w14:textId="77777777">
        <w:tc>
          <w:tcPr>
            <w:tcW w:w="0" w:type="auto"/>
            <w:shd w:val="clear" w:color="auto" w:fill="CCEEFF"/>
            <w:vAlign w:val="bottom"/>
            <w:hideMark/>
          </w:tcPr>
          <w:p w:rsidRPr="004004C7" w:rsidR="004004C7" w:rsidP="004004C7" w:rsidRDefault="004004C7" w14:paraId="2FA161F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Net income (loss)</w:t>
            </w:r>
          </w:p>
        </w:tc>
        <w:tc>
          <w:tcPr>
            <w:tcW w:w="0" w:type="auto"/>
            <w:shd w:val="clear" w:color="auto" w:fill="CCEEFF"/>
            <w:vAlign w:val="bottom"/>
            <w:hideMark/>
          </w:tcPr>
          <w:p w:rsidRPr="004004C7" w:rsidR="004004C7" w:rsidP="004004C7" w:rsidRDefault="004004C7" w14:paraId="5D387442"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59D0E9E8"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3EAA52A1"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(433,464,871</w:t>
            </w:r>
          </w:p>
        </w:tc>
        <w:tc>
          <w:tcPr>
            <w:tcW w:w="0" w:type="auto"/>
            <w:shd w:val="clear" w:color="auto" w:fill="CCEEFF"/>
            <w:vAlign w:val="bottom"/>
            <w:hideMark/>
          </w:tcPr>
          <w:p w:rsidRPr="004004C7" w:rsidR="004004C7" w:rsidP="004004C7" w:rsidRDefault="004004C7" w14:paraId="2730D32A"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1721C29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05329D2F"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01C4B965"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(99,982,451</w:t>
            </w:r>
          </w:p>
        </w:tc>
        <w:tc>
          <w:tcPr>
            <w:tcW w:w="0" w:type="auto"/>
            <w:shd w:val="clear" w:color="auto" w:fill="CCEEFF"/>
            <w:vAlign w:val="bottom"/>
            <w:hideMark/>
          </w:tcPr>
          <w:p w:rsidRPr="004004C7" w:rsidR="004004C7" w:rsidP="004004C7" w:rsidRDefault="004004C7" w14:paraId="7308F656"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39DF2640"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shd w:val="clear" w:color="auto" w:fill="CCEEFF"/>
            <w:vAlign w:val="bottom"/>
            <w:hideMark/>
          </w:tcPr>
          <w:p w:rsidRPr="004004C7" w:rsidR="004004C7" w:rsidP="004004C7" w:rsidRDefault="004004C7" w14:paraId="40CB2A1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vAlign w:val="bottom"/>
            <w:hideMark/>
          </w:tcPr>
          <w:p w:rsidRPr="004004C7" w:rsidR="004004C7" w:rsidP="004004C7" w:rsidRDefault="004004C7" w14:paraId="4D1B4B3D"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(13,928,624</w:t>
            </w:r>
          </w:p>
        </w:tc>
        <w:tc>
          <w:tcPr>
            <w:tcW w:w="0" w:type="auto"/>
            <w:shd w:val="clear" w:color="auto" w:fill="CCEEFF"/>
            <w:vAlign w:val="bottom"/>
            <w:hideMark/>
          </w:tcPr>
          <w:p w:rsidRPr="004004C7" w:rsidR="004004C7" w:rsidP="004004C7" w:rsidRDefault="004004C7" w14:paraId="2B223F8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r w:rsidRPr="004004C7" w:rsidR="004004C7" w:rsidTr="004004C7" w14:paraId="3892F486" w14:textId="77777777">
        <w:tc>
          <w:tcPr>
            <w:tcW w:w="0" w:type="auto"/>
            <w:shd w:val="clear" w:color="auto" w:fill="FFFFFF"/>
            <w:vAlign w:val="bottom"/>
            <w:hideMark/>
          </w:tcPr>
          <w:p w:rsidRPr="004004C7" w:rsidR="004004C7" w:rsidP="004004C7" w:rsidRDefault="004004C7" w14:paraId="23198229" w14:textId="77777777">
            <w:pPr>
              <w:rPr>
                <w:rFonts w:eastAsia="Times New Roman" w:cs="Times New Roman"/>
                <w:kern w:val="0"/>
                <w:szCs w:val="20"/>
                <w14:ligatures w14:val="none"/>
              </w:rPr>
            </w:pPr>
            <w:r w:rsidRPr="004004C7">
              <w:rPr>
                <w:rFonts w:eastAsia="Times New Roman" w:cs="Times New Roman"/>
                <w:kern w:val="0"/>
                <w:szCs w:val="20"/>
                <w14:ligatures w14:val="none"/>
              </w:rPr>
              <w:t>Add: share-based compensation expenses</w:t>
            </w:r>
          </w:p>
        </w:tc>
        <w:tc>
          <w:tcPr>
            <w:tcW w:w="0" w:type="auto"/>
            <w:shd w:val="clear" w:color="auto" w:fill="FFFFFF"/>
            <w:vAlign w:val="bottom"/>
            <w:hideMark/>
          </w:tcPr>
          <w:p w:rsidRPr="004004C7" w:rsidR="004004C7" w:rsidP="004004C7" w:rsidRDefault="004004C7" w14:paraId="24A3137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1F2FB63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046F50D4"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9,789,686</w:t>
            </w:r>
          </w:p>
        </w:tc>
        <w:tc>
          <w:tcPr>
            <w:tcW w:w="0" w:type="auto"/>
            <w:shd w:val="clear" w:color="auto" w:fill="FFFFFF"/>
            <w:vAlign w:val="bottom"/>
            <w:hideMark/>
          </w:tcPr>
          <w:p w:rsidRPr="004004C7" w:rsidR="004004C7" w:rsidP="004004C7" w:rsidRDefault="004004C7" w14:paraId="3D7C827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CA725C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6361A68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43F45EA"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13,557,214</w:t>
            </w:r>
          </w:p>
        </w:tc>
        <w:tc>
          <w:tcPr>
            <w:tcW w:w="0" w:type="auto"/>
            <w:shd w:val="clear" w:color="auto" w:fill="FFFFFF"/>
            <w:vAlign w:val="bottom"/>
            <w:hideMark/>
          </w:tcPr>
          <w:p w:rsidRPr="004004C7" w:rsidR="004004C7" w:rsidP="004004C7" w:rsidRDefault="004004C7" w14:paraId="7A6A01EA"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4FD85B0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3A29007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vAlign w:val="bottom"/>
            <w:hideMark/>
          </w:tcPr>
          <w:p w:rsidRPr="004004C7" w:rsidR="004004C7" w:rsidP="004004C7" w:rsidRDefault="004004C7" w14:paraId="5203EF22"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1,888,665</w:t>
            </w:r>
          </w:p>
        </w:tc>
        <w:tc>
          <w:tcPr>
            <w:tcW w:w="0" w:type="auto"/>
            <w:shd w:val="clear" w:color="auto" w:fill="FFFFFF"/>
            <w:vAlign w:val="bottom"/>
            <w:hideMark/>
          </w:tcPr>
          <w:p w:rsidRPr="004004C7" w:rsidR="004004C7" w:rsidP="004004C7" w:rsidRDefault="004004C7" w14:paraId="7BF9C8A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1679F973" w14:textId="77777777">
        <w:tc>
          <w:tcPr>
            <w:tcW w:w="0" w:type="auto"/>
            <w:shd w:val="clear" w:color="auto" w:fill="CCEEFF"/>
            <w:tcMar>
              <w:top w:w="0" w:type="dxa"/>
              <w:left w:w="0" w:type="dxa"/>
              <w:bottom w:w="30" w:type="dxa"/>
              <w:right w:w="0" w:type="dxa"/>
            </w:tcMar>
            <w:vAlign w:val="bottom"/>
            <w:hideMark/>
          </w:tcPr>
          <w:p w:rsidRPr="004004C7" w:rsidR="004004C7" w:rsidP="004004C7" w:rsidRDefault="004004C7" w14:paraId="78BB9450" w14:textId="77777777">
            <w:pPr>
              <w:rPr>
                <w:rFonts w:eastAsia="Times New Roman" w:cs="Times New Roman"/>
                <w:kern w:val="0"/>
                <w:szCs w:val="20"/>
                <w14:ligatures w14:val="none"/>
              </w:rPr>
            </w:pPr>
            <w:r w:rsidRPr="004004C7">
              <w:rPr>
                <w:rFonts w:eastAsia="Times New Roman" w:cs="Times New Roman"/>
                <w:kern w:val="0"/>
                <w:szCs w:val="20"/>
                <w14:ligatures w14:val="none"/>
              </w:rPr>
              <w:t>Add: impairment loss on inventory, property, plant and equipment and other assets</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4F35C6E2"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D1BB5D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B1B44CF"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157,415,875</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02B74EB"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0E312C4C"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F7D19A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4D4EF948"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36,715,041</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69BE2D8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3FE55CE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5D28C621"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CCEEFF"/>
            <w:vAlign w:val="bottom"/>
            <w:hideMark/>
          </w:tcPr>
          <w:p w:rsidRPr="004004C7" w:rsidR="004004C7" w:rsidP="004004C7" w:rsidRDefault="004004C7" w14:paraId="0045C825"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5,114,798</w:t>
            </w:r>
          </w:p>
        </w:tc>
        <w:tc>
          <w:tcPr>
            <w:tcW w:w="0" w:type="auto"/>
            <w:shd w:val="clear" w:color="auto" w:fill="CCEEFF"/>
            <w:tcMar>
              <w:top w:w="0" w:type="dxa"/>
              <w:left w:w="0" w:type="dxa"/>
              <w:bottom w:w="30" w:type="dxa"/>
              <w:right w:w="0" w:type="dxa"/>
            </w:tcMar>
            <w:vAlign w:val="bottom"/>
            <w:hideMark/>
          </w:tcPr>
          <w:p w:rsidRPr="004004C7" w:rsidR="004004C7" w:rsidP="004004C7" w:rsidRDefault="004004C7" w14:paraId="101BD2FD"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6E66D2EB" w14:textId="77777777">
        <w:tc>
          <w:tcPr>
            <w:tcW w:w="0" w:type="auto"/>
            <w:shd w:val="clear" w:color="auto" w:fill="FFFFFF"/>
            <w:tcMar>
              <w:top w:w="0" w:type="dxa"/>
              <w:left w:w="0" w:type="dxa"/>
              <w:bottom w:w="30" w:type="dxa"/>
              <w:right w:w="0" w:type="dxa"/>
            </w:tcMar>
            <w:vAlign w:val="bottom"/>
            <w:hideMark/>
          </w:tcPr>
          <w:p w:rsidRPr="004004C7" w:rsidR="004004C7" w:rsidP="004004C7" w:rsidRDefault="004004C7" w14:paraId="606361D6" w14:textId="77777777">
            <w:pPr>
              <w:rPr>
                <w:rFonts w:eastAsia="Times New Roman" w:cs="Times New Roman"/>
                <w:kern w:val="0"/>
                <w:szCs w:val="20"/>
                <w14:ligatures w14:val="none"/>
              </w:rPr>
            </w:pPr>
            <w:r w:rsidRPr="004004C7">
              <w:rPr>
                <w:rFonts w:eastAsia="Times New Roman" w:cs="Times New Roman"/>
                <w:kern w:val="0"/>
                <w:szCs w:val="20"/>
                <w14:ligatures w14:val="none"/>
              </w:rPr>
              <w:t>Add: loss on disposal of property, plant and equipment</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5FAD2F7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120269F5"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01A7964D"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13,135</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153DC79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7E1EA77F"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90CAEF4"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6A0B9F4"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9,777,030</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0F0AB476"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8B9DF39"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7DB544B3"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c>
          <w:tcPr>
            <w:tcW w:w="0" w:type="auto"/>
            <w:tcBorders>
              <w:bottom w:val="single" w:color="000000" w:sz="12" w:space="0"/>
            </w:tcBorders>
            <w:shd w:val="clear" w:color="auto" w:fill="FFFFFF"/>
            <w:vAlign w:val="bottom"/>
            <w:hideMark/>
          </w:tcPr>
          <w:p w:rsidRPr="004004C7" w:rsidR="004004C7" w:rsidP="004004C7" w:rsidRDefault="004004C7" w14:paraId="2E1993AB" w14:textId="77777777">
            <w:pPr>
              <w:jc w:val="right"/>
              <w:rPr>
                <w:rFonts w:eastAsia="Times New Roman" w:cs="Times New Roman"/>
                <w:kern w:val="0"/>
                <w:szCs w:val="20"/>
                <w14:ligatures w14:val="none"/>
              </w:rPr>
            </w:pPr>
            <w:r w:rsidRPr="004004C7">
              <w:rPr>
                <w:rFonts w:eastAsia="Times New Roman" w:cs="Times New Roman"/>
                <w:kern w:val="0"/>
                <w:szCs w:val="20"/>
                <w14:ligatures w14:val="none"/>
              </w:rPr>
              <w:t>1,362,045</w:t>
            </w:r>
          </w:p>
        </w:tc>
        <w:tc>
          <w:tcPr>
            <w:tcW w:w="0" w:type="auto"/>
            <w:shd w:val="clear" w:color="auto" w:fill="FFFFFF"/>
            <w:tcMar>
              <w:top w:w="0" w:type="dxa"/>
              <w:left w:w="0" w:type="dxa"/>
              <w:bottom w:w="30" w:type="dxa"/>
              <w:right w:w="0" w:type="dxa"/>
            </w:tcMar>
            <w:vAlign w:val="bottom"/>
            <w:hideMark/>
          </w:tcPr>
          <w:p w:rsidRPr="004004C7" w:rsidR="004004C7" w:rsidP="004004C7" w:rsidRDefault="004004C7" w14:paraId="2642DEB7"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tc>
      </w:tr>
      <w:tr w:rsidRPr="004004C7" w:rsidR="004004C7" w:rsidTr="004004C7" w14:paraId="7B5475A5" w14:textId="77777777">
        <w:tc>
          <w:tcPr>
            <w:tcW w:w="0" w:type="auto"/>
            <w:shd w:val="clear" w:color="auto" w:fill="CCEEFF"/>
            <w:tcMar>
              <w:top w:w="0" w:type="dxa"/>
              <w:left w:w="0" w:type="dxa"/>
              <w:bottom w:w="80" w:type="dxa"/>
              <w:right w:w="0" w:type="dxa"/>
            </w:tcMar>
            <w:vAlign w:val="bottom"/>
            <w:hideMark/>
          </w:tcPr>
          <w:p w:rsidRPr="004004C7" w:rsidR="004004C7" w:rsidP="004004C7" w:rsidRDefault="004004C7" w14:paraId="79B6634D"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Adjusted net income (loss)</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650C6A65"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285A946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35FC5351"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(266,259,310</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2C1515B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3FEF6F77"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5F93FB7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4B23499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(39,933,166</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23CB10A1"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shd w:val="clear" w:color="auto" w:fill="CCEEFF"/>
            <w:tcMar>
              <w:top w:w="0" w:type="dxa"/>
              <w:left w:w="0" w:type="dxa"/>
              <w:bottom w:w="80" w:type="dxa"/>
              <w:right w:w="0" w:type="dxa"/>
            </w:tcMar>
            <w:vAlign w:val="bottom"/>
            <w:hideMark/>
          </w:tcPr>
          <w:p w:rsidRPr="004004C7" w:rsidR="004004C7" w:rsidP="004004C7" w:rsidRDefault="004004C7" w14:paraId="4049C41C"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 </w:t>
            </w:r>
          </w:p>
        </w:tc>
        <w:tc>
          <w:tcPr>
            <w:tcW w:w="0" w:type="auto"/>
            <w:tcBorders>
              <w:bottom w:val="double" w:color="000000" w:sz="12" w:space="0"/>
            </w:tcBorders>
            <w:shd w:val="clear" w:color="auto" w:fill="CCEEFF"/>
            <w:vAlign w:val="bottom"/>
            <w:hideMark/>
          </w:tcPr>
          <w:p w:rsidRPr="004004C7" w:rsidR="004004C7" w:rsidP="004004C7" w:rsidRDefault="004004C7" w14:paraId="68F534EB"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c>
          <w:tcPr>
            <w:tcW w:w="0" w:type="auto"/>
            <w:tcBorders>
              <w:bottom w:val="double" w:color="000000" w:sz="12" w:space="0"/>
            </w:tcBorders>
            <w:shd w:val="clear" w:color="auto" w:fill="CCEEFF"/>
            <w:vAlign w:val="bottom"/>
            <w:hideMark/>
          </w:tcPr>
          <w:p w:rsidRPr="004004C7" w:rsidR="004004C7" w:rsidP="004004C7" w:rsidRDefault="004004C7" w14:paraId="21FC17E7" w14:textId="77777777">
            <w:pPr>
              <w:jc w:val="right"/>
              <w:rPr>
                <w:rFonts w:eastAsia="Times New Roman" w:cs="Times New Roman"/>
                <w:b/>
                <w:bCs/>
                <w:kern w:val="0"/>
                <w:szCs w:val="20"/>
                <w14:ligatures w14:val="none"/>
              </w:rPr>
            </w:pPr>
            <w:r w:rsidRPr="004004C7">
              <w:rPr>
                <w:rFonts w:eastAsia="Times New Roman" w:cs="Times New Roman"/>
                <w:b/>
                <w:bCs/>
                <w:kern w:val="0"/>
                <w:szCs w:val="20"/>
                <w14:ligatures w14:val="none"/>
              </w:rPr>
              <w:t>(5,563,117</w:t>
            </w:r>
          </w:p>
        </w:tc>
        <w:tc>
          <w:tcPr>
            <w:tcW w:w="0" w:type="auto"/>
            <w:shd w:val="clear" w:color="auto" w:fill="CCEEFF"/>
            <w:tcMar>
              <w:top w:w="0" w:type="dxa"/>
              <w:left w:w="0" w:type="dxa"/>
              <w:bottom w:w="50" w:type="dxa"/>
              <w:right w:w="0" w:type="dxa"/>
            </w:tcMar>
            <w:vAlign w:val="bottom"/>
            <w:hideMark/>
          </w:tcPr>
          <w:p w:rsidRPr="004004C7" w:rsidR="004004C7" w:rsidP="004004C7" w:rsidRDefault="004004C7" w14:paraId="5F2DCE69" w14:textId="77777777">
            <w:pPr>
              <w:rPr>
                <w:rFonts w:eastAsia="Times New Roman" w:cs="Times New Roman"/>
                <w:b/>
                <w:bCs/>
                <w:kern w:val="0"/>
                <w:szCs w:val="20"/>
                <w14:ligatures w14:val="none"/>
              </w:rPr>
            </w:pPr>
            <w:r w:rsidRPr="004004C7">
              <w:rPr>
                <w:rFonts w:eastAsia="Times New Roman" w:cs="Times New Roman"/>
                <w:b/>
                <w:bCs/>
                <w:kern w:val="0"/>
                <w:szCs w:val="20"/>
                <w14:ligatures w14:val="none"/>
              </w:rPr>
              <w:t>)</w:t>
            </w:r>
          </w:p>
        </w:tc>
      </w:tr>
    </w:tbl>
    <w:p w:rsidRPr="004004C7" w:rsidR="004004C7" w:rsidP="004004C7" w:rsidRDefault="004004C7" w14:paraId="72324388"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Pr="004004C7" w:rsidR="004004C7" w:rsidP="004004C7" w:rsidRDefault="004004C7" w14:paraId="0D55BDB5" w14:textId="77777777">
      <w:pPr>
        <w:jc w:val="center"/>
        <w:rPr>
          <w:rFonts w:eastAsia="Times New Roman" w:cs="Times New Roman"/>
          <w:kern w:val="0"/>
          <w:szCs w:val="20"/>
          <w14:ligatures w14:val="none"/>
        </w:rPr>
      </w:pPr>
      <w:r w:rsidRPr="004004C7">
        <w:rPr>
          <w:rFonts w:eastAsia="Times New Roman" w:cs="Times New Roman"/>
          <w:kern w:val="0"/>
          <w:szCs w:val="20"/>
          <w14:ligatures w14:val="none"/>
        </w:rPr>
        <w:t>8</w:t>
      </w:r>
    </w:p>
    <w:p w:rsidRPr="004004C7" w:rsidR="004004C7" w:rsidP="004004C7" w:rsidRDefault="004004C7" w14:paraId="2D5B81A0" w14:textId="77777777">
      <w:pPr>
        <w:rPr>
          <w:rFonts w:eastAsia="Times New Roman" w:cs="Times New Roman"/>
          <w:kern w:val="0"/>
          <w:szCs w:val="20"/>
          <w14:ligatures w14:val="none"/>
        </w:rPr>
      </w:pPr>
      <w:r w:rsidRPr="004004C7">
        <w:rPr>
          <w:rFonts w:eastAsia="Times New Roman" w:cs="Times New Roman"/>
          <w:kern w:val="0"/>
          <w:szCs w:val="20"/>
          <w14:ligatures w14:val="none"/>
        </w:rPr>
        <w:t> </w:t>
      </w:r>
    </w:p>
    <w:p w:rsidR="00195A97" w:rsidRDefault="00195A97" w14:paraId="432EE4B0" w14:textId="77777777"/>
    <w:sectPr w:rsidR="00195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C7"/>
    <w:rsid w:val="000B000E"/>
    <w:rsid w:val="00195A97"/>
    <w:rsid w:val="004004C7"/>
    <w:rsid w:val="006B0EC5"/>
    <w:rsid w:val="00944106"/>
    <w:rsid w:val="00AB5463"/>
    <w:rsid w:val="00F4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C63E"/>
  <w15:chartTrackingRefBased/>
  <w15:docId w15:val="{FA53AB40-2A3E-4938-B8E4-23DDF33C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004C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4C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4C7"/>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4C7"/>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4C7"/>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4C7"/>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4C7"/>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4C7"/>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4C7"/>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04C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004C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004C7"/>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004C7"/>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004C7"/>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004C7"/>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004C7"/>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004C7"/>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004C7"/>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4004C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04C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004C7"/>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004C7"/>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4C7"/>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004C7"/>
    <w:rPr>
      <w:i/>
      <w:iCs/>
      <w:color w:val="404040" w:themeColor="text1" w:themeTint="BF"/>
    </w:rPr>
  </w:style>
  <w:style w:type="paragraph" w:styleId="ListParagraph">
    <w:name w:val="List Paragraph"/>
    <w:basedOn w:val="Normal"/>
    <w:uiPriority w:val="34"/>
    <w:qFormat/>
    <w:rsid w:val="004004C7"/>
    <w:pPr>
      <w:ind w:left="720"/>
      <w:contextualSpacing/>
    </w:pPr>
  </w:style>
  <w:style w:type="character" w:styleId="IntenseEmphasis">
    <w:name w:val="Intense Emphasis"/>
    <w:basedOn w:val="DefaultParagraphFont"/>
    <w:uiPriority w:val="21"/>
    <w:qFormat/>
    <w:rsid w:val="004004C7"/>
    <w:rPr>
      <w:i/>
      <w:iCs/>
      <w:color w:val="0F4761" w:themeColor="accent1" w:themeShade="BF"/>
    </w:rPr>
  </w:style>
  <w:style w:type="paragraph" w:styleId="IntenseQuote">
    <w:name w:val="Intense Quote"/>
    <w:basedOn w:val="Normal"/>
    <w:next w:val="Normal"/>
    <w:link w:val="IntenseQuoteChar"/>
    <w:uiPriority w:val="30"/>
    <w:qFormat/>
    <w:rsid w:val="004004C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004C7"/>
    <w:rPr>
      <w:i/>
      <w:iCs/>
      <w:color w:val="0F4761" w:themeColor="accent1" w:themeShade="BF"/>
    </w:rPr>
  </w:style>
  <w:style w:type="character" w:styleId="IntenseReference">
    <w:name w:val="Intense Reference"/>
    <w:basedOn w:val="DefaultParagraphFont"/>
    <w:uiPriority w:val="32"/>
    <w:qFormat/>
    <w:rsid w:val="004004C7"/>
    <w:rPr>
      <w:b/>
      <w:bCs/>
      <w:smallCaps/>
      <w:color w:val="0F4761" w:themeColor="accent1" w:themeShade="BF"/>
      <w:spacing w:val="5"/>
    </w:rPr>
  </w:style>
  <w:style w:type="paragraph" w:styleId="msonormal0" w:customStyle="1">
    <w:name w:val="msonormal"/>
    <w:basedOn w:val="Normal"/>
    <w:rsid w:val="004004C7"/>
    <w:pPr>
      <w:spacing w:before="100" w:beforeAutospacing="1" w:after="100" w:afterAutospacing="1"/>
    </w:pPr>
    <w:rPr>
      <w:rFonts w:eastAsia="Times New Roman" w:cs="Times New Roman"/>
      <w:kern w:val="0"/>
      <w:sz w:val="24"/>
      <w:szCs w:val="24"/>
      <w14:ligatures w14:val="none"/>
    </w:rPr>
  </w:style>
  <w:style w:type="paragraph" w:styleId="NormalWeb">
    <w:name w:val="Normal (Web)"/>
    <w:basedOn w:val="Normal"/>
    <w:uiPriority w:val="99"/>
    <w:semiHidden/>
    <w:unhideWhenUsed/>
    <w:rsid w:val="004004C7"/>
    <w:pPr>
      <w:spacing w:before="100" w:beforeAutospacing="1" w:after="100" w:afterAutospacing="1"/>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4004C7"/>
    <w:rPr>
      <w:color w:val="0000FF"/>
      <w:u w:val="single"/>
    </w:rPr>
  </w:style>
  <w:style w:type="character" w:styleId="FollowedHyperlink">
    <w:name w:val="FollowedHyperlink"/>
    <w:basedOn w:val="DefaultParagraphFont"/>
    <w:uiPriority w:val="99"/>
    <w:semiHidden/>
    <w:unhideWhenUsed/>
    <w:rsid w:val="004004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4585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234">
          <w:marLeft w:val="0"/>
          <w:marRight w:val="0"/>
          <w:marTop w:val="0"/>
          <w:marBottom w:val="0"/>
          <w:divBdr>
            <w:top w:val="none" w:sz="0" w:space="0" w:color="auto"/>
            <w:left w:val="none" w:sz="0" w:space="0" w:color="auto"/>
            <w:bottom w:val="none" w:sz="0" w:space="0" w:color="auto"/>
            <w:right w:val="none" w:sz="0" w:space="0" w:color="auto"/>
          </w:divBdr>
          <w:divsChild>
            <w:div w:id="699159776">
              <w:marLeft w:val="0"/>
              <w:marRight w:val="0"/>
              <w:marTop w:val="0"/>
              <w:marBottom w:val="0"/>
              <w:divBdr>
                <w:top w:val="none" w:sz="0" w:space="0" w:color="auto"/>
                <w:left w:val="none" w:sz="0" w:space="0" w:color="auto"/>
                <w:bottom w:val="none" w:sz="0" w:space="0" w:color="auto"/>
                <w:right w:val="none" w:sz="0" w:space="0" w:color="auto"/>
              </w:divBdr>
              <w:divsChild>
                <w:div w:id="708915144">
                  <w:marLeft w:val="0"/>
                  <w:marRight w:val="0"/>
                  <w:marTop w:val="0"/>
                  <w:marBottom w:val="0"/>
                  <w:divBdr>
                    <w:top w:val="single" w:sz="18" w:space="0" w:color="000000"/>
                    <w:left w:val="none" w:sz="0" w:space="0" w:color="auto"/>
                    <w:bottom w:val="single" w:sz="8" w:space="0" w:color="000000"/>
                    <w:right w:val="none" w:sz="0" w:space="0" w:color="auto"/>
                  </w:divBdr>
                </w:div>
              </w:divsChild>
            </w:div>
            <w:div w:id="34744034">
              <w:marLeft w:val="0"/>
              <w:marRight w:val="0"/>
              <w:marTop w:val="0"/>
              <w:marBottom w:val="0"/>
              <w:divBdr>
                <w:top w:val="none" w:sz="0" w:space="0" w:color="auto"/>
                <w:left w:val="none" w:sz="0" w:space="0" w:color="auto"/>
                <w:bottom w:val="none" w:sz="0" w:space="0" w:color="auto"/>
                <w:right w:val="none" w:sz="0" w:space="0" w:color="auto"/>
              </w:divBdr>
              <w:divsChild>
                <w:div w:id="611203663">
                  <w:marLeft w:val="0"/>
                  <w:marRight w:val="0"/>
                  <w:marTop w:val="0"/>
                  <w:marBottom w:val="0"/>
                  <w:divBdr>
                    <w:top w:val="single" w:sz="12" w:space="0" w:color="000000"/>
                    <w:left w:val="none" w:sz="0" w:space="0" w:color="auto"/>
                    <w:bottom w:val="none" w:sz="0" w:space="0" w:color="auto"/>
                    <w:right w:val="none" w:sz="0" w:space="0" w:color="auto"/>
                  </w:divBdr>
                </w:div>
              </w:divsChild>
            </w:div>
            <w:div w:id="2114275483">
              <w:marLeft w:val="0"/>
              <w:marRight w:val="0"/>
              <w:marTop w:val="0"/>
              <w:marBottom w:val="0"/>
              <w:divBdr>
                <w:top w:val="none" w:sz="0" w:space="0" w:color="auto"/>
                <w:left w:val="none" w:sz="0" w:space="0" w:color="auto"/>
                <w:bottom w:val="none" w:sz="0" w:space="0" w:color="auto"/>
                <w:right w:val="none" w:sz="0" w:space="0" w:color="auto"/>
              </w:divBdr>
              <w:divsChild>
                <w:div w:id="957493141">
                  <w:marLeft w:val="0"/>
                  <w:marRight w:val="0"/>
                  <w:marTop w:val="0"/>
                  <w:marBottom w:val="0"/>
                  <w:divBdr>
                    <w:top w:val="single" w:sz="12" w:space="0" w:color="000000"/>
                    <w:left w:val="none" w:sz="0" w:space="0" w:color="auto"/>
                    <w:bottom w:val="none" w:sz="0" w:space="0" w:color="auto"/>
                    <w:right w:val="none" w:sz="0" w:space="0" w:color="auto"/>
                  </w:divBdr>
                </w:div>
              </w:divsChild>
            </w:div>
            <w:div w:id="676156496">
              <w:marLeft w:val="0"/>
              <w:marRight w:val="0"/>
              <w:marTop w:val="0"/>
              <w:marBottom w:val="0"/>
              <w:divBdr>
                <w:top w:val="none" w:sz="0" w:space="0" w:color="auto"/>
                <w:left w:val="none" w:sz="0" w:space="0" w:color="auto"/>
                <w:bottom w:val="none" w:sz="0" w:space="0" w:color="auto"/>
                <w:right w:val="none" w:sz="0" w:space="0" w:color="auto"/>
              </w:divBdr>
              <w:divsChild>
                <w:div w:id="2029135706">
                  <w:marLeft w:val="0"/>
                  <w:marRight w:val="0"/>
                  <w:marTop w:val="0"/>
                  <w:marBottom w:val="0"/>
                  <w:divBdr>
                    <w:top w:val="single" w:sz="12" w:space="0" w:color="000000"/>
                    <w:left w:val="none" w:sz="0" w:space="0" w:color="auto"/>
                    <w:bottom w:val="none" w:sz="0" w:space="0" w:color="auto"/>
                    <w:right w:val="none" w:sz="0" w:space="0" w:color="auto"/>
                  </w:divBdr>
                </w:div>
              </w:divsChild>
            </w:div>
            <w:div w:id="94711229">
              <w:marLeft w:val="0"/>
              <w:marRight w:val="0"/>
              <w:marTop w:val="0"/>
              <w:marBottom w:val="0"/>
              <w:divBdr>
                <w:top w:val="none" w:sz="0" w:space="0" w:color="auto"/>
                <w:left w:val="none" w:sz="0" w:space="0" w:color="auto"/>
                <w:bottom w:val="none" w:sz="0" w:space="0" w:color="auto"/>
                <w:right w:val="none" w:sz="0" w:space="0" w:color="auto"/>
              </w:divBdr>
              <w:divsChild>
                <w:div w:id="364522863">
                  <w:marLeft w:val="0"/>
                  <w:marRight w:val="0"/>
                  <w:marTop w:val="0"/>
                  <w:marBottom w:val="0"/>
                  <w:divBdr>
                    <w:top w:val="single" w:sz="12" w:space="0" w:color="000000"/>
                    <w:left w:val="none" w:sz="0" w:space="0" w:color="auto"/>
                    <w:bottom w:val="none" w:sz="0" w:space="0" w:color="auto"/>
                    <w:right w:val="none" w:sz="0" w:space="0" w:color="auto"/>
                  </w:divBdr>
                </w:div>
              </w:divsChild>
            </w:div>
            <w:div w:id="806439881">
              <w:marLeft w:val="0"/>
              <w:marRight w:val="0"/>
              <w:marTop w:val="0"/>
              <w:marBottom w:val="0"/>
              <w:divBdr>
                <w:top w:val="none" w:sz="0" w:space="0" w:color="auto"/>
                <w:left w:val="none" w:sz="0" w:space="0" w:color="auto"/>
                <w:bottom w:val="none" w:sz="0" w:space="0" w:color="auto"/>
                <w:right w:val="none" w:sz="0" w:space="0" w:color="auto"/>
              </w:divBdr>
              <w:divsChild>
                <w:div w:id="1316489481">
                  <w:marLeft w:val="0"/>
                  <w:marRight w:val="0"/>
                  <w:marTop w:val="0"/>
                  <w:marBottom w:val="0"/>
                  <w:divBdr>
                    <w:top w:val="single" w:sz="12" w:space="0" w:color="000000"/>
                    <w:left w:val="none" w:sz="0" w:space="0" w:color="auto"/>
                    <w:bottom w:val="none" w:sz="0" w:space="0" w:color="auto"/>
                    <w:right w:val="none" w:sz="0" w:space="0" w:color="auto"/>
                  </w:divBdr>
                </w:div>
              </w:divsChild>
            </w:div>
            <w:div w:id="795223965">
              <w:marLeft w:val="0"/>
              <w:marRight w:val="0"/>
              <w:marTop w:val="0"/>
              <w:marBottom w:val="0"/>
              <w:divBdr>
                <w:top w:val="none" w:sz="0" w:space="0" w:color="auto"/>
                <w:left w:val="none" w:sz="0" w:space="0" w:color="auto"/>
                <w:bottom w:val="none" w:sz="0" w:space="0" w:color="auto"/>
                <w:right w:val="none" w:sz="0" w:space="0" w:color="auto"/>
              </w:divBdr>
              <w:divsChild>
                <w:div w:id="2115517619">
                  <w:marLeft w:val="0"/>
                  <w:marRight w:val="0"/>
                  <w:marTop w:val="0"/>
                  <w:marBottom w:val="0"/>
                  <w:divBdr>
                    <w:top w:val="single" w:sz="8" w:space="0" w:color="000000"/>
                    <w:left w:val="none" w:sz="0" w:space="0" w:color="auto"/>
                    <w:bottom w:val="single" w:sz="18" w:space="0" w:color="000000"/>
                    <w:right w:val="none" w:sz="0" w:space="0" w:color="auto"/>
                  </w:divBdr>
                </w:div>
              </w:divsChild>
            </w:div>
            <w:div w:id="1165626902">
              <w:marLeft w:val="0"/>
              <w:marRight w:val="0"/>
              <w:marTop w:val="120"/>
              <w:marBottom w:val="240"/>
              <w:divBdr>
                <w:top w:val="none" w:sz="0" w:space="0" w:color="auto"/>
                <w:left w:val="none" w:sz="0" w:space="0" w:color="auto"/>
                <w:bottom w:val="none" w:sz="0" w:space="0" w:color="auto"/>
                <w:right w:val="none" w:sz="0" w:space="0" w:color="auto"/>
              </w:divBdr>
            </w:div>
            <w:div w:id="2062319309">
              <w:marLeft w:val="0"/>
              <w:marRight w:val="0"/>
              <w:marTop w:val="240"/>
              <w:marBottom w:val="120"/>
              <w:divBdr>
                <w:top w:val="none" w:sz="0" w:space="0" w:color="auto"/>
                <w:left w:val="none" w:sz="0" w:space="0" w:color="auto"/>
                <w:bottom w:val="single" w:sz="12" w:space="0" w:color="000000"/>
                <w:right w:val="none" w:sz="0" w:space="0" w:color="auto"/>
              </w:divBdr>
            </w:div>
            <w:div w:id="742263186">
              <w:marLeft w:val="0"/>
              <w:marRight w:val="0"/>
              <w:marTop w:val="120"/>
              <w:marBottom w:val="240"/>
              <w:divBdr>
                <w:top w:val="none" w:sz="0" w:space="0" w:color="auto"/>
                <w:left w:val="none" w:sz="0" w:space="0" w:color="auto"/>
                <w:bottom w:val="none" w:sz="0" w:space="0" w:color="auto"/>
                <w:right w:val="none" w:sz="0" w:space="0" w:color="auto"/>
              </w:divBdr>
            </w:div>
            <w:div w:id="851647163">
              <w:marLeft w:val="0"/>
              <w:marRight w:val="0"/>
              <w:marTop w:val="240"/>
              <w:marBottom w:val="120"/>
              <w:divBdr>
                <w:top w:val="none" w:sz="0" w:space="0" w:color="auto"/>
                <w:left w:val="none" w:sz="0" w:space="0" w:color="auto"/>
                <w:bottom w:val="single" w:sz="12" w:space="0" w:color="000000"/>
                <w:right w:val="none" w:sz="0" w:space="0" w:color="auto"/>
              </w:divBdr>
            </w:div>
            <w:div w:id="3174491">
              <w:marLeft w:val="0"/>
              <w:marRight w:val="0"/>
              <w:marTop w:val="120"/>
              <w:marBottom w:val="240"/>
              <w:divBdr>
                <w:top w:val="none" w:sz="0" w:space="0" w:color="auto"/>
                <w:left w:val="none" w:sz="0" w:space="0" w:color="auto"/>
                <w:bottom w:val="none" w:sz="0" w:space="0" w:color="auto"/>
                <w:right w:val="none" w:sz="0" w:space="0" w:color="auto"/>
              </w:divBdr>
            </w:div>
            <w:div w:id="1440225581">
              <w:marLeft w:val="0"/>
              <w:marRight w:val="0"/>
              <w:marTop w:val="240"/>
              <w:marBottom w:val="120"/>
              <w:divBdr>
                <w:top w:val="none" w:sz="0" w:space="0" w:color="auto"/>
                <w:left w:val="none" w:sz="0" w:space="0" w:color="auto"/>
                <w:bottom w:val="single" w:sz="12" w:space="0" w:color="000000"/>
                <w:right w:val="none" w:sz="0" w:space="0" w:color="auto"/>
              </w:divBdr>
            </w:div>
          </w:divsChild>
        </w:div>
        <w:div w:id="1047222041">
          <w:marLeft w:val="0"/>
          <w:marRight w:val="0"/>
          <w:marTop w:val="0"/>
          <w:marBottom w:val="0"/>
          <w:divBdr>
            <w:top w:val="none" w:sz="0" w:space="0" w:color="auto"/>
            <w:left w:val="none" w:sz="0" w:space="0" w:color="auto"/>
            <w:bottom w:val="none" w:sz="0" w:space="0" w:color="auto"/>
            <w:right w:val="none" w:sz="0" w:space="0" w:color="auto"/>
          </w:divBdr>
          <w:divsChild>
            <w:div w:id="854921107">
              <w:marLeft w:val="0"/>
              <w:marRight w:val="0"/>
              <w:marTop w:val="0"/>
              <w:marBottom w:val="0"/>
              <w:divBdr>
                <w:top w:val="none" w:sz="0" w:space="0" w:color="auto"/>
                <w:left w:val="none" w:sz="0" w:space="0" w:color="auto"/>
                <w:bottom w:val="none" w:sz="0" w:space="0" w:color="auto"/>
                <w:right w:val="none" w:sz="0" w:space="0" w:color="auto"/>
              </w:divBdr>
              <w:divsChild>
                <w:div w:id="1996376294">
                  <w:marLeft w:val="0"/>
                  <w:marRight w:val="0"/>
                  <w:marTop w:val="0"/>
                  <w:marBottom w:val="0"/>
                  <w:divBdr>
                    <w:top w:val="single" w:sz="12" w:space="0" w:color="000000"/>
                    <w:left w:val="none" w:sz="0" w:space="0" w:color="auto"/>
                    <w:bottom w:val="none" w:sz="0" w:space="0" w:color="auto"/>
                    <w:right w:val="none" w:sz="0" w:space="0" w:color="auto"/>
                  </w:divBdr>
                </w:div>
              </w:divsChild>
            </w:div>
            <w:div w:id="2101683513">
              <w:marLeft w:val="0"/>
              <w:marRight w:val="0"/>
              <w:marTop w:val="120"/>
              <w:marBottom w:val="240"/>
              <w:divBdr>
                <w:top w:val="none" w:sz="0" w:space="0" w:color="auto"/>
                <w:left w:val="none" w:sz="0" w:space="0" w:color="auto"/>
                <w:bottom w:val="none" w:sz="0" w:space="0" w:color="auto"/>
                <w:right w:val="none" w:sz="0" w:space="0" w:color="auto"/>
              </w:divBdr>
            </w:div>
            <w:div w:id="465319001">
              <w:marLeft w:val="0"/>
              <w:marRight w:val="0"/>
              <w:marTop w:val="240"/>
              <w:marBottom w:val="120"/>
              <w:divBdr>
                <w:top w:val="none" w:sz="0" w:space="0" w:color="auto"/>
                <w:left w:val="none" w:sz="0" w:space="0" w:color="auto"/>
                <w:bottom w:val="single" w:sz="12" w:space="0" w:color="000000"/>
                <w:right w:val="none" w:sz="0" w:space="0" w:color="auto"/>
              </w:divBdr>
            </w:div>
            <w:div w:id="1493641690">
              <w:marLeft w:val="0"/>
              <w:marRight w:val="0"/>
              <w:marTop w:val="120"/>
              <w:marBottom w:val="240"/>
              <w:divBdr>
                <w:top w:val="none" w:sz="0" w:space="0" w:color="auto"/>
                <w:left w:val="none" w:sz="0" w:space="0" w:color="auto"/>
                <w:bottom w:val="none" w:sz="0" w:space="0" w:color="auto"/>
                <w:right w:val="none" w:sz="0" w:space="0" w:color="auto"/>
              </w:divBdr>
            </w:div>
            <w:div w:id="547303119">
              <w:marLeft w:val="0"/>
              <w:marRight w:val="0"/>
              <w:marTop w:val="240"/>
              <w:marBottom w:val="120"/>
              <w:divBdr>
                <w:top w:val="none" w:sz="0" w:space="0" w:color="auto"/>
                <w:left w:val="none" w:sz="0" w:space="0" w:color="auto"/>
                <w:bottom w:val="single" w:sz="12" w:space="0" w:color="000000"/>
                <w:right w:val="none" w:sz="0" w:space="0" w:color="auto"/>
              </w:divBdr>
            </w:div>
            <w:div w:id="1530996322">
              <w:marLeft w:val="0"/>
              <w:marRight w:val="0"/>
              <w:marTop w:val="120"/>
              <w:marBottom w:val="240"/>
              <w:divBdr>
                <w:top w:val="none" w:sz="0" w:space="0" w:color="auto"/>
                <w:left w:val="none" w:sz="0" w:space="0" w:color="auto"/>
                <w:bottom w:val="none" w:sz="0" w:space="0" w:color="auto"/>
                <w:right w:val="none" w:sz="0" w:space="0" w:color="auto"/>
              </w:divBdr>
            </w:div>
            <w:div w:id="279150413">
              <w:marLeft w:val="0"/>
              <w:marRight w:val="0"/>
              <w:marTop w:val="240"/>
              <w:marBottom w:val="120"/>
              <w:divBdr>
                <w:top w:val="none" w:sz="0" w:space="0" w:color="auto"/>
                <w:left w:val="none" w:sz="0" w:space="0" w:color="auto"/>
                <w:bottom w:val="single" w:sz="12" w:space="0" w:color="000000"/>
                <w:right w:val="none" w:sz="0" w:space="0" w:color="auto"/>
              </w:divBdr>
            </w:div>
            <w:div w:id="1432898541">
              <w:marLeft w:val="0"/>
              <w:marRight w:val="0"/>
              <w:marTop w:val="120"/>
              <w:marBottom w:val="240"/>
              <w:divBdr>
                <w:top w:val="none" w:sz="0" w:space="0" w:color="auto"/>
                <w:left w:val="none" w:sz="0" w:space="0" w:color="auto"/>
                <w:bottom w:val="none" w:sz="0" w:space="0" w:color="auto"/>
                <w:right w:val="none" w:sz="0" w:space="0" w:color="auto"/>
              </w:divBdr>
            </w:div>
            <w:div w:id="1733652699">
              <w:marLeft w:val="0"/>
              <w:marRight w:val="0"/>
              <w:marTop w:val="240"/>
              <w:marBottom w:val="120"/>
              <w:divBdr>
                <w:top w:val="none" w:sz="0" w:space="0" w:color="auto"/>
                <w:left w:val="none" w:sz="0" w:space="0" w:color="auto"/>
                <w:bottom w:val="single" w:sz="12" w:space="0" w:color="000000"/>
                <w:right w:val="none" w:sz="0" w:space="0" w:color="auto"/>
              </w:divBdr>
            </w:div>
            <w:div w:id="709459044">
              <w:marLeft w:val="0"/>
              <w:marRight w:val="0"/>
              <w:marTop w:val="120"/>
              <w:marBottom w:val="240"/>
              <w:divBdr>
                <w:top w:val="none" w:sz="0" w:space="0" w:color="auto"/>
                <w:left w:val="none" w:sz="0" w:space="0" w:color="auto"/>
                <w:bottom w:val="none" w:sz="0" w:space="0" w:color="auto"/>
                <w:right w:val="none" w:sz="0" w:space="0" w:color="auto"/>
              </w:divBdr>
            </w:div>
            <w:div w:id="1888058592">
              <w:marLeft w:val="0"/>
              <w:marRight w:val="0"/>
              <w:marTop w:val="240"/>
              <w:marBottom w:val="120"/>
              <w:divBdr>
                <w:top w:val="none" w:sz="0" w:space="0" w:color="auto"/>
                <w:left w:val="none" w:sz="0" w:space="0" w:color="auto"/>
                <w:bottom w:val="single" w:sz="12" w:space="0" w:color="000000"/>
                <w:right w:val="none" w:sz="0" w:space="0" w:color="auto"/>
              </w:divBdr>
            </w:div>
            <w:div w:id="1399327486">
              <w:marLeft w:val="0"/>
              <w:marRight w:val="0"/>
              <w:marTop w:val="120"/>
              <w:marBottom w:val="240"/>
              <w:divBdr>
                <w:top w:val="none" w:sz="0" w:space="0" w:color="auto"/>
                <w:left w:val="none" w:sz="0" w:space="0" w:color="auto"/>
                <w:bottom w:val="none" w:sz="0" w:space="0" w:color="auto"/>
                <w:right w:val="none" w:sz="0" w:space="0" w:color="auto"/>
              </w:divBdr>
            </w:div>
            <w:div w:id="915044571">
              <w:marLeft w:val="0"/>
              <w:marRight w:val="0"/>
              <w:marTop w:val="240"/>
              <w:marBottom w:val="120"/>
              <w:divBdr>
                <w:top w:val="none" w:sz="0" w:space="0" w:color="auto"/>
                <w:left w:val="none" w:sz="0" w:space="0" w:color="auto"/>
                <w:bottom w:val="single" w:sz="12" w:space="0" w:color="000000"/>
                <w:right w:val="none" w:sz="0" w:space="0" w:color="auto"/>
              </w:divBdr>
            </w:div>
            <w:div w:id="657460172">
              <w:marLeft w:val="0"/>
              <w:marRight w:val="0"/>
              <w:marTop w:val="120"/>
              <w:marBottom w:val="240"/>
              <w:divBdr>
                <w:top w:val="none" w:sz="0" w:space="0" w:color="auto"/>
                <w:left w:val="none" w:sz="0" w:space="0" w:color="auto"/>
                <w:bottom w:val="none" w:sz="0" w:space="0" w:color="auto"/>
                <w:right w:val="none" w:sz="0" w:space="0" w:color="auto"/>
              </w:divBdr>
            </w:div>
            <w:div w:id="422067896">
              <w:marLeft w:val="0"/>
              <w:marRight w:val="0"/>
              <w:marTop w:val="240"/>
              <w:marBottom w:val="120"/>
              <w:divBdr>
                <w:top w:val="none" w:sz="0" w:space="0" w:color="auto"/>
                <w:left w:val="none" w:sz="0" w:space="0" w:color="auto"/>
                <w:bottom w:val="single" w:sz="12"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N:\EDGAR%20FILES\1-PreSub\ea0251021\ea0251021-01\ea025102101ex99-1_lakeshore.htm" TargetMode="External"/><Relationship Id="rId5" Type="http://schemas.openxmlformats.org/officeDocument/2006/relationships/hyperlink" Target="http://www.sec.gov/Archives/edgar/data/1946399/000121390023055488/ea177917-s8_ysbiopharma.htm" TargetMode="External"/><Relationship Id="rId4" Type="http://schemas.openxmlformats.org/officeDocument/2006/relationships/hyperlink" Target="http://www.sec.gov/Archives/edgar/data/1946399/000121390024045196/ea0206518-s8_ysb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1900-01-01T07:00:00.0000000Z</dcterms:created>
  <dcterms:modified xsi:type="dcterms:W3CDTF">1900-01-01T07:00:00.0000000Z</dcterms:modified>
</coreProperties>
</file>