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44" w:rsidRPr="00B23B44" w:rsidRDefault="00B23B44" w:rsidP="00B23B44">
      <w:pPr>
        <w:spacing w:after="0" w:line="240" w:lineRule="auto"/>
        <w:rPr>
          <w:rFonts w:ascii="Times New Roman" w:eastAsia="Times New Roman" w:hAnsi="Times New Roman" w:cs="Times New Roman"/>
          <w:sz w:val="2"/>
          <w:szCs w:val="2"/>
        </w:rPr>
      </w:pPr>
      <w:bookmarkStart w:id="0" w:name="gfpea0284544-sc13e3a5_lake.htm"/>
      <w:bookmarkEnd w:id="0"/>
      <w:r w:rsidRPr="00B23B44">
        <w:rPr>
          <w:rFonts w:ascii="Times New Roman" w:eastAsia="Times New Roman" w:hAnsi="Times New Roman" w:cs="Times New Roman"/>
          <w:sz w:val="2"/>
          <w:szCs w:val="2"/>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UNITED STATES</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SECURITIES AND EXCHANGE COMMISSION</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Washington, D.C. 20549</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SCHEDULE 13E-3</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Amendment No. 5</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RULE 13e-3 TRANSACTION STATEMENT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(Pursuant to Section 13(e) of the Securities Exchange Act of 1934)</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LAKESHORE BIOPHARMA CO., LTD</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 of the Issuer)</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LakeShore Biopharma Co., Ltd</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Skyline Inc.</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Merger Sub Inc.</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Capital Inc.</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Investment Fund II LP</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Dave Liguang Chenn</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Crystal Peak Investment Inc.</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Crystal Peak Holdings Inc.</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Huaqin Xue</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(Names of Persons Filing Statement)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Ordinary Shares, par value $0.0002 per share</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G9845F208</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(CUSIP Number)</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583"/>
        <w:gridCol w:w="194"/>
        <w:gridCol w:w="4583"/>
      </w:tblGrid>
      <w:tr w:rsidR="00B23B44" w:rsidRPr="00B23B44" w:rsidTr="00B23B44">
        <w:tc>
          <w:tcPr>
            <w:tcW w:w="2450" w:type="pct"/>
            <w:tcMar>
              <w:top w:w="0" w:type="dxa"/>
              <w:left w:w="72" w:type="dxa"/>
              <w:bottom w:w="0" w:type="dxa"/>
              <w:right w:w="72" w:type="dxa"/>
            </w:tcMar>
            <w:hideMark/>
          </w:tcPr>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LakeShore Biopharma Co., Ltd</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Building No. 2, 38 Yongda Road</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Daxing Biomedical Industry Park</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Daxing District, Beijing, PRC, 102629</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Tel: 010-89202086</w:t>
            </w:r>
          </w:p>
        </w:tc>
        <w:tc>
          <w:tcPr>
            <w:tcW w:w="100" w:type="pct"/>
            <w:tcMar>
              <w:top w:w="0" w:type="dxa"/>
              <w:left w:w="72" w:type="dxa"/>
              <w:bottom w:w="0" w:type="dxa"/>
              <w:right w:w="72" w:type="dxa"/>
            </w:tcMar>
            <w:hideMark/>
          </w:tcPr>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2450" w:type="pct"/>
            <w:tcMar>
              <w:top w:w="0" w:type="dxa"/>
              <w:left w:w="72" w:type="dxa"/>
              <w:bottom w:w="0" w:type="dxa"/>
              <w:right w:w="72" w:type="dxa"/>
            </w:tcMar>
            <w:hideMark/>
          </w:tcPr>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Skyline Inc.</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21F, China Century Tower</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No. 9 Xiaoyunli South St</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Beijing 100026</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People’s Republic of China</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Tel: +86 10 6195 9000</w:t>
            </w:r>
          </w:p>
        </w:tc>
      </w:tr>
    </w:tbl>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i/>
          <w:iCs/>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i/>
          <w:iCs/>
          <w:sz w:val="20"/>
          <w:szCs w:val="20"/>
        </w:rPr>
        <w:t>With copies to:</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4583"/>
        <w:gridCol w:w="194"/>
        <w:gridCol w:w="4583"/>
      </w:tblGrid>
      <w:tr w:rsidR="00B23B44" w:rsidRPr="00B23B44" w:rsidTr="00B23B44">
        <w:tc>
          <w:tcPr>
            <w:tcW w:w="2450" w:type="pct"/>
            <w:tcMar>
              <w:top w:w="0" w:type="dxa"/>
              <w:left w:w="200" w:type="dxa"/>
              <w:bottom w:w="0" w:type="dxa"/>
              <w:right w:w="0" w:type="dxa"/>
            </w:tcMar>
            <w:hideMark/>
          </w:tcPr>
          <w:p w:rsidR="00B23B44" w:rsidRPr="00B23B44" w:rsidRDefault="00B23B44" w:rsidP="00B23B44">
            <w:pPr>
              <w:spacing w:after="0" w:line="240" w:lineRule="auto"/>
              <w:ind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Qi Yue, Esq.</w:t>
            </w:r>
            <w:r w:rsidRPr="00B23B44">
              <w:rPr>
                <w:rFonts w:ascii="Times New Roman" w:eastAsia="Times New Roman" w:hAnsi="Times New Roman" w:cs="Times New Roman"/>
                <w:b/>
                <w:bCs/>
                <w:sz w:val="20"/>
                <w:szCs w:val="20"/>
              </w:rPr>
              <w:br/>
              <w:t>Gibson, Dunn &amp; Crutcher LLP</w:t>
            </w:r>
            <w:r w:rsidRPr="00B23B44">
              <w:rPr>
                <w:rFonts w:ascii="Times New Roman" w:eastAsia="Times New Roman" w:hAnsi="Times New Roman" w:cs="Times New Roman"/>
                <w:b/>
                <w:bCs/>
                <w:sz w:val="20"/>
                <w:szCs w:val="20"/>
              </w:rPr>
              <w:br/>
              <w:t>Unit 1301, Tower 1, China Central Place</w:t>
            </w:r>
            <w:r w:rsidRPr="00B23B44">
              <w:rPr>
                <w:rFonts w:ascii="Times New Roman" w:eastAsia="Times New Roman" w:hAnsi="Times New Roman" w:cs="Times New Roman"/>
                <w:b/>
                <w:bCs/>
                <w:sz w:val="20"/>
                <w:szCs w:val="20"/>
              </w:rPr>
              <w:br/>
              <w:t>No. 81 Jianguo Road</w:t>
            </w:r>
            <w:r w:rsidRPr="00B23B44">
              <w:rPr>
                <w:rFonts w:ascii="Times New Roman" w:eastAsia="Times New Roman" w:hAnsi="Times New Roman" w:cs="Times New Roman"/>
                <w:b/>
                <w:bCs/>
                <w:sz w:val="20"/>
                <w:szCs w:val="20"/>
              </w:rPr>
              <w:br/>
              <w:t>Chaoyang District</w:t>
            </w:r>
            <w:r w:rsidRPr="00B23B44">
              <w:rPr>
                <w:rFonts w:ascii="Times New Roman" w:eastAsia="Times New Roman" w:hAnsi="Times New Roman" w:cs="Times New Roman"/>
                <w:b/>
                <w:bCs/>
                <w:sz w:val="20"/>
                <w:szCs w:val="20"/>
              </w:rPr>
              <w:br/>
              <w:t>Beijing 100025</w:t>
            </w:r>
            <w:r w:rsidRPr="00B23B44">
              <w:rPr>
                <w:rFonts w:ascii="Times New Roman" w:eastAsia="Times New Roman" w:hAnsi="Times New Roman" w:cs="Times New Roman"/>
                <w:b/>
                <w:bCs/>
                <w:sz w:val="20"/>
                <w:szCs w:val="20"/>
              </w:rPr>
              <w:br/>
              <w:t>People’s Republic of China</w:t>
            </w:r>
            <w:r w:rsidRPr="00B23B44">
              <w:rPr>
                <w:rFonts w:ascii="Times New Roman" w:eastAsia="Times New Roman" w:hAnsi="Times New Roman" w:cs="Times New Roman"/>
                <w:b/>
                <w:bCs/>
                <w:sz w:val="20"/>
                <w:szCs w:val="20"/>
              </w:rPr>
              <w:br/>
              <w:t>+86 10 6502 8500</w:t>
            </w:r>
          </w:p>
        </w:tc>
        <w:tc>
          <w:tcPr>
            <w:tcW w:w="100" w:type="pct"/>
            <w:tcMar>
              <w:top w:w="0" w:type="dxa"/>
              <w:left w:w="72" w:type="dxa"/>
              <w:bottom w:w="0" w:type="dxa"/>
              <w:right w:w="72" w:type="dxa"/>
            </w:tcMar>
            <w:hideMark/>
          </w:tcPr>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2450" w:type="pct"/>
            <w:tcMar>
              <w:top w:w="0" w:type="dxa"/>
              <w:left w:w="72" w:type="dxa"/>
              <w:bottom w:w="0" w:type="dxa"/>
              <w:right w:w="72" w:type="dxa"/>
            </w:tcMar>
            <w:hideMark/>
          </w:tcPr>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Alan Bao, Esq.</w:t>
            </w:r>
          </w:p>
          <w:p w:rsidR="00B23B44" w:rsidRPr="00B23B44" w:rsidRDefault="00B23B44" w:rsidP="00B23B44">
            <w:pPr>
              <w:spacing w:after="0" w:line="240" w:lineRule="auto"/>
              <w:ind w:left="200" w:hanging="200"/>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White &amp; Case LLP</w:t>
            </w:r>
            <w:r w:rsidRPr="00B23B44">
              <w:rPr>
                <w:rFonts w:ascii="Times New Roman" w:eastAsia="Times New Roman" w:hAnsi="Times New Roman" w:cs="Times New Roman"/>
                <w:b/>
                <w:bCs/>
                <w:sz w:val="20"/>
                <w:szCs w:val="20"/>
              </w:rPr>
              <w:br/>
              <w:t>19th Floor, Tower 1, China Central Place</w:t>
            </w:r>
            <w:r w:rsidRPr="00B23B44">
              <w:rPr>
                <w:rFonts w:ascii="Times New Roman" w:eastAsia="Times New Roman" w:hAnsi="Times New Roman" w:cs="Times New Roman"/>
                <w:b/>
                <w:bCs/>
                <w:sz w:val="20"/>
                <w:szCs w:val="20"/>
              </w:rPr>
              <w:br/>
              <w:t>No. 81 Jianguo Road</w:t>
            </w:r>
            <w:r w:rsidRPr="00B23B44">
              <w:rPr>
                <w:rFonts w:ascii="Times New Roman" w:eastAsia="Times New Roman" w:hAnsi="Times New Roman" w:cs="Times New Roman"/>
                <w:b/>
                <w:bCs/>
                <w:sz w:val="20"/>
                <w:szCs w:val="20"/>
              </w:rPr>
              <w:br/>
              <w:t>Chaoyang District</w:t>
            </w:r>
            <w:r w:rsidRPr="00B23B44">
              <w:rPr>
                <w:rFonts w:ascii="Times New Roman" w:eastAsia="Times New Roman" w:hAnsi="Times New Roman" w:cs="Times New Roman"/>
                <w:b/>
                <w:bCs/>
                <w:sz w:val="20"/>
                <w:szCs w:val="20"/>
              </w:rPr>
              <w:br/>
              <w:t>Beijing 100025</w:t>
            </w:r>
            <w:r w:rsidRPr="00B23B44">
              <w:rPr>
                <w:rFonts w:ascii="Times New Roman" w:eastAsia="Times New Roman" w:hAnsi="Times New Roman" w:cs="Times New Roman"/>
                <w:b/>
                <w:bCs/>
                <w:sz w:val="20"/>
                <w:szCs w:val="20"/>
              </w:rPr>
              <w:br/>
              <w:t>People’s Republic of China</w:t>
            </w:r>
            <w:r w:rsidRPr="00B23B44">
              <w:rPr>
                <w:rFonts w:ascii="Times New Roman" w:eastAsia="Times New Roman" w:hAnsi="Times New Roman" w:cs="Times New Roman"/>
                <w:b/>
                <w:bCs/>
                <w:sz w:val="20"/>
                <w:szCs w:val="20"/>
              </w:rPr>
              <w:br/>
              <w:t>+86 10 5912 9600</w:t>
            </w:r>
          </w:p>
        </w:tc>
      </w:tr>
    </w:tbl>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rPr>
          <w:rFonts w:ascii="Times New Roman" w:eastAsia="Times New Roman" w:hAnsi="Times New Roman" w:cs="Times New Roman"/>
          <w:sz w:val="2"/>
          <w:szCs w:val="2"/>
        </w:rPr>
      </w:pPr>
      <w:r w:rsidRPr="00B23B44">
        <w:rPr>
          <w:rFonts w:ascii="Times New Roman" w:eastAsia="Times New Roman" w:hAnsi="Times New Roman" w:cs="Times New Roman"/>
          <w:sz w:val="2"/>
          <w:szCs w:val="2"/>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This statement is filed in connection with (check the appropriate box):</w:t>
      </w:r>
    </w:p>
    <w:p w:rsidR="00B23B44" w:rsidRPr="00B23B44" w:rsidRDefault="00B23B44" w:rsidP="00B23B44">
      <w:pPr>
        <w:spacing w:after="0" w:line="240" w:lineRule="auto"/>
        <w:ind w:left="720" w:hanging="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B23B44" w:rsidRPr="00B23B44" w:rsidTr="00B23B44">
        <w:trPr>
          <w:tblCellSpacing w:w="0" w:type="dxa"/>
        </w:trPr>
        <w:tc>
          <w:tcPr>
            <w:tcW w:w="360" w:type="dxa"/>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w:t>
            </w:r>
          </w:p>
        </w:tc>
        <w:tc>
          <w:tcPr>
            <w:tcW w:w="360" w:type="dxa"/>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Segoe UI Symbol" w:eastAsia="Times New Roman" w:hAnsi="Segoe UI Symbol" w:cs="Segoe UI Symbol"/>
                <w:sz w:val="20"/>
                <w:szCs w:val="20"/>
              </w:rPr>
              <w:t>☐</w:t>
            </w:r>
          </w:p>
        </w:tc>
        <w:tc>
          <w:tcPr>
            <w:tcW w:w="0" w:type="auto"/>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The filing of solicitation materials or an information statement subject to Regulation 14A, Regulation 14-C or Rule 13e-3(c) under the Securities Exchange Act of 1934.</w:t>
            </w:r>
          </w:p>
        </w:tc>
      </w:tr>
    </w:tbl>
    <w:p w:rsidR="00B23B44" w:rsidRPr="00B23B44" w:rsidRDefault="00B23B44" w:rsidP="00B23B44">
      <w:pPr>
        <w:spacing w:after="0" w:line="240" w:lineRule="auto"/>
        <w:ind w:left="720" w:hanging="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B23B44" w:rsidRPr="00B23B44" w:rsidTr="00B23B44">
        <w:trPr>
          <w:tblCellSpacing w:w="0" w:type="dxa"/>
        </w:trPr>
        <w:tc>
          <w:tcPr>
            <w:tcW w:w="360" w:type="dxa"/>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w:t>
            </w:r>
          </w:p>
        </w:tc>
        <w:tc>
          <w:tcPr>
            <w:tcW w:w="360" w:type="dxa"/>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Segoe UI Symbol" w:eastAsia="Times New Roman" w:hAnsi="Segoe UI Symbol" w:cs="Segoe UI Symbol"/>
                <w:sz w:val="20"/>
                <w:szCs w:val="20"/>
              </w:rPr>
              <w:t>☐</w:t>
            </w:r>
            <w:r w:rsidRPr="00B23B44">
              <w:rPr>
                <w:rFonts w:ascii="Times New Roman" w:eastAsia="Times New Roman" w:hAnsi="Times New Roman" w:cs="Times New Roman"/>
                <w:sz w:val="20"/>
                <w:szCs w:val="20"/>
              </w:rPr>
              <w:t xml:space="preserve"> </w:t>
            </w:r>
          </w:p>
        </w:tc>
        <w:tc>
          <w:tcPr>
            <w:tcW w:w="0" w:type="auto"/>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The filing of a registration statement under the Securities Act of 1933.</w:t>
            </w:r>
          </w:p>
        </w:tc>
      </w:tr>
    </w:tbl>
    <w:p w:rsidR="00B23B44" w:rsidRPr="00B23B44" w:rsidRDefault="00B23B44" w:rsidP="00B23B44">
      <w:pPr>
        <w:spacing w:after="0" w:line="240" w:lineRule="auto"/>
        <w:ind w:left="720" w:hanging="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B23B44" w:rsidRPr="00B23B44" w:rsidTr="00B23B44">
        <w:trPr>
          <w:tblCellSpacing w:w="0" w:type="dxa"/>
        </w:trPr>
        <w:tc>
          <w:tcPr>
            <w:tcW w:w="360" w:type="dxa"/>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c</w:t>
            </w:r>
          </w:p>
        </w:tc>
        <w:tc>
          <w:tcPr>
            <w:tcW w:w="360" w:type="dxa"/>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Segoe UI Symbol" w:eastAsia="Times New Roman" w:hAnsi="Segoe UI Symbol" w:cs="Segoe UI Symbol"/>
                <w:sz w:val="20"/>
                <w:szCs w:val="20"/>
              </w:rPr>
              <w:t>☐</w:t>
            </w:r>
            <w:r w:rsidRPr="00B23B44">
              <w:rPr>
                <w:rFonts w:ascii="Times New Roman" w:eastAsia="Times New Roman" w:hAnsi="Times New Roman" w:cs="Times New Roman"/>
                <w:sz w:val="20"/>
                <w:szCs w:val="20"/>
              </w:rPr>
              <w:t xml:space="preserve"> </w:t>
            </w:r>
          </w:p>
        </w:tc>
        <w:tc>
          <w:tcPr>
            <w:tcW w:w="0" w:type="auto"/>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 tender offer</w:t>
            </w:r>
          </w:p>
        </w:tc>
      </w:tr>
    </w:tbl>
    <w:p w:rsidR="00B23B44" w:rsidRPr="00B23B44" w:rsidRDefault="00B23B44" w:rsidP="00B23B44">
      <w:pPr>
        <w:spacing w:after="0" w:line="240" w:lineRule="auto"/>
        <w:ind w:left="720" w:hanging="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B23B44" w:rsidRPr="00B23B44" w:rsidTr="00B23B44">
        <w:trPr>
          <w:tblCellSpacing w:w="0" w:type="dxa"/>
        </w:trPr>
        <w:tc>
          <w:tcPr>
            <w:tcW w:w="360" w:type="dxa"/>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w:t>
            </w:r>
          </w:p>
        </w:tc>
        <w:tc>
          <w:tcPr>
            <w:tcW w:w="360" w:type="dxa"/>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Segoe UI Symbol" w:eastAsia="Times New Roman" w:hAnsi="Segoe UI Symbol" w:cs="Segoe UI Symbol"/>
                <w:sz w:val="20"/>
                <w:szCs w:val="20"/>
              </w:rPr>
              <w:t>☒</w:t>
            </w:r>
            <w:r w:rsidRPr="00B23B44">
              <w:rPr>
                <w:rFonts w:ascii="Times New Roman" w:eastAsia="Times New Roman" w:hAnsi="Times New Roman" w:cs="Times New Roman"/>
                <w:sz w:val="20"/>
                <w:szCs w:val="20"/>
              </w:rPr>
              <w:t xml:space="preserve"> </w:t>
            </w:r>
          </w:p>
        </w:tc>
        <w:tc>
          <w:tcPr>
            <w:tcW w:w="0" w:type="auto"/>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None of the above</w:t>
            </w:r>
          </w:p>
        </w:tc>
      </w:tr>
    </w:tbl>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xml:space="preserve">Check the following box if the soliciting materials or information statement referred to in checking box (a) are preliminary copies: </w:t>
      </w:r>
      <w:r w:rsidRPr="00B23B44">
        <w:rPr>
          <w:rFonts w:ascii="Segoe UI Symbol" w:eastAsia="Times New Roman" w:hAnsi="Segoe UI Symbol" w:cs="Segoe UI Symbol"/>
          <w:sz w:val="20"/>
          <w:szCs w:val="20"/>
        </w:rPr>
        <w:t>☐</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xml:space="preserve">Check the following box if the filing is a final amendment reporting the results of the transaction: </w:t>
      </w:r>
      <w:r w:rsidRPr="00B23B44">
        <w:rPr>
          <w:rFonts w:ascii="Segoe UI Symbol" w:eastAsia="Times New Roman" w:hAnsi="Segoe UI Symbol" w:cs="Segoe UI Symbol"/>
          <w:sz w:val="20"/>
          <w:szCs w:val="20"/>
        </w:rPr>
        <w:t>☐</w:t>
      </w: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rPr>
          <w:rFonts w:ascii="Times New Roman" w:eastAsia="Times New Roman" w:hAnsi="Times New Roman" w:cs="Times New Roman"/>
          <w:sz w:val="2"/>
          <w:szCs w:val="2"/>
        </w:rPr>
      </w:pPr>
      <w:r w:rsidRPr="00B23B44">
        <w:rPr>
          <w:rFonts w:ascii="Times New Roman" w:eastAsia="Times New Roman" w:hAnsi="Times New Roman" w:cs="Times New Roman"/>
          <w:sz w:val="2"/>
          <w:szCs w:val="2"/>
        </w:rPr>
        <w:t> </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INTRODUCTION</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This Amendment No.5 to the Rule 13e-3 transaction statement on Schedule 13E-3, together with the exhibits hereto (this “Amendment”),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Islands (“Parent”), (c) Oceanpine Merger Sub Inc., an exempted company with limited liability incorporated under the laws of the Cayman Islands (“Merger Sub”), (d) Oceanpine Capital Inc., a limited company incorporated under 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Throughout this Amendment, Parent, Merger Sub, the Sponsor, Oceanpine Investment, Crystal Peak, Adjuvant Global Health Technology Fund, L.P., Adjuvant Global Health Technology Fund DE, L.P., Superstring Capital Master Fund LP, MSA GROWTH FUND II, L.P., and Epiphron Capital (Hong Kong) Limited are collectively referred to as the “Buyer Group.”</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This Amendment amends and supplements certain information set forth in the Rule 13e-3 transaction statement on Schedule 13E-3, together with the exhibits thereto including the proxy statement (the “Proxy Statement”), filed with the SEC pursuant to Section 13(e) of the Exchange Act by the Filing Persons on January 20, 2026 (as amended and supplemented by the Amendment No. 4 filed on February 6, 2026, together, the “Transaction Statement”). Capitalized terms used but not defined in this Amendment shall have the meanings given to them in the Transaction Statement. This Amendment does not restate the Transaction Statement in its entirety, and the amended and supplemental disclosures contained herein should be read in conjunction with the Transaction Statement, including the Proxy Statement.</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1</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lastRenderedPageBreak/>
        <w:t>EXPLANATORY NOTE</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On March 24, 2026, the Special Committee received a revised preliminary non-binding proposal letter (the “March 2026 Proposal”) from Parent and Merger Sub to reduce the purchase price for acquiring all of the outstanding Shares not owned by Parent, Merger Sub, the Rollover Shareholders, or their respective affiliates to US$0.06 per Share.</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The Special Committee is evaluating the transaction contemplated by the March 2026 Proposal with the assistance of its financial and legal advisors. In light of the latest development, the postponement of the extraordinary general meeting to consider and vote on, among other matters, the proposal to authorize and approve the Merger Agreement, the plan of merger required to be filed with the Registrar of Companies of the Cayman Islands, and the transactions contemplated thereby, including the Merger, as announced on February 6, 2026, remains in effect.</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The information contained in the Press Release issued by the Company, dated March 25, 2026, incorporated by reference to Exhibit 99.1 to the Report on Form 6-K furnished by the Company to the SEC on March 25, 2026, is incorporated herein by reference. All information contained in this Amendment has been supplied by the Company. No other Filing Person has supplied the information contained in this Amendment.</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Item 15</w:t>
      </w:r>
      <w:r w:rsidRPr="00B23B44">
        <w:rPr>
          <w:rFonts w:ascii="Times New Roman" w:eastAsia="Times New Roman" w:hAnsi="Times New Roman" w:cs="Times New Roman"/>
          <w:sz w:val="20"/>
          <w:szCs w:val="20"/>
        </w:rPr>
        <w:t xml:space="preserve"> </w:t>
      </w:r>
      <w:r w:rsidRPr="00B23B44">
        <w:rPr>
          <w:rFonts w:ascii="Times New Roman" w:eastAsia="Times New Roman" w:hAnsi="Times New Roman" w:cs="Times New Roman"/>
          <w:b/>
          <w:bCs/>
          <w:sz w:val="20"/>
          <w:szCs w:val="20"/>
        </w:rPr>
        <w:t>Additional Information</w:t>
      </w:r>
    </w:p>
    <w:p w:rsidR="00B23B44" w:rsidRPr="00B23B44" w:rsidRDefault="00B23B44" w:rsidP="00B23B44">
      <w:pPr>
        <w:spacing w:after="0" w:line="240" w:lineRule="auto"/>
        <w:ind w:left="720" w:hanging="720"/>
        <w:jc w:val="both"/>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3B44" w:rsidRPr="00B23B44" w:rsidTr="00B23B44">
        <w:trPr>
          <w:tblCellSpacing w:w="0" w:type="dxa"/>
        </w:trPr>
        <w:tc>
          <w:tcPr>
            <w:tcW w:w="6" w:type="dxa"/>
            <w:hideMark/>
          </w:tcPr>
          <w:p w:rsidR="00B23B44" w:rsidRPr="00B23B44" w:rsidRDefault="00B23B44" w:rsidP="00B23B44">
            <w:pPr>
              <w:spacing w:after="0" w:line="240" w:lineRule="auto"/>
              <w:rPr>
                <w:rFonts w:ascii="Times New Roman" w:eastAsia="Times New Roman" w:hAnsi="Times New Roman" w:cs="Times New Roman"/>
                <w:sz w:val="20"/>
                <w:szCs w:val="20"/>
              </w:rPr>
            </w:pPr>
          </w:p>
        </w:tc>
        <w:tc>
          <w:tcPr>
            <w:tcW w:w="720" w:type="dxa"/>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w:t>
            </w:r>
          </w:p>
        </w:tc>
        <w:tc>
          <w:tcPr>
            <w:tcW w:w="0" w:type="auto"/>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Other Material Information. The Press Release issued by the Company, dated March 25, 2026, to the Report on Form 6-K furnished by the Company to the SEC on March 25, 2026, is incorporated herein by reference.</w:t>
            </w:r>
          </w:p>
        </w:tc>
      </w:tr>
    </w:tbl>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2</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 </w:t>
      </w:r>
    </w:p>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Item 16 Exhibits</w:t>
      </w:r>
    </w:p>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EXHIBIT INDEX</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8"/>
        <w:gridCol w:w="94"/>
        <w:gridCol w:w="8518"/>
      </w:tblGrid>
      <w:tr w:rsidR="00B23B44" w:rsidRPr="00B23B44" w:rsidTr="00B23B44">
        <w:tc>
          <w:tcPr>
            <w:tcW w:w="400" w:type="pct"/>
            <w:shd w:val="clear" w:color="auto" w:fill="CCEEFF"/>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(a)-(8)</w:t>
            </w:r>
          </w:p>
        </w:tc>
        <w:tc>
          <w:tcPr>
            <w:tcW w:w="50" w:type="pct"/>
            <w:shd w:val="clear" w:color="auto" w:fill="CCEEFF"/>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4550" w:type="pct"/>
            <w:shd w:val="clear" w:color="auto" w:fill="CCEEFF"/>
            <w:hideMark/>
          </w:tcPr>
          <w:p w:rsidR="00B23B44" w:rsidRPr="00B23B44" w:rsidRDefault="00B23B44" w:rsidP="00B23B44">
            <w:pPr>
              <w:spacing w:after="0" w:line="240" w:lineRule="auto"/>
              <w:jc w:val="both"/>
              <w:rPr>
                <w:rFonts w:ascii="Times New Roman" w:eastAsia="Times New Roman" w:hAnsi="Times New Roman" w:cs="Times New Roman"/>
                <w:sz w:val="20"/>
                <w:szCs w:val="20"/>
              </w:rPr>
            </w:pPr>
            <w:hyperlink r:id="rId4" w:history="1">
              <w:r w:rsidRPr="00B23B44">
                <w:rPr>
                  <w:rFonts w:ascii="Times New Roman" w:eastAsia="Times New Roman" w:hAnsi="Times New Roman" w:cs="Times New Roman"/>
                  <w:color w:val="0000FF"/>
                  <w:sz w:val="20"/>
                  <w:szCs w:val="20"/>
                  <w:u w:val="single"/>
                </w:rPr>
                <w:t>Press Release issued by the Company, dated March 25, 2026, incorporated herein by reference to Exhibit 99.1 to the Report on Form 6-K furnished by the Company to the SEC on March 25, 2026.</w:t>
              </w:r>
            </w:hyperlink>
          </w:p>
        </w:tc>
      </w:tr>
    </w:tbl>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3</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SIGNATURES</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94"/>
        <w:gridCol w:w="352"/>
        <w:gridCol w:w="534"/>
        <w:gridCol w:w="2880"/>
      </w:tblGrid>
      <w:tr w:rsidR="00B23B44" w:rsidRPr="00B23B44" w:rsidTr="00B23B44">
        <w:tc>
          <w:tcPr>
            <w:tcW w:w="3000" w:type="pct"/>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Date: April 1, 2026</w:t>
            </w:r>
          </w:p>
        </w:tc>
        <w:tc>
          <w:tcPr>
            <w:tcW w:w="20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2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15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LAKESHORE BIOPHARMA CO., LTD</w:t>
            </w:r>
            <w:r w:rsidRPr="00B23B44">
              <w:rPr>
                <w:rFonts w:ascii="Times New Roman" w:eastAsia="Times New Roman" w:hAnsi="Times New Roman" w:cs="Times New Roman"/>
                <w:sz w:val="20"/>
                <w:szCs w:val="20"/>
              </w:rPr>
              <w:t xml:space="preserv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Jutao (Adam) Zhao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Jutao (Adam) Zhao</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Chairperson of the Special Committee</w:t>
            </w:r>
          </w:p>
        </w:tc>
      </w:tr>
    </w:tbl>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w:t>
      </w:r>
      <w:r w:rsidRPr="00B23B44">
        <w:rPr>
          <w:rFonts w:ascii="Times New Roman" w:eastAsia="Times New Roman" w:hAnsi="Times New Roman" w:cs="Times New Roman"/>
          <w:i/>
          <w:iCs/>
          <w:sz w:val="20"/>
          <w:szCs w:val="20"/>
        </w:rPr>
        <w:t>Signature Page to Schedule 13E-3 Transaction Statement</w:t>
      </w:r>
      <w:r w:rsidRPr="00B23B44">
        <w:rPr>
          <w:rFonts w:ascii="Times New Roman" w:eastAsia="Times New Roman" w:hAnsi="Times New Roman" w:cs="Times New Roman"/>
          <w:sz w:val="20"/>
          <w:szCs w:val="20"/>
        </w:rPr>
        <w: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4</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lastRenderedPageBreak/>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SIGNATURES</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B23B44" w:rsidRPr="00B23B44" w:rsidTr="00B23B44">
        <w:tc>
          <w:tcPr>
            <w:tcW w:w="3000" w:type="pct"/>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Date: April 1, 2026</w:t>
            </w:r>
          </w:p>
        </w:tc>
        <w:tc>
          <w:tcPr>
            <w:tcW w:w="20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2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15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SKYLINE INC.</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NAN Shaodeng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NAN Shaodeng</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MERGER SUB INC.</w:t>
            </w:r>
            <w:r w:rsidRPr="00B23B44">
              <w:rPr>
                <w:rFonts w:ascii="Times New Roman" w:eastAsia="Times New Roman" w:hAnsi="Times New Roman" w:cs="Times New Roman"/>
                <w:sz w:val="20"/>
                <w:szCs w:val="20"/>
              </w:rPr>
              <w:t xml:space="preserv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NAN Shaodeng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NAN Shaodeng</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CAPITAL INC.</w:t>
            </w:r>
            <w:r w:rsidRPr="00B23B44">
              <w:rPr>
                <w:rFonts w:ascii="Times New Roman" w:eastAsia="Times New Roman" w:hAnsi="Times New Roman" w:cs="Times New Roman"/>
                <w:sz w:val="20"/>
                <w:szCs w:val="20"/>
              </w:rPr>
              <w:t xml:space="preserv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Jiayu Yang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Jiayu Yang</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OCEANPINE INVESTMENT FUND II LP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Dave Liguang Chenn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Dave Liguang Chenn</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DAVE LIGUANG CHENN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Dave Liguang Chenn  </w:t>
            </w:r>
          </w:p>
        </w:tc>
      </w:tr>
    </w:tbl>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w:t>
      </w:r>
      <w:r w:rsidRPr="00B23B44">
        <w:rPr>
          <w:rFonts w:ascii="Times New Roman" w:eastAsia="Times New Roman" w:hAnsi="Times New Roman" w:cs="Times New Roman"/>
          <w:i/>
          <w:iCs/>
          <w:sz w:val="20"/>
          <w:szCs w:val="20"/>
        </w:rPr>
        <w:t>Signature Page to Schedule 13E-3 Transaction Statement</w:t>
      </w:r>
      <w:r w:rsidRPr="00B23B44">
        <w:rPr>
          <w:rFonts w:ascii="Times New Roman" w:eastAsia="Times New Roman" w:hAnsi="Times New Roman" w:cs="Times New Roman"/>
          <w:sz w:val="20"/>
          <w:szCs w:val="20"/>
        </w:rPr>
        <w: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12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5</w:t>
      </w:r>
    </w:p>
    <w:p w:rsidR="00B23B44" w:rsidRPr="00B23B44" w:rsidRDefault="00B23B44" w:rsidP="00B23B44">
      <w:pPr>
        <w:spacing w:after="12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SIGNATURES</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B23B44" w:rsidRPr="00B23B44" w:rsidRDefault="00B23B44" w:rsidP="00B23B44">
      <w:pPr>
        <w:spacing w:after="0" w:line="240" w:lineRule="auto"/>
        <w:ind w:firstLine="720"/>
        <w:jc w:val="both"/>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B23B44" w:rsidRPr="00B23B44" w:rsidTr="00B23B44">
        <w:tc>
          <w:tcPr>
            <w:tcW w:w="3000" w:type="pct"/>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Date: April 1, 2026</w:t>
            </w:r>
          </w:p>
        </w:tc>
        <w:tc>
          <w:tcPr>
            <w:tcW w:w="20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2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1550" w:type="pct"/>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CRYSTAL PEAK INVESTMENT INC.</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Huaqin Xue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Huaqin Xue</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lastRenderedPageBreak/>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CRYSTAL PEAK HOLDINGS INC.</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Huaqin Xue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Name: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Huaqin Xue</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Title:</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Director</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vAlign w:val="bottom"/>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b/>
                <w:bCs/>
                <w:sz w:val="20"/>
                <w:szCs w:val="20"/>
              </w:rPr>
              <w:t>HUAQIN XUE</w:t>
            </w:r>
            <w:r w:rsidRPr="00B23B44">
              <w:rPr>
                <w:rFonts w:ascii="Times New Roman" w:eastAsia="Times New Roman" w:hAnsi="Times New Roman" w:cs="Times New Roman"/>
                <w:sz w:val="20"/>
                <w:szCs w:val="20"/>
              </w:rPr>
              <w:t xml:space="preserve">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r>
      <w:tr w:rsidR="00B23B44" w:rsidRPr="00B23B44" w:rsidTr="00B23B44">
        <w:tc>
          <w:tcPr>
            <w:tcW w:w="0" w:type="auto"/>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B23B44" w:rsidRPr="00B23B44" w:rsidRDefault="00B23B44" w:rsidP="00B23B44">
            <w:pPr>
              <w:spacing w:after="0" w:line="240" w:lineRule="auto"/>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/s/ Huaqin Xue  </w:t>
            </w:r>
          </w:p>
        </w:tc>
      </w:tr>
    </w:tbl>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w:t>
      </w:r>
      <w:r w:rsidRPr="00B23B44">
        <w:rPr>
          <w:rFonts w:ascii="Times New Roman" w:eastAsia="Times New Roman" w:hAnsi="Times New Roman" w:cs="Times New Roman"/>
          <w:i/>
          <w:iCs/>
          <w:sz w:val="20"/>
          <w:szCs w:val="20"/>
        </w:rPr>
        <w:t>Signature Page to Schedule 13E-3 Transaction Statement</w:t>
      </w:r>
      <w:r w:rsidRPr="00B23B44">
        <w:rPr>
          <w:rFonts w:ascii="Times New Roman" w:eastAsia="Times New Roman" w:hAnsi="Times New Roman" w:cs="Times New Roman"/>
          <w:sz w:val="20"/>
          <w:szCs w:val="20"/>
        </w:rPr>
        <w:t>]</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 </w:t>
      </w:r>
    </w:p>
    <w:p w:rsidR="00B23B44" w:rsidRPr="00B23B44" w:rsidRDefault="00B23B44" w:rsidP="00B23B44">
      <w:pPr>
        <w:spacing w:after="0" w:line="240" w:lineRule="auto"/>
        <w:jc w:val="center"/>
        <w:rPr>
          <w:rFonts w:ascii="Times New Roman" w:eastAsia="Times New Roman" w:hAnsi="Times New Roman" w:cs="Times New Roman"/>
          <w:sz w:val="20"/>
          <w:szCs w:val="20"/>
        </w:rPr>
      </w:pPr>
      <w:r w:rsidRPr="00B23B44">
        <w:rPr>
          <w:rFonts w:ascii="Times New Roman" w:eastAsia="Times New Roman" w:hAnsi="Times New Roman" w:cs="Times New Roman"/>
          <w:sz w:val="20"/>
          <w:szCs w:val="20"/>
        </w:rPr>
        <w:t>6</w:t>
      </w:r>
    </w:p>
    <w:p w:rsidR="00B23B44" w:rsidRPr="00B23B44" w:rsidRDefault="00B23B44" w:rsidP="00B23B44">
      <w:pPr>
        <w:spacing w:after="0" w:line="240" w:lineRule="auto"/>
        <w:rPr>
          <w:rFonts w:ascii="Times New Roman" w:eastAsia="Times New Roman" w:hAnsi="Times New Roman" w:cs="Times New Roman"/>
          <w:sz w:val="2"/>
          <w:szCs w:val="2"/>
        </w:rPr>
      </w:pPr>
      <w:r w:rsidRPr="00B23B44">
        <w:rPr>
          <w:rFonts w:ascii="Times New Roman" w:eastAsia="Times New Roman" w:hAnsi="Times New Roman" w:cs="Times New Roman"/>
          <w:sz w:val="2"/>
          <w:szCs w:val="2"/>
        </w:rPr>
        <w:t> </w:t>
      </w:r>
    </w:p>
    <w:p w:rsidR="00F8455A" w:rsidRPr="00B23B44" w:rsidRDefault="00F8455A" w:rsidP="00B23B44">
      <w:bookmarkStart w:id="1" w:name="_GoBack"/>
      <w:bookmarkEnd w:id="1"/>
    </w:p>
    <w:sectPr w:rsidR="00F8455A" w:rsidRPr="00B2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44"/>
    <w:rsid w:val="00B23B44"/>
    <w:rsid w:val="00F8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21FF-C07E-4A52-BD9A-654A2FC9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B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3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12816">
      <w:bodyDiv w:val="1"/>
      <w:marLeft w:val="0"/>
      <w:marRight w:val="0"/>
      <w:marTop w:val="0"/>
      <w:marBottom w:val="0"/>
      <w:divBdr>
        <w:top w:val="none" w:sz="0" w:space="0" w:color="auto"/>
        <w:left w:val="none" w:sz="0" w:space="0" w:color="auto"/>
        <w:bottom w:val="none" w:sz="0" w:space="0" w:color="auto"/>
        <w:right w:val="none" w:sz="0" w:space="0" w:color="auto"/>
      </w:divBdr>
      <w:divsChild>
        <w:div w:id="2136949918">
          <w:marLeft w:val="0"/>
          <w:marRight w:val="0"/>
          <w:marTop w:val="0"/>
          <w:marBottom w:val="0"/>
          <w:divBdr>
            <w:top w:val="none" w:sz="0" w:space="0" w:color="auto"/>
            <w:left w:val="none" w:sz="0" w:space="0" w:color="auto"/>
            <w:bottom w:val="none" w:sz="0" w:space="0" w:color="auto"/>
            <w:right w:val="none" w:sz="0" w:space="0" w:color="auto"/>
          </w:divBdr>
          <w:divsChild>
            <w:div w:id="836459243">
              <w:marLeft w:val="0"/>
              <w:marRight w:val="0"/>
              <w:marTop w:val="0"/>
              <w:marBottom w:val="0"/>
              <w:divBdr>
                <w:top w:val="none" w:sz="0" w:space="0" w:color="auto"/>
                <w:left w:val="none" w:sz="0" w:space="0" w:color="auto"/>
                <w:bottom w:val="none" w:sz="0" w:space="0" w:color="auto"/>
                <w:right w:val="none" w:sz="0" w:space="0" w:color="auto"/>
              </w:divBdr>
              <w:divsChild>
                <w:div w:id="698967408">
                  <w:marLeft w:val="0"/>
                  <w:marRight w:val="0"/>
                  <w:marTop w:val="0"/>
                  <w:marBottom w:val="0"/>
                  <w:divBdr>
                    <w:top w:val="single" w:sz="18" w:space="0" w:color="000000"/>
                    <w:left w:val="none" w:sz="0" w:space="0" w:color="auto"/>
                    <w:bottom w:val="single" w:sz="8" w:space="0" w:color="000000"/>
                    <w:right w:val="none" w:sz="0" w:space="0" w:color="auto"/>
                  </w:divBdr>
                </w:div>
              </w:divsChild>
            </w:div>
            <w:div w:id="368457342">
              <w:marLeft w:val="0"/>
              <w:marRight w:val="0"/>
              <w:marTop w:val="0"/>
              <w:marBottom w:val="0"/>
              <w:divBdr>
                <w:top w:val="none" w:sz="0" w:space="0" w:color="auto"/>
                <w:left w:val="none" w:sz="0" w:space="0" w:color="auto"/>
                <w:bottom w:val="none" w:sz="0" w:space="0" w:color="auto"/>
                <w:right w:val="none" w:sz="0" w:space="0" w:color="auto"/>
              </w:divBdr>
              <w:divsChild>
                <w:div w:id="635527832">
                  <w:marLeft w:val="0"/>
                  <w:marRight w:val="0"/>
                  <w:marTop w:val="0"/>
                  <w:marBottom w:val="0"/>
                  <w:divBdr>
                    <w:top w:val="single" w:sz="12" w:space="0" w:color="000000"/>
                    <w:left w:val="none" w:sz="0" w:space="0" w:color="auto"/>
                    <w:bottom w:val="none" w:sz="0" w:space="0" w:color="auto"/>
                    <w:right w:val="none" w:sz="0" w:space="0" w:color="auto"/>
                  </w:divBdr>
                </w:div>
              </w:divsChild>
            </w:div>
            <w:div w:id="2079739654">
              <w:marLeft w:val="0"/>
              <w:marRight w:val="0"/>
              <w:marTop w:val="0"/>
              <w:marBottom w:val="0"/>
              <w:divBdr>
                <w:top w:val="none" w:sz="0" w:space="0" w:color="auto"/>
                <w:left w:val="none" w:sz="0" w:space="0" w:color="auto"/>
                <w:bottom w:val="none" w:sz="0" w:space="0" w:color="auto"/>
                <w:right w:val="none" w:sz="0" w:space="0" w:color="auto"/>
              </w:divBdr>
              <w:divsChild>
                <w:div w:id="1470629611">
                  <w:marLeft w:val="0"/>
                  <w:marRight w:val="0"/>
                  <w:marTop w:val="0"/>
                  <w:marBottom w:val="0"/>
                  <w:divBdr>
                    <w:top w:val="single" w:sz="8" w:space="0" w:color="000000"/>
                    <w:left w:val="none" w:sz="0" w:space="0" w:color="auto"/>
                    <w:bottom w:val="single" w:sz="18" w:space="0" w:color="000000"/>
                    <w:right w:val="none" w:sz="0" w:space="0" w:color="auto"/>
                  </w:divBdr>
                </w:div>
              </w:divsChild>
            </w:div>
            <w:div w:id="903683520">
              <w:marLeft w:val="0"/>
              <w:marRight w:val="0"/>
              <w:marTop w:val="120"/>
              <w:marBottom w:val="120"/>
              <w:divBdr>
                <w:top w:val="none" w:sz="0" w:space="0" w:color="auto"/>
                <w:left w:val="none" w:sz="0" w:space="0" w:color="auto"/>
                <w:bottom w:val="single" w:sz="12" w:space="0" w:color="000000"/>
                <w:right w:val="none" w:sz="0" w:space="0" w:color="auto"/>
              </w:divBdr>
            </w:div>
            <w:div w:id="1326786093">
              <w:marLeft w:val="0"/>
              <w:marRight w:val="0"/>
              <w:marTop w:val="120"/>
              <w:marBottom w:val="120"/>
              <w:divBdr>
                <w:top w:val="none" w:sz="0" w:space="0" w:color="auto"/>
                <w:left w:val="none" w:sz="0" w:space="0" w:color="auto"/>
                <w:bottom w:val="none" w:sz="0" w:space="0" w:color="auto"/>
                <w:right w:val="none" w:sz="0" w:space="0" w:color="auto"/>
              </w:divBdr>
            </w:div>
            <w:div w:id="435097678">
              <w:marLeft w:val="0"/>
              <w:marRight w:val="0"/>
              <w:marTop w:val="120"/>
              <w:marBottom w:val="120"/>
              <w:divBdr>
                <w:top w:val="none" w:sz="0" w:space="0" w:color="auto"/>
                <w:left w:val="none" w:sz="0" w:space="0" w:color="auto"/>
                <w:bottom w:val="single" w:sz="12" w:space="0" w:color="000000"/>
                <w:right w:val="none" w:sz="0" w:space="0" w:color="auto"/>
              </w:divBdr>
            </w:div>
            <w:div w:id="250043670">
              <w:marLeft w:val="0"/>
              <w:marRight w:val="0"/>
              <w:marTop w:val="120"/>
              <w:marBottom w:val="120"/>
              <w:divBdr>
                <w:top w:val="none" w:sz="0" w:space="0" w:color="auto"/>
                <w:left w:val="none" w:sz="0" w:space="0" w:color="auto"/>
                <w:bottom w:val="none" w:sz="0" w:space="0" w:color="auto"/>
                <w:right w:val="none" w:sz="0" w:space="0" w:color="auto"/>
              </w:divBdr>
            </w:div>
            <w:div w:id="2077628053">
              <w:marLeft w:val="0"/>
              <w:marRight w:val="0"/>
              <w:marTop w:val="120"/>
              <w:marBottom w:val="120"/>
              <w:divBdr>
                <w:top w:val="none" w:sz="0" w:space="0" w:color="auto"/>
                <w:left w:val="none" w:sz="0" w:space="0" w:color="auto"/>
                <w:bottom w:val="single" w:sz="12" w:space="0" w:color="000000"/>
                <w:right w:val="none" w:sz="0" w:space="0" w:color="auto"/>
              </w:divBdr>
            </w:div>
            <w:div w:id="1823303337">
              <w:marLeft w:val="0"/>
              <w:marRight w:val="0"/>
              <w:marTop w:val="120"/>
              <w:marBottom w:val="120"/>
              <w:divBdr>
                <w:top w:val="none" w:sz="0" w:space="0" w:color="auto"/>
                <w:left w:val="none" w:sz="0" w:space="0" w:color="auto"/>
                <w:bottom w:val="none" w:sz="0" w:space="0" w:color="auto"/>
                <w:right w:val="none" w:sz="0" w:space="0" w:color="auto"/>
              </w:divBdr>
            </w:div>
            <w:div w:id="885336522">
              <w:marLeft w:val="0"/>
              <w:marRight w:val="0"/>
              <w:marTop w:val="120"/>
              <w:marBottom w:val="120"/>
              <w:divBdr>
                <w:top w:val="none" w:sz="0" w:space="0" w:color="auto"/>
                <w:left w:val="none" w:sz="0" w:space="0" w:color="auto"/>
                <w:bottom w:val="single" w:sz="12" w:space="0" w:color="000000"/>
                <w:right w:val="none" w:sz="0" w:space="0" w:color="auto"/>
              </w:divBdr>
            </w:div>
            <w:div w:id="819661645">
              <w:marLeft w:val="0"/>
              <w:marRight w:val="0"/>
              <w:marTop w:val="120"/>
              <w:marBottom w:val="120"/>
              <w:divBdr>
                <w:top w:val="none" w:sz="0" w:space="0" w:color="auto"/>
                <w:left w:val="none" w:sz="0" w:space="0" w:color="auto"/>
                <w:bottom w:val="none" w:sz="0" w:space="0" w:color="auto"/>
                <w:right w:val="none" w:sz="0" w:space="0" w:color="auto"/>
              </w:divBdr>
            </w:div>
            <w:div w:id="1957324332">
              <w:marLeft w:val="0"/>
              <w:marRight w:val="0"/>
              <w:marTop w:val="120"/>
              <w:marBottom w:val="120"/>
              <w:divBdr>
                <w:top w:val="none" w:sz="0" w:space="0" w:color="auto"/>
                <w:left w:val="none" w:sz="0" w:space="0" w:color="auto"/>
                <w:bottom w:val="single" w:sz="12" w:space="0" w:color="000000"/>
                <w:right w:val="none" w:sz="0" w:space="0" w:color="auto"/>
              </w:divBdr>
            </w:div>
            <w:div w:id="1084643578">
              <w:marLeft w:val="0"/>
              <w:marRight w:val="0"/>
              <w:marTop w:val="120"/>
              <w:marBottom w:val="120"/>
              <w:divBdr>
                <w:top w:val="none" w:sz="0" w:space="0" w:color="auto"/>
                <w:left w:val="none" w:sz="0" w:space="0" w:color="auto"/>
                <w:bottom w:val="none" w:sz="0" w:space="0" w:color="auto"/>
                <w:right w:val="none" w:sz="0" w:space="0" w:color="auto"/>
              </w:divBdr>
            </w:div>
            <w:div w:id="1748186401">
              <w:marLeft w:val="0"/>
              <w:marRight w:val="0"/>
              <w:marTop w:val="120"/>
              <w:marBottom w:val="120"/>
              <w:divBdr>
                <w:top w:val="none" w:sz="0" w:space="0" w:color="auto"/>
                <w:left w:val="none" w:sz="0" w:space="0" w:color="auto"/>
                <w:bottom w:val="single" w:sz="12" w:space="0" w:color="000000"/>
                <w:right w:val="none" w:sz="0" w:space="0" w:color="auto"/>
              </w:divBdr>
            </w:div>
            <w:div w:id="1313945285">
              <w:marLeft w:val="0"/>
              <w:marRight w:val="0"/>
              <w:marTop w:val="120"/>
              <w:marBottom w:val="120"/>
              <w:divBdr>
                <w:top w:val="none" w:sz="0" w:space="0" w:color="auto"/>
                <w:left w:val="none" w:sz="0" w:space="0" w:color="auto"/>
                <w:bottom w:val="none" w:sz="0" w:space="0" w:color="auto"/>
                <w:right w:val="none" w:sz="0" w:space="0" w:color="auto"/>
              </w:divBdr>
            </w:div>
            <w:div w:id="241184571">
              <w:marLeft w:val="0"/>
              <w:marRight w:val="0"/>
              <w:marTop w:val="0"/>
              <w:marBottom w:val="0"/>
              <w:divBdr>
                <w:top w:val="none" w:sz="0" w:space="0" w:color="auto"/>
                <w:left w:val="none" w:sz="0" w:space="0" w:color="auto"/>
                <w:bottom w:val="none" w:sz="0" w:space="0" w:color="auto"/>
                <w:right w:val="none" w:sz="0" w:space="0" w:color="auto"/>
              </w:divBdr>
              <w:divsChild>
                <w:div w:id="1303655675">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c.gov/Archives/edgar/data/1946399/000121390026033849/ea028337501ex9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2026-04-01T12:35:00Z</dcterms:created>
  <dcterms:modified xsi:type="dcterms:W3CDTF">2026-04-01T12:36:00Z</dcterms:modified>
</cp:coreProperties>
</file>