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26DAD6" w14:textId="77777777" w:rsidR="00000000" w:rsidRDefault="002F725F">
      <w:pPr>
        <w:divId w:val="1892300992"/>
        <w:rPr>
          <w:rFonts w:eastAsia="Times New Roman"/>
          <w:sz w:val="2"/>
          <w:szCs w:val="2"/>
        </w:rPr>
      </w:pPr>
      <w:bookmarkStart w:id="0" w:name="gfpea0289617-sc13e3a6_lake.htm"/>
      <w:bookmarkEnd w:id="0"/>
      <w:r>
        <w:rPr>
          <w:rFonts w:eastAsia="Times New Roman"/>
          <w:sz w:val="2"/>
          <w:szCs w:val="2"/>
        </w:rPr>
        <w:t> </w:t>
      </w:r>
    </w:p>
    <w:p w14:paraId="4DA62539"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79EEE19B" w14:textId="77777777" w:rsidR="00000000" w:rsidRDefault="002F725F">
      <w:pPr>
        <w:pStyle w:val="NormalWeb"/>
        <w:spacing w:before="0" w:beforeAutospacing="0" w:after="0" w:afterAutospacing="0"/>
        <w:jc w:val="center"/>
        <w:divId w:val="305475121"/>
        <w:rPr>
          <w:sz w:val="20"/>
          <w:szCs w:val="20"/>
        </w:rPr>
      </w:pPr>
      <w:r>
        <w:rPr>
          <w:b/>
          <w:bCs/>
          <w:sz w:val="20"/>
          <w:szCs w:val="20"/>
        </w:rPr>
        <w:t>UNITED STATES</w:t>
      </w:r>
    </w:p>
    <w:p w14:paraId="5C51F8B5" w14:textId="77777777" w:rsidR="00000000" w:rsidRDefault="002F725F">
      <w:pPr>
        <w:pStyle w:val="NormalWeb"/>
        <w:spacing w:before="0" w:beforeAutospacing="0" w:after="0" w:afterAutospacing="0"/>
        <w:jc w:val="center"/>
        <w:divId w:val="305475121"/>
        <w:rPr>
          <w:sz w:val="20"/>
          <w:szCs w:val="20"/>
        </w:rPr>
      </w:pPr>
      <w:r>
        <w:rPr>
          <w:b/>
          <w:bCs/>
          <w:sz w:val="20"/>
          <w:szCs w:val="20"/>
        </w:rPr>
        <w:t>SECURITIES AND EXCHANGE COMMISSION</w:t>
      </w:r>
    </w:p>
    <w:p w14:paraId="4FBF2C44" w14:textId="77777777" w:rsidR="00000000" w:rsidRDefault="002F725F">
      <w:pPr>
        <w:pStyle w:val="NormalWeb"/>
        <w:spacing w:before="0" w:beforeAutospacing="0" w:after="0" w:afterAutospacing="0"/>
        <w:jc w:val="center"/>
        <w:divId w:val="305475121"/>
        <w:rPr>
          <w:sz w:val="20"/>
          <w:szCs w:val="20"/>
        </w:rPr>
      </w:pPr>
      <w:r>
        <w:rPr>
          <w:b/>
          <w:bCs/>
          <w:sz w:val="20"/>
          <w:szCs w:val="20"/>
        </w:rPr>
        <w:t>Washington, D.C. 20549</w:t>
      </w:r>
    </w:p>
    <w:p w14:paraId="741217D9"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7529D64A" w14:textId="77777777" w:rsidR="00000000" w:rsidRDefault="002F725F">
      <w:pPr>
        <w:jc w:val="center"/>
        <w:divId w:val="1001928798"/>
        <w:rPr>
          <w:rFonts w:eastAsia="Times New Roman"/>
          <w:sz w:val="2"/>
          <w:szCs w:val="2"/>
        </w:rPr>
      </w:pPr>
      <w:r>
        <w:rPr>
          <w:rFonts w:eastAsia="Times New Roman"/>
          <w:sz w:val="2"/>
          <w:szCs w:val="2"/>
        </w:rPr>
        <w:t> </w:t>
      </w:r>
    </w:p>
    <w:p w14:paraId="610EDBD4" w14:textId="77777777" w:rsidR="00000000" w:rsidRDefault="002F725F">
      <w:pPr>
        <w:pStyle w:val="NormalWeb"/>
        <w:spacing w:before="0" w:beforeAutospacing="0" w:after="0" w:afterAutospacing="0"/>
        <w:jc w:val="center"/>
        <w:divId w:val="305475121"/>
        <w:rPr>
          <w:sz w:val="20"/>
          <w:szCs w:val="20"/>
        </w:rPr>
      </w:pPr>
      <w:r>
        <w:rPr>
          <w:b/>
          <w:bCs/>
          <w:sz w:val="20"/>
          <w:szCs w:val="20"/>
        </w:rPr>
        <w:t> </w:t>
      </w:r>
    </w:p>
    <w:p w14:paraId="1214331A" w14:textId="77777777" w:rsidR="00000000" w:rsidRDefault="002F725F">
      <w:pPr>
        <w:pStyle w:val="NormalWeb"/>
        <w:spacing w:before="0" w:beforeAutospacing="0" w:after="0" w:afterAutospacing="0"/>
        <w:jc w:val="center"/>
        <w:divId w:val="305475121"/>
        <w:rPr>
          <w:sz w:val="20"/>
          <w:szCs w:val="20"/>
        </w:rPr>
      </w:pPr>
      <w:r>
        <w:rPr>
          <w:b/>
          <w:bCs/>
          <w:sz w:val="20"/>
          <w:szCs w:val="20"/>
        </w:rPr>
        <w:t>SCHEDULE 13E-3</w:t>
      </w:r>
    </w:p>
    <w:p w14:paraId="2BF9332E"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122D312C" w14:textId="77777777" w:rsidR="00000000" w:rsidRDefault="002F725F">
      <w:pPr>
        <w:pStyle w:val="NormalWeb"/>
        <w:spacing w:before="0" w:beforeAutospacing="0" w:after="0" w:afterAutospacing="0"/>
        <w:jc w:val="center"/>
        <w:divId w:val="305475121"/>
        <w:rPr>
          <w:sz w:val="20"/>
          <w:szCs w:val="20"/>
        </w:rPr>
      </w:pPr>
      <w:r>
        <w:rPr>
          <w:b/>
          <w:bCs/>
          <w:sz w:val="20"/>
          <w:szCs w:val="20"/>
        </w:rPr>
        <w:t>Amendment No. 6</w:t>
      </w:r>
    </w:p>
    <w:p w14:paraId="6AC42712" w14:textId="77777777" w:rsidR="00000000" w:rsidRDefault="002F725F">
      <w:pPr>
        <w:pStyle w:val="NormalWeb"/>
        <w:spacing w:before="0" w:beforeAutospacing="0" w:after="0" w:afterAutospacing="0"/>
        <w:jc w:val="center"/>
        <w:divId w:val="305475121"/>
        <w:rPr>
          <w:sz w:val="20"/>
          <w:szCs w:val="20"/>
        </w:rPr>
      </w:pPr>
      <w:r>
        <w:rPr>
          <w:b/>
          <w:bCs/>
          <w:sz w:val="20"/>
          <w:szCs w:val="20"/>
        </w:rPr>
        <w:t>RULE 13e-3 TRANSACTION STATEMENT</w:t>
      </w:r>
    </w:p>
    <w:p w14:paraId="021BBF53" w14:textId="77777777" w:rsidR="00000000" w:rsidRDefault="002F725F">
      <w:pPr>
        <w:pStyle w:val="NormalWeb"/>
        <w:spacing w:before="0" w:beforeAutospacing="0" w:after="0" w:afterAutospacing="0"/>
        <w:jc w:val="center"/>
        <w:divId w:val="305475121"/>
        <w:rPr>
          <w:sz w:val="20"/>
          <w:szCs w:val="20"/>
        </w:rPr>
      </w:pPr>
      <w:r>
        <w:rPr>
          <w:b/>
          <w:bCs/>
          <w:sz w:val="20"/>
          <w:szCs w:val="20"/>
        </w:rPr>
        <w:t>(Pursuant to Section 13(e) of the Securities Exchange Act of 1934)</w:t>
      </w:r>
    </w:p>
    <w:p w14:paraId="7D878846"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5383DD51" w14:textId="77777777" w:rsidR="00000000" w:rsidRDefault="002F725F">
      <w:pPr>
        <w:divId w:val="1869947289"/>
        <w:rPr>
          <w:rFonts w:eastAsia="Times New Roman"/>
          <w:sz w:val="2"/>
          <w:szCs w:val="2"/>
        </w:rPr>
      </w:pPr>
      <w:r>
        <w:rPr>
          <w:rFonts w:eastAsia="Times New Roman"/>
          <w:sz w:val="2"/>
          <w:szCs w:val="2"/>
        </w:rPr>
        <w:t> </w:t>
      </w:r>
    </w:p>
    <w:p w14:paraId="04CE4EF6"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79B7E15F" w14:textId="77777777" w:rsidR="00000000" w:rsidRDefault="002F725F">
      <w:pPr>
        <w:pStyle w:val="NormalWeb"/>
        <w:spacing w:before="0" w:beforeAutospacing="0" w:after="0" w:afterAutospacing="0"/>
        <w:jc w:val="center"/>
        <w:divId w:val="305475121"/>
        <w:rPr>
          <w:sz w:val="20"/>
          <w:szCs w:val="20"/>
        </w:rPr>
      </w:pPr>
      <w:r>
        <w:rPr>
          <w:b/>
          <w:bCs/>
          <w:sz w:val="20"/>
          <w:szCs w:val="20"/>
        </w:rPr>
        <w:t>LAKESHORE BIOPHARMA CO., LTD</w:t>
      </w:r>
    </w:p>
    <w:p w14:paraId="1E4DE795" w14:textId="77777777" w:rsidR="00000000" w:rsidRDefault="002F725F">
      <w:pPr>
        <w:pStyle w:val="NormalWeb"/>
        <w:spacing w:before="0" w:beforeAutospacing="0" w:after="0" w:afterAutospacing="0"/>
        <w:jc w:val="center"/>
        <w:divId w:val="305475121"/>
        <w:rPr>
          <w:sz w:val="20"/>
          <w:szCs w:val="20"/>
        </w:rPr>
      </w:pPr>
      <w:r>
        <w:rPr>
          <w:sz w:val="20"/>
          <w:szCs w:val="20"/>
        </w:rPr>
        <w:t>(Name of the Issuer)</w:t>
      </w:r>
    </w:p>
    <w:p w14:paraId="2DBA1287"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56657EE3" w14:textId="77777777" w:rsidR="00000000" w:rsidRDefault="002F725F">
      <w:pPr>
        <w:divId w:val="342632486"/>
        <w:rPr>
          <w:rFonts w:eastAsia="Times New Roman"/>
          <w:sz w:val="2"/>
          <w:szCs w:val="2"/>
        </w:rPr>
      </w:pPr>
      <w:r>
        <w:rPr>
          <w:rFonts w:eastAsia="Times New Roman"/>
          <w:sz w:val="2"/>
          <w:szCs w:val="2"/>
        </w:rPr>
        <w:t> </w:t>
      </w:r>
    </w:p>
    <w:p w14:paraId="0EC1AD00"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37168702" w14:textId="77777777" w:rsidR="00000000" w:rsidRDefault="002F725F">
      <w:pPr>
        <w:pStyle w:val="NormalWeb"/>
        <w:spacing w:before="0" w:beforeAutospacing="0" w:after="0" w:afterAutospacing="0"/>
        <w:jc w:val="center"/>
        <w:divId w:val="305475121"/>
        <w:rPr>
          <w:sz w:val="20"/>
          <w:szCs w:val="20"/>
        </w:rPr>
      </w:pPr>
      <w:r>
        <w:rPr>
          <w:b/>
          <w:bCs/>
          <w:sz w:val="20"/>
          <w:szCs w:val="20"/>
        </w:rPr>
        <w:t>LakeShore Biopharma Co., Ltd</w:t>
      </w:r>
    </w:p>
    <w:p w14:paraId="76461F6E" w14:textId="77777777" w:rsidR="00000000" w:rsidRDefault="002F725F">
      <w:pPr>
        <w:pStyle w:val="NormalWeb"/>
        <w:spacing w:before="0" w:beforeAutospacing="0" w:after="0" w:afterAutospacing="0"/>
        <w:jc w:val="center"/>
        <w:divId w:val="305475121"/>
        <w:rPr>
          <w:sz w:val="20"/>
          <w:szCs w:val="20"/>
        </w:rPr>
      </w:pPr>
      <w:r>
        <w:rPr>
          <w:b/>
          <w:bCs/>
          <w:sz w:val="20"/>
          <w:szCs w:val="20"/>
        </w:rPr>
        <w:t>Oceanpine Skyline Inc.</w:t>
      </w:r>
    </w:p>
    <w:p w14:paraId="7B30B8A4" w14:textId="77777777" w:rsidR="00000000" w:rsidRDefault="002F725F">
      <w:pPr>
        <w:pStyle w:val="NormalWeb"/>
        <w:spacing w:before="0" w:beforeAutospacing="0" w:after="0" w:afterAutospacing="0"/>
        <w:jc w:val="center"/>
        <w:divId w:val="305475121"/>
        <w:rPr>
          <w:sz w:val="20"/>
          <w:szCs w:val="20"/>
        </w:rPr>
      </w:pPr>
      <w:r>
        <w:rPr>
          <w:b/>
          <w:bCs/>
          <w:sz w:val="20"/>
          <w:szCs w:val="20"/>
        </w:rPr>
        <w:t>Oceanpine Merger Sub Inc.</w:t>
      </w:r>
    </w:p>
    <w:p w14:paraId="17286B2F" w14:textId="77777777" w:rsidR="00000000" w:rsidRDefault="002F725F">
      <w:pPr>
        <w:pStyle w:val="NormalWeb"/>
        <w:spacing w:before="0" w:beforeAutospacing="0" w:after="0" w:afterAutospacing="0"/>
        <w:jc w:val="center"/>
        <w:divId w:val="305475121"/>
        <w:rPr>
          <w:sz w:val="20"/>
          <w:szCs w:val="20"/>
        </w:rPr>
      </w:pPr>
      <w:r>
        <w:rPr>
          <w:b/>
          <w:bCs/>
          <w:sz w:val="20"/>
          <w:szCs w:val="20"/>
        </w:rPr>
        <w:t>Oceanpine Capital Inc.</w:t>
      </w:r>
    </w:p>
    <w:p w14:paraId="04A4AA71" w14:textId="77777777" w:rsidR="00000000" w:rsidRDefault="002F725F">
      <w:pPr>
        <w:pStyle w:val="NormalWeb"/>
        <w:spacing w:before="0" w:beforeAutospacing="0" w:after="0" w:afterAutospacing="0"/>
        <w:jc w:val="center"/>
        <w:divId w:val="305475121"/>
        <w:rPr>
          <w:sz w:val="20"/>
          <w:szCs w:val="20"/>
        </w:rPr>
      </w:pPr>
      <w:r>
        <w:rPr>
          <w:b/>
          <w:bCs/>
          <w:sz w:val="20"/>
          <w:szCs w:val="20"/>
        </w:rPr>
        <w:t>Oceanpine Investment Fund II LP</w:t>
      </w:r>
    </w:p>
    <w:p w14:paraId="3C2B65A7" w14:textId="77777777" w:rsidR="00000000" w:rsidRDefault="002F725F">
      <w:pPr>
        <w:pStyle w:val="NormalWeb"/>
        <w:spacing w:before="0" w:beforeAutospacing="0" w:after="0" w:afterAutospacing="0"/>
        <w:jc w:val="center"/>
        <w:divId w:val="305475121"/>
        <w:rPr>
          <w:sz w:val="20"/>
          <w:szCs w:val="20"/>
        </w:rPr>
      </w:pPr>
      <w:r>
        <w:rPr>
          <w:b/>
          <w:bCs/>
          <w:sz w:val="20"/>
          <w:szCs w:val="20"/>
        </w:rPr>
        <w:t>Dave Liguang Chenn</w:t>
      </w:r>
    </w:p>
    <w:p w14:paraId="67E77EC6" w14:textId="77777777" w:rsidR="00000000" w:rsidRDefault="002F725F">
      <w:pPr>
        <w:pStyle w:val="NormalWeb"/>
        <w:spacing w:before="0" w:beforeAutospacing="0" w:after="0" w:afterAutospacing="0"/>
        <w:jc w:val="center"/>
        <w:divId w:val="305475121"/>
        <w:rPr>
          <w:sz w:val="20"/>
          <w:szCs w:val="20"/>
        </w:rPr>
      </w:pPr>
      <w:r>
        <w:rPr>
          <w:b/>
          <w:bCs/>
          <w:sz w:val="20"/>
          <w:szCs w:val="20"/>
        </w:rPr>
        <w:t>Crystal Peak Investment Inc.</w:t>
      </w:r>
    </w:p>
    <w:p w14:paraId="36F75A3B" w14:textId="77777777" w:rsidR="00000000" w:rsidRDefault="002F725F">
      <w:pPr>
        <w:pStyle w:val="NormalWeb"/>
        <w:spacing w:before="0" w:beforeAutospacing="0" w:after="0" w:afterAutospacing="0"/>
        <w:jc w:val="center"/>
        <w:divId w:val="305475121"/>
        <w:rPr>
          <w:sz w:val="20"/>
          <w:szCs w:val="20"/>
        </w:rPr>
      </w:pPr>
      <w:r>
        <w:rPr>
          <w:b/>
          <w:bCs/>
          <w:sz w:val="20"/>
          <w:szCs w:val="20"/>
        </w:rPr>
        <w:t>Crystal Peak Holdings Inc.</w:t>
      </w:r>
    </w:p>
    <w:p w14:paraId="4A4D5D47" w14:textId="77777777" w:rsidR="00000000" w:rsidRDefault="002F725F">
      <w:pPr>
        <w:pStyle w:val="NormalWeb"/>
        <w:spacing w:before="0" w:beforeAutospacing="0" w:after="0" w:afterAutospacing="0"/>
        <w:jc w:val="center"/>
        <w:divId w:val="305475121"/>
        <w:rPr>
          <w:sz w:val="20"/>
          <w:szCs w:val="20"/>
        </w:rPr>
      </w:pPr>
      <w:r>
        <w:rPr>
          <w:b/>
          <w:bCs/>
          <w:sz w:val="20"/>
          <w:szCs w:val="20"/>
        </w:rPr>
        <w:t>Huaqin Xue</w:t>
      </w:r>
    </w:p>
    <w:p w14:paraId="15005073" w14:textId="77777777" w:rsidR="00000000" w:rsidRDefault="002F725F">
      <w:pPr>
        <w:pStyle w:val="NormalWeb"/>
        <w:spacing w:before="0" w:beforeAutospacing="0" w:after="0" w:afterAutospacing="0"/>
        <w:jc w:val="center"/>
        <w:divId w:val="305475121"/>
        <w:rPr>
          <w:sz w:val="20"/>
          <w:szCs w:val="20"/>
        </w:rPr>
      </w:pPr>
      <w:r>
        <w:rPr>
          <w:sz w:val="20"/>
          <w:szCs w:val="20"/>
        </w:rPr>
        <w:t>(Names of Persons Filing Statement)</w:t>
      </w:r>
    </w:p>
    <w:p w14:paraId="481B1595" w14:textId="77777777" w:rsidR="00000000" w:rsidRDefault="002F725F">
      <w:pPr>
        <w:pStyle w:val="NormalWeb"/>
        <w:spacing w:before="0" w:beforeAutospacing="0" w:after="0" w:afterAutospacing="0"/>
        <w:jc w:val="center"/>
        <w:divId w:val="305475121"/>
        <w:rPr>
          <w:sz w:val="20"/>
          <w:szCs w:val="20"/>
        </w:rPr>
      </w:pPr>
      <w:r>
        <w:rPr>
          <w:b/>
          <w:bCs/>
          <w:sz w:val="20"/>
          <w:szCs w:val="20"/>
        </w:rPr>
        <w:t> </w:t>
      </w:r>
    </w:p>
    <w:p w14:paraId="5217CBBF" w14:textId="77777777" w:rsidR="00000000" w:rsidRDefault="002F725F">
      <w:pPr>
        <w:pStyle w:val="NormalWeb"/>
        <w:spacing w:before="0" w:beforeAutospacing="0" w:after="0" w:afterAutospacing="0"/>
        <w:jc w:val="center"/>
        <w:divId w:val="305475121"/>
        <w:rPr>
          <w:sz w:val="20"/>
          <w:szCs w:val="20"/>
        </w:rPr>
      </w:pPr>
      <w:r>
        <w:rPr>
          <w:b/>
          <w:bCs/>
          <w:sz w:val="20"/>
          <w:szCs w:val="20"/>
        </w:rPr>
        <w:t>Ordinary Shares, par value $0.0002 per share</w:t>
      </w:r>
    </w:p>
    <w:p w14:paraId="75F03753" w14:textId="77777777" w:rsidR="00000000" w:rsidRDefault="002F725F">
      <w:pPr>
        <w:pStyle w:val="NormalWeb"/>
        <w:spacing w:before="0" w:beforeAutospacing="0" w:after="0" w:afterAutospacing="0"/>
        <w:jc w:val="center"/>
        <w:divId w:val="305475121"/>
        <w:rPr>
          <w:sz w:val="20"/>
          <w:szCs w:val="20"/>
        </w:rPr>
      </w:pPr>
      <w:r>
        <w:rPr>
          <w:b/>
          <w:bCs/>
          <w:sz w:val="20"/>
          <w:szCs w:val="20"/>
        </w:rPr>
        <w:t> </w:t>
      </w:r>
    </w:p>
    <w:p w14:paraId="1B875C4C" w14:textId="77777777" w:rsidR="00000000" w:rsidRDefault="002F725F">
      <w:pPr>
        <w:pStyle w:val="NormalWeb"/>
        <w:spacing w:before="0" w:beforeAutospacing="0" w:after="0" w:afterAutospacing="0"/>
        <w:jc w:val="center"/>
        <w:divId w:val="305475121"/>
        <w:rPr>
          <w:sz w:val="20"/>
          <w:szCs w:val="20"/>
        </w:rPr>
      </w:pPr>
      <w:r>
        <w:rPr>
          <w:b/>
          <w:bCs/>
          <w:sz w:val="20"/>
          <w:szCs w:val="20"/>
        </w:rPr>
        <w:t>G9845F208</w:t>
      </w:r>
    </w:p>
    <w:p w14:paraId="32EC8DE0" w14:textId="77777777" w:rsidR="00000000" w:rsidRDefault="002F725F">
      <w:pPr>
        <w:pStyle w:val="NormalWeb"/>
        <w:spacing w:before="0" w:beforeAutospacing="0" w:after="0" w:afterAutospacing="0"/>
        <w:jc w:val="center"/>
        <w:divId w:val="305475121"/>
        <w:rPr>
          <w:sz w:val="20"/>
          <w:szCs w:val="20"/>
        </w:rPr>
      </w:pPr>
      <w:r>
        <w:rPr>
          <w:b/>
          <w:bCs/>
          <w:sz w:val="20"/>
          <w:szCs w:val="20"/>
        </w:rPr>
        <w:t>(CUSIP Number)</w:t>
      </w:r>
    </w:p>
    <w:p w14:paraId="380BA20B" w14:textId="77777777" w:rsidR="00000000" w:rsidRDefault="002F725F">
      <w:pPr>
        <w:pStyle w:val="NormalWeb"/>
        <w:spacing w:before="0" w:beforeAutospacing="0" w:after="0" w:afterAutospacing="0"/>
        <w:jc w:val="center"/>
        <w:divId w:val="305475121"/>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3182"/>
        <w:gridCol w:w="3089"/>
        <w:gridCol w:w="3089"/>
      </w:tblGrid>
      <w:tr w:rsidR="00000000" w14:paraId="35635027" w14:textId="77777777">
        <w:trPr>
          <w:divId w:val="305475121"/>
        </w:trPr>
        <w:tc>
          <w:tcPr>
            <w:tcW w:w="1700" w:type="pct"/>
            <w:tcMar>
              <w:top w:w="0" w:type="dxa"/>
              <w:left w:w="72" w:type="dxa"/>
              <w:bottom w:w="0" w:type="dxa"/>
              <w:right w:w="72" w:type="dxa"/>
            </w:tcMar>
            <w:hideMark/>
          </w:tcPr>
          <w:p w14:paraId="31544767" w14:textId="77777777" w:rsidR="00000000" w:rsidRDefault="002F725F">
            <w:pPr>
              <w:pStyle w:val="NormalWeb"/>
              <w:spacing w:before="0" w:beforeAutospacing="0" w:after="0" w:afterAutospacing="0"/>
              <w:jc w:val="center"/>
              <w:rPr>
                <w:sz w:val="20"/>
                <w:szCs w:val="20"/>
              </w:rPr>
            </w:pPr>
            <w:r>
              <w:rPr>
                <w:b/>
                <w:bCs/>
                <w:sz w:val="20"/>
                <w:szCs w:val="20"/>
              </w:rPr>
              <w:t>LakeShore Biopharma Co., Ltd</w:t>
            </w:r>
          </w:p>
          <w:p w14:paraId="0944183B" w14:textId="77777777" w:rsidR="00000000" w:rsidRDefault="002F725F">
            <w:pPr>
              <w:pStyle w:val="NormalWeb"/>
              <w:spacing w:before="0" w:beforeAutospacing="0" w:after="0" w:afterAutospacing="0"/>
              <w:ind w:left="200" w:hanging="200"/>
              <w:jc w:val="center"/>
              <w:rPr>
                <w:sz w:val="20"/>
                <w:szCs w:val="20"/>
              </w:rPr>
            </w:pPr>
            <w:r>
              <w:rPr>
                <w:b/>
                <w:bCs/>
                <w:sz w:val="20"/>
                <w:szCs w:val="20"/>
              </w:rPr>
              <w:t>Building No. 2, 38 Yongda Road</w:t>
            </w:r>
          </w:p>
          <w:p w14:paraId="146252CC" w14:textId="77777777" w:rsidR="00000000" w:rsidRDefault="002F725F">
            <w:pPr>
              <w:pStyle w:val="NormalWeb"/>
              <w:spacing w:before="0" w:beforeAutospacing="0" w:after="0" w:afterAutospacing="0"/>
              <w:ind w:left="200" w:hanging="200"/>
              <w:jc w:val="center"/>
              <w:rPr>
                <w:sz w:val="20"/>
                <w:szCs w:val="20"/>
              </w:rPr>
            </w:pPr>
            <w:r>
              <w:rPr>
                <w:b/>
                <w:bCs/>
                <w:sz w:val="20"/>
                <w:szCs w:val="20"/>
              </w:rPr>
              <w:t>Daxing Biomedical</w:t>
            </w:r>
            <w:r>
              <w:rPr>
                <w:b/>
                <w:bCs/>
                <w:sz w:val="20"/>
                <w:szCs w:val="20"/>
              </w:rPr>
              <w:t xml:space="preserve"> Industry Park</w:t>
            </w:r>
          </w:p>
          <w:p w14:paraId="1B0F1AE7" w14:textId="77777777" w:rsidR="00000000" w:rsidRDefault="002F725F">
            <w:pPr>
              <w:pStyle w:val="NormalWeb"/>
              <w:spacing w:before="0" w:beforeAutospacing="0" w:after="0" w:afterAutospacing="0"/>
              <w:ind w:left="200" w:hanging="200"/>
              <w:jc w:val="center"/>
              <w:rPr>
                <w:sz w:val="20"/>
                <w:szCs w:val="20"/>
              </w:rPr>
            </w:pPr>
            <w:r>
              <w:rPr>
                <w:b/>
                <w:bCs/>
                <w:sz w:val="20"/>
                <w:szCs w:val="20"/>
              </w:rPr>
              <w:t>Daxing District</w:t>
            </w:r>
          </w:p>
          <w:p w14:paraId="2D87CBA3" w14:textId="77777777" w:rsidR="00000000" w:rsidRDefault="002F725F">
            <w:pPr>
              <w:pStyle w:val="NormalWeb"/>
              <w:spacing w:before="0" w:beforeAutospacing="0" w:after="0" w:afterAutospacing="0"/>
              <w:ind w:left="200" w:hanging="200"/>
              <w:jc w:val="center"/>
              <w:rPr>
                <w:sz w:val="20"/>
                <w:szCs w:val="20"/>
              </w:rPr>
            </w:pPr>
            <w:r>
              <w:rPr>
                <w:b/>
                <w:bCs/>
                <w:sz w:val="20"/>
                <w:szCs w:val="20"/>
              </w:rPr>
              <w:t>Beijing 102629</w:t>
            </w:r>
          </w:p>
          <w:p w14:paraId="4D9BFD23" w14:textId="77777777" w:rsidR="00000000" w:rsidRDefault="002F725F">
            <w:pPr>
              <w:pStyle w:val="NormalWeb"/>
              <w:spacing w:before="0" w:beforeAutospacing="0" w:after="0" w:afterAutospacing="0"/>
              <w:ind w:left="200" w:hanging="200"/>
              <w:jc w:val="center"/>
              <w:rPr>
                <w:sz w:val="20"/>
                <w:szCs w:val="20"/>
              </w:rPr>
            </w:pPr>
            <w:r>
              <w:rPr>
                <w:b/>
                <w:bCs/>
                <w:sz w:val="20"/>
                <w:szCs w:val="20"/>
              </w:rPr>
              <w:t>People’s Republic of China</w:t>
            </w:r>
          </w:p>
          <w:p w14:paraId="744B0825" w14:textId="77777777" w:rsidR="00000000" w:rsidRDefault="002F725F">
            <w:pPr>
              <w:pStyle w:val="NormalWeb"/>
              <w:spacing w:before="0" w:beforeAutospacing="0" w:after="0" w:afterAutospacing="0"/>
              <w:ind w:left="200" w:hanging="200"/>
              <w:jc w:val="center"/>
              <w:rPr>
                <w:sz w:val="20"/>
                <w:szCs w:val="20"/>
              </w:rPr>
            </w:pPr>
            <w:r>
              <w:rPr>
                <w:b/>
                <w:bCs/>
                <w:sz w:val="20"/>
                <w:szCs w:val="20"/>
              </w:rPr>
              <w:t>Tel: +86 10 8920 2086</w:t>
            </w:r>
          </w:p>
        </w:tc>
        <w:tc>
          <w:tcPr>
            <w:tcW w:w="1650" w:type="pct"/>
            <w:tcMar>
              <w:top w:w="0" w:type="dxa"/>
              <w:left w:w="72" w:type="dxa"/>
              <w:bottom w:w="0" w:type="dxa"/>
              <w:right w:w="72" w:type="dxa"/>
            </w:tcMar>
            <w:hideMark/>
          </w:tcPr>
          <w:p w14:paraId="7D846AE0" w14:textId="77777777" w:rsidR="00000000" w:rsidRDefault="002F725F">
            <w:pPr>
              <w:jc w:val="center"/>
              <w:rPr>
                <w:rFonts w:eastAsia="Times New Roman"/>
                <w:sz w:val="20"/>
                <w:szCs w:val="20"/>
              </w:rPr>
            </w:pPr>
            <w:r>
              <w:rPr>
                <w:rFonts w:eastAsia="Times New Roman"/>
                <w:sz w:val="20"/>
                <w:szCs w:val="20"/>
              </w:rPr>
              <w:t> </w:t>
            </w:r>
          </w:p>
        </w:tc>
        <w:tc>
          <w:tcPr>
            <w:tcW w:w="1650" w:type="pct"/>
            <w:tcMar>
              <w:top w:w="0" w:type="dxa"/>
              <w:left w:w="72" w:type="dxa"/>
              <w:bottom w:w="0" w:type="dxa"/>
              <w:right w:w="72" w:type="dxa"/>
            </w:tcMar>
            <w:hideMark/>
          </w:tcPr>
          <w:p w14:paraId="5C0501E5" w14:textId="77777777" w:rsidR="00000000" w:rsidRDefault="002F725F">
            <w:pPr>
              <w:pStyle w:val="NormalWeb"/>
              <w:spacing w:before="0" w:beforeAutospacing="0" w:after="0" w:afterAutospacing="0"/>
              <w:ind w:left="200" w:hanging="200"/>
              <w:jc w:val="center"/>
              <w:rPr>
                <w:sz w:val="20"/>
                <w:szCs w:val="20"/>
              </w:rPr>
            </w:pPr>
            <w:r>
              <w:rPr>
                <w:b/>
                <w:bCs/>
                <w:sz w:val="20"/>
                <w:szCs w:val="20"/>
              </w:rPr>
              <w:t>Oceanpine Skyline Inc.</w:t>
            </w:r>
          </w:p>
          <w:p w14:paraId="47268508" w14:textId="77777777" w:rsidR="00000000" w:rsidRDefault="002F725F">
            <w:pPr>
              <w:pStyle w:val="NormalWeb"/>
              <w:spacing w:before="0" w:beforeAutospacing="0" w:after="0" w:afterAutospacing="0"/>
              <w:ind w:left="200" w:hanging="200"/>
              <w:jc w:val="center"/>
              <w:rPr>
                <w:sz w:val="20"/>
                <w:szCs w:val="20"/>
              </w:rPr>
            </w:pPr>
            <w:r>
              <w:rPr>
                <w:b/>
                <w:bCs/>
                <w:sz w:val="20"/>
                <w:szCs w:val="20"/>
              </w:rPr>
              <w:t>21F, China Century Tower</w:t>
            </w:r>
          </w:p>
          <w:p w14:paraId="2BCA71C1" w14:textId="77777777" w:rsidR="00000000" w:rsidRDefault="002F725F">
            <w:pPr>
              <w:pStyle w:val="NormalWeb"/>
              <w:spacing w:before="0" w:beforeAutospacing="0" w:after="0" w:afterAutospacing="0"/>
              <w:ind w:left="200" w:hanging="200"/>
              <w:jc w:val="center"/>
              <w:rPr>
                <w:sz w:val="20"/>
                <w:szCs w:val="20"/>
              </w:rPr>
            </w:pPr>
            <w:r>
              <w:rPr>
                <w:b/>
                <w:bCs/>
                <w:sz w:val="20"/>
                <w:szCs w:val="20"/>
              </w:rPr>
              <w:t>No. 9 Xiaoyunli South St</w:t>
            </w:r>
          </w:p>
          <w:p w14:paraId="107AB788" w14:textId="77777777" w:rsidR="00000000" w:rsidRDefault="002F725F">
            <w:pPr>
              <w:pStyle w:val="NormalWeb"/>
              <w:spacing w:before="0" w:beforeAutospacing="0" w:after="0" w:afterAutospacing="0"/>
              <w:ind w:left="200" w:hanging="200"/>
              <w:jc w:val="center"/>
              <w:rPr>
                <w:sz w:val="20"/>
                <w:szCs w:val="20"/>
              </w:rPr>
            </w:pPr>
            <w:r>
              <w:rPr>
                <w:b/>
                <w:bCs/>
                <w:sz w:val="20"/>
                <w:szCs w:val="20"/>
              </w:rPr>
              <w:t>Beijing 100026</w:t>
            </w:r>
          </w:p>
          <w:p w14:paraId="4EDF9BA5" w14:textId="77777777" w:rsidR="00000000" w:rsidRDefault="002F725F">
            <w:pPr>
              <w:pStyle w:val="NormalWeb"/>
              <w:spacing w:before="0" w:beforeAutospacing="0" w:after="0" w:afterAutospacing="0"/>
              <w:ind w:left="200" w:hanging="200"/>
              <w:jc w:val="center"/>
              <w:rPr>
                <w:sz w:val="20"/>
                <w:szCs w:val="20"/>
              </w:rPr>
            </w:pPr>
            <w:r>
              <w:rPr>
                <w:b/>
                <w:bCs/>
                <w:sz w:val="20"/>
                <w:szCs w:val="20"/>
              </w:rPr>
              <w:t>People’s Republic of China</w:t>
            </w:r>
          </w:p>
          <w:p w14:paraId="7362EE77" w14:textId="77777777" w:rsidR="00000000" w:rsidRDefault="002F725F">
            <w:pPr>
              <w:pStyle w:val="NormalWeb"/>
              <w:spacing w:before="0" w:beforeAutospacing="0" w:after="0" w:afterAutospacing="0"/>
              <w:ind w:left="200" w:hanging="200"/>
              <w:jc w:val="center"/>
              <w:rPr>
                <w:sz w:val="20"/>
                <w:szCs w:val="20"/>
              </w:rPr>
            </w:pPr>
            <w:r>
              <w:rPr>
                <w:b/>
                <w:bCs/>
                <w:sz w:val="20"/>
                <w:szCs w:val="20"/>
              </w:rPr>
              <w:t>Tel: +86 10 6195 9000</w:t>
            </w:r>
          </w:p>
        </w:tc>
      </w:tr>
    </w:tbl>
    <w:p w14:paraId="3E06CB00" w14:textId="77777777" w:rsidR="00000000" w:rsidRDefault="002F725F">
      <w:pPr>
        <w:pStyle w:val="NormalWeb"/>
        <w:spacing w:before="0" w:beforeAutospacing="0" w:after="0" w:afterAutospacing="0"/>
        <w:jc w:val="center"/>
        <w:divId w:val="305475121"/>
        <w:rPr>
          <w:sz w:val="20"/>
          <w:szCs w:val="20"/>
        </w:rPr>
      </w:pPr>
      <w:r>
        <w:rPr>
          <w:i/>
          <w:iCs/>
          <w:sz w:val="20"/>
          <w:szCs w:val="20"/>
        </w:rPr>
        <w:t> </w:t>
      </w:r>
    </w:p>
    <w:p w14:paraId="25A688E2" w14:textId="77777777" w:rsidR="00000000" w:rsidRDefault="002F725F">
      <w:pPr>
        <w:pStyle w:val="NormalWeb"/>
        <w:spacing w:before="0" w:beforeAutospacing="0" w:after="0" w:afterAutospacing="0"/>
        <w:jc w:val="center"/>
        <w:divId w:val="305475121"/>
        <w:rPr>
          <w:sz w:val="20"/>
          <w:szCs w:val="20"/>
        </w:rPr>
      </w:pPr>
      <w:r>
        <w:rPr>
          <w:i/>
          <w:iCs/>
          <w:sz w:val="20"/>
          <w:szCs w:val="20"/>
        </w:rPr>
        <w:t>With copies to:</w:t>
      </w:r>
    </w:p>
    <w:p w14:paraId="00DDFD54" w14:textId="77777777" w:rsidR="00000000" w:rsidRDefault="002F725F">
      <w:pPr>
        <w:pStyle w:val="NormalWeb"/>
        <w:spacing w:before="0" w:beforeAutospacing="0" w:after="0" w:afterAutospacing="0"/>
        <w:jc w:val="center"/>
        <w:divId w:val="305475121"/>
        <w:rPr>
          <w:sz w:val="20"/>
          <w:szCs w:val="20"/>
        </w:rPr>
      </w:pPr>
      <w:r>
        <w:rPr>
          <w:i/>
          <w:iCs/>
          <w:sz w:val="20"/>
          <w:szCs w:val="20"/>
        </w:rPr>
        <w:t> </w:t>
      </w:r>
    </w:p>
    <w:tbl>
      <w:tblPr>
        <w:tblW w:w="5000" w:type="pct"/>
        <w:tblCellMar>
          <w:left w:w="0" w:type="dxa"/>
          <w:right w:w="0" w:type="dxa"/>
        </w:tblCellMar>
        <w:tblLook w:val="04A0" w:firstRow="1" w:lastRow="0" w:firstColumn="1" w:lastColumn="0" w:noHBand="0" w:noVBand="1"/>
      </w:tblPr>
      <w:tblGrid>
        <w:gridCol w:w="3182"/>
        <w:gridCol w:w="3089"/>
        <w:gridCol w:w="3089"/>
      </w:tblGrid>
      <w:tr w:rsidR="00000000" w14:paraId="70CB0D9C" w14:textId="77777777">
        <w:trPr>
          <w:divId w:val="305475121"/>
        </w:trPr>
        <w:tc>
          <w:tcPr>
            <w:tcW w:w="1700" w:type="pct"/>
            <w:tcMar>
              <w:top w:w="0" w:type="dxa"/>
              <w:left w:w="72" w:type="dxa"/>
              <w:bottom w:w="0" w:type="dxa"/>
              <w:right w:w="72" w:type="dxa"/>
            </w:tcMar>
            <w:hideMark/>
          </w:tcPr>
          <w:p w14:paraId="5F4C2DF8" w14:textId="77777777" w:rsidR="00000000" w:rsidRDefault="002F725F">
            <w:pPr>
              <w:pStyle w:val="NormalWeb"/>
              <w:spacing w:before="0" w:beforeAutospacing="0" w:after="0" w:afterAutospacing="0"/>
              <w:ind w:left="200" w:hanging="200"/>
              <w:jc w:val="center"/>
              <w:rPr>
                <w:sz w:val="20"/>
                <w:szCs w:val="20"/>
              </w:rPr>
            </w:pPr>
            <w:r>
              <w:rPr>
                <w:b/>
                <w:bCs/>
                <w:sz w:val="20"/>
                <w:szCs w:val="20"/>
              </w:rPr>
              <w:t>Qi Yue, Esq.</w:t>
            </w:r>
            <w:r>
              <w:rPr>
                <w:b/>
                <w:bCs/>
                <w:sz w:val="20"/>
                <w:szCs w:val="20"/>
              </w:rPr>
              <w:br/>
              <w:t>Gibson, Dunn &amp; Crutcher LLP</w:t>
            </w:r>
            <w:r>
              <w:rPr>
                <w:b/>
                <w:bCs/>
                <w:sz w:val="20"/>
                <w:szCs w:val="20"/>
              </w:rPr>
              <w:br/>
              <w:t>Unit 1301, Tower 1, China Central Place</w:t>
            </w:r>
            <w:r>
              <w:rPr>
                <w:b/>
                <w:bCs/>
                <w:sz w:val="20"/>
                <w:szCs w:val="20"/>
              </w:rPr>
              <w:br/>
              <w:t>No. 81 Jianguo Road</w:t>
            </w:r>
            <w:r>
              <w:rPr>
                <w:b/>
                <w:bCs/>
                <w:sz w:val="20"/>
                <w:szCs w:val="20"/>
              </w:rPr>
              <w:br/>
              <w:t>Chaoyang District</w:t>
            </w:r>
            <w:r>
              <w:rPr>
                <w:b/>
                <w:bCs/>
                <w:sz w:val="20"/>
                <w:szCs w:val="20"/>
              </w:rPr>
              <w:br/>
              <w:t>Beijing 100025</w:t>
            </w:r>
            <w:r>
              <w:rPr>
                <w:b/>
                <w:bCs/>
                <w:sz w:val="20"/>
                <w:szCs w:val="20"/>
              </w:rPr>
              <w:br/>
              <w:t>People’s Republic of China</w:t>
            </w:r>
            <w:r>
              <w:rPr>
                <w:b/>
                <w:bCs/>
                <w:sz w:val="20"/>
                <w:szCs w:val="20"/>
              </w:rPr>
              <w:br/>
              <w:t>+86 10 6502 8500</w:t>
            </w:r>
          </w:p>
        </w:tc>
        <w:tc>
          <w:tcPr>
            <w:tcW w:w="1650" w:type="pct"/>
            <w:tcMar>
              <w:top w:w="0" w:type="dxa"/>
              <w:left w:w="72" w:type="dxa"/>
              <w:bottom w:w="0" w:type="dxa"/>
              <w:right w:w="72" w:type="dxa"/>
            </w:tcMar>
            <w:hideMark/>
          </w:tcPr>
          <w:p w14:paraId="088C749D" w14:textId="77777777" w:rsidR="00000000" w:rsidRDefault="002F725F">
            <w:pPr>
              <w:jc w:val="center"/>
              <w:rPr>
                <w:rFonts w:eastAsia="Times New Roman"/>
                <w:sz w:val="20"/>
                <w:szCs w:val="20"/>
              </w:rPr>
            </w:pPr>
            <w:r>
              <w:rPr>
                <w:rFonts w:eastAsia="Times New Roman"/>
                <w:sz w:val="20"/>
                <w:szCs w:val="20"/>
              </w:rPr>
              <w:t> </w:t>
            </w:r>
          </w:p>
        </w:tc>
        <w:tc>
          <w:tcPr>
            <w:tcW w:w="1650" w:type="pct"/>
            <w:tcMar>
              <w:top w:w="0" w:type="dxa"/>
              <w:left w:w="72" w:type="dxa"/>
              <w:bottom w:w="0" w:type="dxa"/>
              <w:right w:w="72" w:type="dxa"/>
            </w:tcMar>
            <w:hideMark/>
          </w:tcPr>
          <w:p w14:paraId="0F627119" w14:textId="77777777" w:rsidR="00000000" w:rsidRDefault="002F725F">
            <w:pPr>
              <w:pStyle w:val="NormalWeb"/>
              <w:spacing w:before="0" w:beforeAutospacing="0" w:after="0" w:afterAutospacing="0"/>
              <w:ind w:left="200" w:hanging="200"/>
              <w:jc w:val="center"/>
              <w:rPr>
                <w:sz w:val="20"/>
                <w:szCs w:val="20"/>
              </w:rPr>
            </w:pPr>
            <w:r>
              <w:rPr>
                <w:b/>
                <w:bCs/>
                <w:sz w:val="20"/>
                <w:szCs w:val="20"/>
              </w:rPr>
              <w:t>Alan Bao, Esq.</w:t>
            </w:r>
          </w:p>
          <w:p w14:paraId="4E997930" w14:textId="77777777" w:rsidR="00000000" w:rsidRDefault="002F725F">
            <w:pPr>
              <w:pStyle w:val="NormalWeb"/>
              <w:spacing w:before="0" w:beforeAutospacing="0" w:after="0" w:afterAutospacing="0"/>
              <w:ind w:left="200" w:hanging="200"/>
              <w:jc w:val="center"/>
              <w:rPr>
                <w:sz w:val="20"/>
                <w:szCs w:val="20"/>
              </w:rPr>
            </w:pPr>
            <w:r>
              <w:rPr>
                <w:b/>
                <w:bCs/>
                <w:sz w:val="20"/>
                <w:szCs w:val="20"/>
              </w:rPr>
              <w:t>White &amp; Case LLP</w:t>
            </w:r>
            <w:r>
              <w:rPr>
                <w:b/>
                <w:bCs/>
                <w:sz w:val="20"/>
                <w:szCs w:val="20"/>
              </w:rPr>
              <w:br/>
            </w:r>
            <w:r>
              <w:rPr>
                <w:b/>
                <w:bCs/>
                <w:sz w:val="20"/>
                <w:szCs w:val="20"/>
              </w:rPr>
              <w:t>19th Floor, Tower 1, China Central Place</w:t>
            </w:r>
            <w:r>
              <w:rPr>
                <w:b/>
                <w:bCs/>
                <w:sz w:val="20"/>
                <w:szCs w:val="20"/>
              </w:rPr>
              <w:br/>
              <w:t>No. 81 Jianguo Road</w:t>
            </w:r>
            <w:r>
              <w:rPr>
                <w:b/>
                <w:bCs/>
                <w:sz w:val="20"/>
                <w:szCs w:val="20"/>
              </w:rPr>
              <w:br/>
              <w:t>Chaoyang District</w:t>
            </w:r>
            <w:r>
              <w:rPr>
                <w:b/>
                <w:bCs/>
                <w:sz w:val="20"/>
                <w:szCs w:val="20"/>
              </w:rPr>
              <w:br/>
              <w:t>Beijing 100025</w:t>
            </w:r>
            <w:r>
              <w:rPr>
                <w:b/>
                <w:bCs/>
                <w:sz w:val="20"/>
                <w:szCs w:val="20"/>
              </w:rPr>
              <w:br/>
              <w:t>People’s Republic of China</w:t>
            </w:r>
            <w:r>
              <w:rPr>
                <w:b/>
                <w:bCs/>
                <w:sz w:val="20"/>
                <w:szCs w:val="20"/>
              </w:rPr>
              <w:br/>
              <w:t>+86 10 5912 9600</w:t>
            </w:r>
          </w:p>
        </w:tc>
      </w:tr>
    </w:tbl>
    <w:p w14:paraId="38D61E72" w14:textId="77777777" w:rsidR="00000000" w:rsidRDefault="002F725F">
      <w:pPr>
        <w:pStyle w:val="NormalWeb"/>
        <w:spacing w:before="0" w:beforeAutospacing="0" w:after="0" w:afterAutospacing="0"/>
        <w:ind w:firstLine="720"/>
        <w:jc w:val="both"/>
        <w:divId w:val="305475121"/>
        <w:rPr>
          <w:sz w:val="14"/>
          <w:szCs w:val="14"/>
        </w:rPr>
      </w:pPr>
      <w:r>
        <w:rPr>
          <w:sz w:val="14"/>
          <w:szCs w:val="14"/>
        </w:rPr>
        <w:t> </w:t>
      </w:r>
    </w:p>
    <w:p w14:paraId="095AD029" w14:textId="77777777" w:rsidR="00000000" w:rsidRDefault="002F725F">
      <w:pPr>
        <w:divId w:val="696200976"/>
        <w:rPr>
          <w:rFonts w:eastAsia="Times New Roman"/>
          <w:sz w:val="2"/>
          <w:szCs w:val="2"/>
        </w:rPr>
      </w:pPr>
      <w:r>
        <w:rPr>
          <w:rFonts w:eastAsia="Times New Roman"/>
          <w:sz w:val="2"/>
          <w:szCs w:val="2"/>
        </w:rPr>
        <w:t> </w:t>
      </w:r>
    </w:p>
    <w:p w14:paraId="7BF07913"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5361D958" w14:textId="77777777" w:rsidR="00000000" w:rsidRDefault="002F725F">
      <w:pPr>
        <w:pStyle w:val="NormalWeb"/>
        <w:spacing w:before="0" w:beforeAutospacing="0" w:after="0" w:afterAutospacing="0"/>
        <w:ind w:left="-720" w:firstLine="720"/>
        <w:jc w:val="both"/>
        <w:divId w:val="305475121"/>
        <w:rPr>
          <w:sz w:val="20"/>
          <w:szCs w:val="20"/>
        </w:rPr>
      </w:pPr>
      <w:r>
        <w:rPr>
          <w:sz w:val="20"/>
          <w:szCs w:val="20"/>
        </w:rPr>
        <w:t>This statement is filed in connection with (check the appropriate box):</w:t>
      </w:r>
    </w:p>
    <w:p w14:paraId="6BDBE027"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360"/>
        <w:gridCol w:w="360"/>
        <w:gridCol w:w="8640"/>
      </w:tblGrid>
      <w:tr w:rsidR="00000000" w14:paraId="462C8335" w14:textId="77777777">
        <w:trPr>
          <w:divId w:val="305475121"/>
          <w:tblCellSpacing w:w="0" w:type="dxa"/>
        </w:trPr>
        <w:tc>
          <w:tcPr>
            <w:tcW w:w="360" w:type="dxa"/>
            <w:hideMark/>
          </w:tcPr>
          <w:p w14:paraId="6D333A8A" w14:textId="77777777" w:rsidR="00000000" w:rsidRDefault="002F725F">
            <w:pPr>
              <w:rPr>
                <w:rFonts w:eastAsia="Times New Roman"/>
                <w:sz w:val="20"/>
                <w:szCs w:val="20"/>
              </w:rPr>
            </w:pPr>
            <w:r>
              <w:rPr>
                <w:rFonts w:eastAsia="Times New Roman"/>
                <w:sz w:val="20"/>
                <w:szCs w:val="20"/>
              </w:rPr>
              <w:t>a</w:t>
            </w:r>
          </w:p>
        </w:tc>
        <w:tc>
          <w:tcPr>
            <w:tcW w:w="360" w:type="dxa"/>
            <w:hideMark/>
          </w:tcPr>
          <w:p w14:paraId="6159C26E" w14:textId="77777777" w:rsidR="00000000" w:rsidRDefault="002F725F">
            <w:pPr>
              <w:rPr>
                <w:rFonts w:eastAsia="Times New Roman"/>
                <w:sz w:val="20"/>
                <w:szCs w:val="20"/>
              </w:rPr>
            </w:pPr>
            <w:r>
              <w:rPr>
                <w:rFonts w:ascii="Segoe UI Symbol" w:eastAsia="Times New Roman" w:hAnsi="Segoe UI Symbol" w:cs="Segoe UI Symbol"/>
                <w:sz w:val="20"/>
                <w:szCs w:val="20"/>
              </w:rPr>
              <w:t>☐</w:t>
            </w:r>
          </w:p>
        </w:tc>
        <w:tc>
          <w:tcPr>
            <w:tcW w:w="0" w:type="auto"/>
            <w:hideMark/>
          </w:tcPr>
          <w:p w14:paraId="4B84F15E" w14:textId="77777777" w:rsidR="00000000" w:rsidRDefault="002F725F">
            <w:pPr>
              <w:jc w:val="both"/>
              <w:rPr>
                <w:rFonts w:eastAsia="Times New Roman"/>
                <w:sz w:val="20"/>
                <w:szCs w:val="20"/>
              </w:rPr>
            </w:pPr>
            <w:r>
              <w:rPr>
                <w:rFonts w:eastAsia="Times New Roman"/>
                <w:sz w:val="20"/>
                <w:szCs w:val="20"/>
              </w:rPr>
              <w:t xml:space="preserve">The </w:t>
            </w:r>
            <w:r>
              <w:rPr>
                <w:rFonts w:eastAsia="Times New Roman"/>
                <w:sz w:val="20"/>
                <w:szCs w:val="20"/>
              </w:rPr>
              <w:t>filing of solicitation materials or an information statement subject to Regulation 14A, Regulation 14-C or Rule 13e-3(c) under the Securities Exchange Act of 1934.</w:t>
            </w:r>
          </w:p>
        </w:tc>
      </w:tr>
    </w:tbl>
    <w:p w14:paraId="34B25CD9"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360"/>
        <w:gridCol w:w="8640"/>
      </w:tblGrid>
      <w:tr w:rsidR="00000000" w14:paraId="2A732877" w14:textId="77777777">
        <w:trPr>
          <w:divId w:val="305475121"/>
          <w:tblCellSpacing w:w="0" w:type="dxa"/>
        </w:trPr>
        <w:tc>
          <w:tcPr>
            <w:tcW w:w="360" w:type="dxa"/>
            <w:hideMark/>
          </w:tcPr>
          <w:p w14:paraId="39A0CD72" w14:textId="77777777" w:rsidR="00000000" w:rsidRDefault="002F725F">
            <w:pPr>
              <w:rPr>
                <w:rFonts w:eastAsia="Times New Roman"/>
                <w:sz w:val="20"/>
                <w:szCs w:val="20"/>
              </w:rPr>
            </w:pPr>
            <w:r>
              <w:rPr>
                <w:rFonts w:eastAsia="Times New Roman"/>
                <w:sz w:val="20"/>
                <w:szCs w:val="20"/>
              </w:rPr>
              <w:t>b</w:t>
            </w:r>
          </w:p>
        </w:tc>
        <w:tc>
          <w:tcPr>
            <w:tcW w:w="360" w:type="dxa"/>
            <w:hideMark/>
          </w:tcPr>
          <w:p w14:paraId="68F6555E" w14:textId="77777777" w:rsidR="00000000" w:rsidRDefault="002F725F">
            <w:pPr>
              <w:rPr>
                <w:rFonts w:eastAsia="Times New Roman"/>
                <w:sz w:val="20"/>
                <w:szCs w:val="20"/>
              </w:rPr>
            </w:pPr>
            <w:r>
              <w:rPr>
                <w:rFonts w:ascii="Segoe UI Symbol" w:eastAsia="Times New Roman" w:hAnsi="Segoe UI Symbol" w:cs="Segoe UI Symbol"/>
                <w:sz w:val="20"/>
                <w:szCs w:val="20"/>
              </w:rPr>
              <w:t>☐</w:t>
            </w:r>
          </w:p>
        </w:tc>
        <w:tc>
          <w:tcPr>
            <w:tcW w:w="0" w:type="auto"/>
            <w:hideMark/>
          </w:tcPr>
          <w:p w14:paraId="4D35F7E0" w14:textId="77777777" w:rsidR="00000000" w:rsidRDefault="002F725F">
            <w:pPr>
              <w:jc w:val="both"/>
              <w:rPr>
                <w:rFonts w:eastAsia="Times New Roman"/>
                <w:sz w:val="20"/>
                <w:szCs w:val="20"/>
              </w:rPr>
            </w:pPr>
            <w:r>
              <w:rPr>
                <w:rFonts w:eastAsia="Times New Roman"/>
                <w:sz w:val="20"/>
                <w:szCs w:val="20"/>
              </w:rPr>
              <w:t>The filing of a registration statement under the Securities Act of 1933.</w:t>
            </w:r>
          </w:p>
        </w:tc>
      </w:tr>
    </w:tbl>
    <w:p w14:paraId="1EE419C6"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360"/>
        <w:gridCol w:w="8640"/>
      </w:tblGrid>
      <w:tr w:rsidR="00000000" w14:paraId="2664911E" w14:textId="77777777">
        <w:trPr>
          <w:divId w:val="305475121"/>
          <w:tblCellSpacing w:w="0" w:type="dxa"/>
        </w:trPr>
        <w:tc>
          <w:tcPr>
            <w:tcW w:w="360" w:type="dxa"/>
            <w:hideMark/>
          </w:tcPr>
          <w:p w14:paraId="2FBD91C7" w14:textId="77777777" w:rsidR="00000000" w:rsidRDefault="002F725F">
            <w:pPr>
              <w:rPr>
                <w:rFonts w:eastAsia="Times New Roman"/>
                <w:sz w:val="20"/>
                <w:szCs w:val="20"/>
              </w:rPr>
            </w:pPr>
            <w:r>
              <w:rPr>
                <w:rFonts w:eastAsia="Times New Roman"/>
                <w:sz w:val="20"/>
                <w:szCs w:val="20"/>
              </w:rPr>
              <w:t>c</w:t>
            </w:r>
          </w:p>
        </w:tc>
        <w:tc>
          <w:tcPr>
            <w:tcW w:w="360" w:type="dxa"/>
            <w:hideMark/>
          </w:tcPr>
          <w:p w14:paraId="168E58C3" w14:textId="77777777" w:rsidR="00000000" w:rsidRDefault="002F725F">
            <w:pPr>
              <w:rPr>
                <w:rFonts w:eastAsia="Times New Roman"/>
                <w:sz w:val="20"/>
                <w:szCs w:val="20"/>
              </w:rPr>
            </w:pPr>
            <w:r>
              <w:rPr>
                <w:rFonts w:ascii="Segoe UI Symbol" w:eastAsia="Times New Roman" w:hAnsi="Segoe UI Symbol" w:cs="Segoe UI Symbol"/>
                <w:sz w:val="20"/>
                <w:szCs w:val="20"/>
              </w:rPr>
              <w:t>☐</w:t>
            </w:r>
          </w:p>
        </w:tc>
        <w:tc>
          <w:tcPr>
            <w:tcW w:w="0" w:type="auto"/>
            <w:hideMark/>
          </w:tcPr>
          <w:p w14:paraId="6DEFDFAB" w14:textId="77777777" w:rsidR="00000000" w:rsidRDefault="002F725F">
            <w:pPr>
              <w:jc w:val="both"/>
              <w:rPr>
                <w:rFonts w:eastAsia="Times New Roman"/>
                <w:sz w:val="20"/>
                <w:szCs w:val="20"/>
              </w:rPr>
            </w:pPr>
            <w:r>
              <w:rPr>
                <w:rFonts w:eastAsia="Times New Roman"/>
                <w:sz w:val="20"/>
                <w:szCs w:val="20"/>
              </w:rPr>
              <w:t>A ten</w:t>
            </w:r>
            <w:r>
              <w:rPr>
                <w:rFonts w:eastAsia="Times New Roman"/>
                <w:sz w:val="20"/>
                <w:szCs w:val="20"/>
              </w:rPr>
              <w:t>der offer</w:t>
            </w:r>
          </w:p>
        </w:tc>
      </w:tr>
    </w:tbl>
    <w:p w14:paraId="7B1FF83F"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360"/>
        <w:gridCol w:w="8640"/>
      </w:tblGrid>
      <w:tr w:rsidR="00000000" w14:paraId="095D6E5D" w14:textId="77777777">
        <w:trPr>
          <w:divId w:val="305475121"/>
          <w:tblCellSpacing w:w="0" w:type="dxa"/>
        </w:trPr>
        <w:tc>
          <w:tcPr>
            <w:tcW w:w="360" w:type="dxa"/>
            <w:hideMark/>
          </w:tcPr>
          <w:p w14:paraId="14838C9D" w14:textId="77777777" w:rsidR="00000000" w:rsidRDefault="002F725F">
            <w:pPr>
              <w:rPr>
                <w:rFonts w:eastAsia="Times New Roman"/>
                <w:sz w:val="20"/>
                <w:szCs w:val="20"/>
              </w:rPr>
            </w:pPr>
            <w:r>
              <w:rPr>
                <w:rFonts w:eastAsia="Times New Roman"/>
                <w:sz w:val="20"/>
                <w:szCs w:val="20"/>
              </w:rPr>
              <w:t>d</w:t>
            </w:r>
          </w:p>
        </w:tc>
        <w:tc>
          <w:tcPr>
            <w:tcW w:w="360" w:type="dxa"/>
            <w:hideMark/>
          </w:tcPr>
          <w:p w14:paraId="15B6231A" w14:textId="77777777" w:rsidR="00000000" w:rsidRDefault="002F725F">
            <w:pPr>
              <w:rPr>
                <w:rFonts w:eastAsia="Times New Roman"/>
                <w:sz w:val="20"/>
                <w:szCs w:val="20"/>
              </w:rPr>
            </w:pPr>
            <w:r>
              <w:rPr>
                <w:rFonts w:ascii="Segoe UI Symbol" w:eastAsia="Times New Roman" w:hAnsi="Segoe UI Symbol" w:cs="Segoe UI Symbol"/>
                <w:sz w:val="20"/>
                <w:szCs w:val="20"/>
              </w:rPr>
              <w:t>☒</w:t>
            </w:r>
          </w:p>
        </w:tc>
        <w:tc>
          <w:tcPr>
            <w:tcW w:w="0" w:type="auto"/>
            <w:hideMark/>
          </w:tcPr>
          <w:p w14:paraId="076D5B8A" w14:textId="77777777" w:rsidR="00000000" w:rsidRDefault="002F725F">
            <w:pPr>
              <w:jc w:val="both"/>
              <w:rPr>
                <w:rFonts w:eastAsia="Times New Roman"/>
                <w:sz w:val="20"/>
                <w:szCs w:val="20"/>
              </w:rPr>
            </w:pPr>
            <w:r>
              <w:rPr>
                <w:rFonts w:eastAsia="Times New Roman"/>
                <w:sz w:val="20"/>
                <w:szCs w:val="20"/>
              </w:rPr>
              <w:t>None of the above</w:t>
            </w:r>
          </w:p>
        </w:tc>
      </w:tr>
    </w:tbl>
    <w:p w14:paraId="605FA639"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5078BAA3" w14:textId="77777777" w:rsidR="00000000" w:rsidRDefault="002F725F">
      <w:pPr>
        <w:pStyle w:val="NormalWeb"/>
        <w:spacing w:before="0" w:beforeAutospacing="0" w:after="0" w:afterAutospacing="0"/>
        <w:jc w:val="both"/>
        <w:divId w:val="305475121"/>
        <w:rPr>
          <w:sz w:val="20"/>
          <w:szCs w:val="20"/>
        </w:rPr>
      </w:pPr>
      <w:r>
        <w:rPr>
          <w:sz w:val="20"/>
          <w:szCs w:val="20"/>
        </w:rPr>
        <w:t xml:space="preserve">Check the following box if the soliciting materials or information statement referred to in checking box (a) are preliminary copies: </w:t>
      </w:r>
      <w:r>
        <w:rPr>
          <w:rFonts w:ascii="Segoe UI Symbol" w:hAnsi="Segoe UI Symbol" w:cs="Segoe UI Symbol"/>
          <w:sz w:val="20"/>
          <w:szCs w:val="20"/>
        </w:rPr>
        <w:t>☐</w:t>
      </w:r>
    </w:p>
    <w:p w14:paraId="429CE890" w14:textId="77777777" w:rsidR="00000000" w:rsidRDefault="002F725F">
      <w:pPr>
        <w:pStyle w:val="NormalWeb"/>
        <w:spacing w:before="0" w:beforeAutospacing="0" w:after="0" w:afterAutospacing="0"/>
        <w:divId w:val="305475121"/>
        <w:rPr>
          <w:sz w:val="14"/>
          <w:szCs w:val="14"/>
        </w:rPr>
      </w:pPr>
      <w:r>
        <w:rPr>
          <w:sz w:val="14"/>
          <w:szCs w:val="14"/>
        </w:rPr>
        <w:t> </w:t>
      </w:r>
    </w:p>
    <w:p w14:paraId="1892C4FD" w14:textId="77777777" w:rsidR="00000000" w:rsidRDefault="002F725F">
      <w:pPr>
        <w:pStyle w:val="NormalWeb"/>
        <w:spacing w:before="0" w:beforeAutospacing="0" w:after="0" w:afterAutospacing="0"/>
        <w:jc w:val="both"/>
        <w:divId w:val="305475121"/>
        <w:rPr>
          <w:sz w:val="20"/>
          <w:szCs w:val="20"/>
        </w:rPr>
      </w:pPr>
      <w:r>
        <w:rPr>
          <w:sz w:val="20"/>
          <w:szCs w:val="20"/>
        </w:rPr>
        <w:t xml:space="preserve">Check </w:t>
      </w:r>
      <w:r>
        <w:rPr>
          <w:sz w:val="20"/>
          <w:szCs w:val="20"/>
        </w:rPr>
        <w:t xml:space="preserve">the following box if the filing is a final amendment reporting the results of the transaction: </w:t>
      </w:r>
      <w:r>
        <w:rPr>
          <w:rFonts w:ascii="Segoe UI Symbol" w:hAnsi="Segoe UI Symbol" w:cs="Segoe UI Symbol"/>
          <w:sz w:val="20"/>
          <w:szCs w:val="20"/>
        </w:rPr>
        <w:t>☐</w:t>
      </w:r>
      <w:r>
        <w:rPr>
          <w:sz w:val="20"/>
          <w:szCs w:val="20"/>
        </w:rPr>
        <w:t> </w:t>
      </w:r>
    </w:p>
    <w:p w14:paraId="519BEE3C" w14:textId="77777777" w:rsidR="00000000" w:rsidRDefault="002F725F">
      <w:pPr>
        <w:pStyle w:val="NormalWeb"/>
        <w:spacing w:before="0" w:beforeAutospacing="0" w:after="0" w:afterAutospacing="0"/>
        <w:divId w:val="305475121"/>
        <w:rPr>
          <w:sz w:val="20"/>
          <w:szCs w:val="20"/>
        </w:rPr>
      </w:pPr>
      <w:r>
        <w:rPr>
          <w:b/>
          <w:bCs/>
          <w:sz w:val="20"/>
          <w:szCs w:val="20"/>
        </w:rPr>
        <w:t> </w:t>
      </w:r>
    </w:p>
    <w:p w14:paraId="660F42D8" w14:textId="77777777" w:rsidR="00000000" w:rsidRDefault="002F725F">
      <w:pPr>
        <w:divId w:val="744376315"/>
        <w:rPr>
          <w:rFonts w:eastAsia="Times New Roman"/>
          <w:sz w:val="2"/>
          <w:szCs w:val="2"/>
        </w:rPr>
      </w:pPr>
      <w:r>
        <w:rPr>
          <w:rFonts w:eastAsia="Times New Roman"/>
          <w:sz w:val="2"/>
          <w:szCs w:val="2"/>
        </w:rPr>
        <w:t> </w:t>
      </w:r>
    </w:p>
    <w:p w14:paraId="72844A82" w14:textId="77777777" w:rsidR="00000000" w:rsidRDefault="002F725F">
      <w:pPr>
        <w:pStyle w:val="NormalWeb"/>
        <w:spacing w:before="0" w:beforeAutospacing="0" w:after="0" w:afterAutospacing="0"/>
        <w:jc w:val="both"/>
        <w:divId w:val="305475121"/>
        <w:rPr>
          <w:sz w:val="20"/>
          <w:szCs w:val="20"/>
        </w:rPr>
      </w:pPr>
      <w:r>
        <w:rPr>
          <w:b/>
          <w:bCs/>
          <w:sz w:val="20"/>
          <w:szCs w:val="20"/>
        </w:rPr>
        <w:t>Neither the Securities and Exchange Commission nor any state securities commission has approved or disapproved of this transaction, passed upon the merits</w:t>
      </w:r>
      <w:r>
        <w:rPr>
          <w:b/>
          <w:bCs/>
          <w:sz w:val="20"/>
          <w:szCs w:val="20"/>
        </w:rPr>
        <w:t xml:space="preserve"> or fairness of this transaction, or passed upon the adequacy or accuracy of the disclosure in this transaction statement on schedule 13e-3. Any representation to the contrary is a criminal offense.</w:t>
      </w:r>
    </w:p>
    <w:p w14:paraId="582B4899" w14:textId="77777777" w:rsidR="00000000" w:rsidRDefault="002F725F">
      <w:pPr>
        <w:pStyle w:val="NormalWeb"/>
        <w:spacing w:before="0" w:beforeAutospacing="0" w:after="0" w:afterAutospacing="0"/>
        <w:divId w:val="305475121"/>
        <w:rPr>
          <w:sz w:val="20"/>
          <w:szCs w:val="20"/>
        </w:rPr>
      </w:pPr>
      <w:r>
        <w:rPr>
          <w:sz w:val="20"/>
          <w:szCs w:val="20"/>
        </w:rPr>
        <w:t> </w:t>
      </w:r>
    </w:p>
    <w:p w14:paraId="0F8CFAAA" w14:textId="77777777" w:rsidR="00000000" w:rsidRDefault="002F725F">
      <w:pPr>
        <w:divId w:val="183634539"/>
        <w:rPr>
          <w:rFonts w:eastAsia="Times New Roman"/>
          <w:sz w:val="2"/>
          <w:szCs w:val="2"/>
        </w:rPr>
      </w:pPr>
      <w:r>
        <w:rPr>
          <w:rFonts w:eastAsia="Times New Roman"/>
          <w:sz w:val="2"/>
          <w:szCs w:val="2"/>
        </w:rPr>
        <w:t> </w:t>
      </w:r>
    </w:p>
    <w:p w14:paraId="2E790082" w14:textId="77777777" w:rsidR="00000000" w:rsidRDefault="002F725F">
      <w:pPr>
        <w:pStyle w:val="NormalWeb"/>
        <w:spacing w:before="0" w:beforeAutospacing="0" w:after="0" w:afterAutospacing="0"/>
        <w:divId w:val="305475121"/>
        <w:rPr>
          <w:sz w:val="20"/>
          <w:szCs w:val="20"/>
        </w:rPr>
      </w:pPr>
      <w:r>
        <w:rPr>
          <w:sz w:val="20"/>
          <w:szCs w:val="20"/>
        </w:rPr>
        <w:t> </w:t>
      </w:r>
    </w:p>
    <w:p w14:paraId="73155044" w14:textId="77777777" w:rsidR="00000000" w:rsidRDefault="002F725F">
      <w:pPr>
        <w:pStyle w:val="NormalWeb"/>
        <w:spacing w:before="0" w:beforeAutospacing="0" w:after="0" w:afterAutospacing="0"/>
        <w:jc w:val="center"/>
        <w:divId w:val="1963878328"/>
        <w:rPr>
          <w:sz w:val="20"/>
          <w:szCs w:val="20"/>
        </w:rPr>
      </w:pPr>
      <w:r>
        <w:rPr>
          <w:sz w:val="20"/>
          <w:szCs w:val="20"/>
        </w:rPr>
        <w:t> </w:t>
      </w:r>
    </w:p>
    <w:p w14:paraId="13B54721" w14:textId="77777777" w:rsidR="00000000" w:rsidRDefault="002F725F">
      <w:pPr>
        <w:pStyle w:val="NormalWeb"/>
        <w:spacing w:before="0" w:beforeAutospacing="0" w:after="0" w:afterAutospacing="0"/>
        <w:divId w:val="520052732"/>
        <w:rPr>
          <w:sz w:val="20"/>
          <w:szCs w:val="20"/>
        </w:rPr>
      </w:pPr>
      <w:r>
        <w:rPr>
          <w:sz w:val="20"/>
          <w:szCs w:val="20"/>
        </w:rPr>
        <w:t> </w:t>
      </w:r>
    </w:p>
    <w:p w14:paraId="2C766B5F" w14:textId="77777777" w:rsidR="00000000" w:rsidRDefault="002F725F">
      <w:pPr>
        <w:pStyle w:val="NormalWeb"/>
        <w:spacing w:before="0" w:beforeAutospacing="0" w:after="0" w:afterAutospacing="0"/>
        <w:divId w:val="305475121"/>
        <w:rPr>
          <w:sz w:val="20"/>
          <w:szCs w:val="20"/>
        </w:rPr>
      </w:pPr>
      <w:r>
        <w:rPr>
          <w:sz w:val="20"/>
          <w:szCs w:val="20"/>
        </w:rPr>
        <w:t> </w:t>
      </w:r>
    </w:p>
    <w:p w14:paraId="5601DFB2" w14:textId="77777777" w:rsidR="00000000" w:rsidRDefault="002F725F">
      <w:pPr>
        <w:pStyle w:val="NormalWeb"/>
        <w:spacing w:before="0" w:beforeAutospacing="0" w:after="0" w:afterAutospacing="0"/>
        <w:jc w:val="center"/>
        <w:divId w:val="305475121"/>
        <w:rPr>
          <w:sz w:val="20"/>
          <w:szCs w:val="20"/>
        </w:rPr>
      </w:pPr>
      <w:r>
        <w:rPr>
          <w:b/>
          <w:bCs/>
          <w:sz w:val="20"/>
          <w:szCs w:val="20"/>
        </w:rPr>
        <w:t>TABLE OF CONTENTS</w:t>
      </w:r>
    </w:p>
    <w:p w14:paraId="20EF94BF" w14:textId="77777777" w:rsidR="00000000" w:rsidRDefault="002F725F">
      <w:pPr>
        <w:pStyle w:val="NormalWeb"/>
        <w:spacing w:before="0" w:beforeAutospacing="0" w:after="0" w:afterAutospacing="0"/>
        <w:jc w:val="center"/>
        <w:divId w:val="305475121"/>
        <w:rPr>
          <w:sz w:val="20"/>
          <w:szCs w:val="20"/>
        </w:rPr>
      </w:pPr>
      <w:r>
        <w:rPr>
          <w:b/>
          <w:bCs/>
          <w:sz w:val="20"/>
          <w:szCs w:val="20"/>
        </w:rPr>
        <w:t> </w:t>
      </w:r>
    </w:p>
    <w:tbl>
      <w:tblPr>
        <w:tblW w:w="5000" w:type="pct"/>
        <w:tblCellMar>
          <w:left w:w="0" w:type="dxa"/>
          <w:right w:w="0" w:type="dxa"/>
        </w:tblCellMar>
        <w:tblLook w:val="04A0" w:firstRow="1" w:lastRow="0" w:firstColumn="1" w:lastColumn="0" w:noHBand="0" w:noVBand="1"/>
      </w:tblPr>
      <w:tblGrid>
        <w:gridCol w:w="843"/>
        <w:gridCol w:w="7675"/>
        <w:gridCol w:w="842"/>
      </w:tblGrid>
      <w:tr w:rsidR="00000000" w14:paraId="4F14A95D" w14:textId="77777777">
        <w:trPr>
          <w:divId w:val="305475121"/>
        </w:trPr>
        <w:tc>
          <w:tcPr>
            <w:tcW w:w="450" w:type="pct"/>
            <w:shd w:val="clear" w:color="auto" w:fill="CCEEFF"/>
            <w:tcMar>
              <w:top w:w="0" w:type="dxa"/>
              <w:left w:w="0" w:type="dxa"/>
              <w:bottom w:w="0" w:type="dxa"/>
              <w:right w:w="72" w:type="dxa"/>
            </w:tcMar>
            <w:hideMark/>
          </w:tcPr>
          <w:p w14:paraId="222A1823" w14:textId="77777777" w:rsidR="00000000" w:rsidRDefault="002F725F">
            <w:pPr>
              <w:rPr>
                <w:rFonts w:eastAsia="Times New Roman"/>
                <w:sz w:val="20"/>
                <w:szCs w:val="20"/>
              </w:rPr>
            </w:pPr>
            <w:r>
              <w:rPr>
                <w:rFonts w:eastAsia="Times New Roman"/>
                <w:sz w:val="20"/>
                <w:szCs w:val="20"/>
              </w:rPr>
              <w:t>Item 1</w:t>
            </w:r>
          </w:p>
        </w:tc>
        <w:tc>
          <w:tcPr>
            <w:tcW w:w="4100" w:type="pct"/>
            <w:shd w:val="clear" w:color="auto" w:fill="CCEEFF"/>
            <w:hideMark/>
          </w:tcPr>
          <w:p w14:paraId="43ECCBC2" w14:textId="77777777" w:rsidR="00000000" w:rsidRDefault="002F725F">
            <w:pPr>
              <w:rPr>
                <w:rFonts w:eastAsia="Times New Roman"/>
                <w:sz w:val="20"/>
                <w:szCs w:val="20"/>
              </w:rPr>
            </w:pPr>
            <w:hyperlink w:anchor="gfpea0289617-sc13e3a6_lake.htma_001" w:history="1">
              <w:r>
                <w:rPr>
                  <w:rStyle w:val="Hyperlink"/>
                  <w:rFonts w:eastAsia="Times New Roman"/>
                  <w:sz w:val="20"/>
                  <w:szCs w:val="20"/>
                </w:rPr>
                <w:t>Summary of Term Sheet</w:t>
              </w:r>
            </w:hyperlink>
          </w:p>
        </w:tc>
        <w:tc>
          <w:tcPr>
            <w:tcW w:w="450" w:type="pct"/>
            <w:shd w:val="clear" w:color="auto" w:fill="CCEEFF"/>
            <w:tcMar>
              <w:top w:w="0" w:type="dxa"/>
              <w:left w:w="72" w:type="dxa"/>
              <w:bottom w:w="0" w:type="dxa"/>
              <w:right w:w="72" w:type="dxa"/>
            </w:tcMar>
            <w:vAlign w:val="bottom"/>
            <w:hideMark/>
          </w:tcPr>
          <w:p w14:paraId="6E51B188" w14:textId="77777777" w:rsidR="00000000" w:rsidRDefault="002F725F">
            <w:pPr>
              <w:jc w:val="center"/>
              <w:rPr>
                <w:rFonts w:eastAsia="Times New Roman"/>
                <w:sz w:val="20"/>
                <w:szCs w:val="20"/>
              </w:rPr>
            </w:pPr>
            <w:r>
              <w:rPr>
                <w:rFonts w:eastAsia="Times New Roman"/>
                <w:sz w:val="20"/>
                <w:szCs w:val="20"/>
              </w:rPr>
              <w:t>3</w:t>
            </w:r>
          </w:p>
        </w:tc>
      </w:tr>
      <w:tr w:rsidR="00000000" w14:paraId="77490C6D" w14:textId="77777777">
        <w:trPr>
          <w:divId w:val="305475121"/>
        </w:trPr>
        <w:tc>
          <w:tcPr>
            <w:tcW w:w="0" w:type="auto"/>
            <w:shd w:val="clear" w:color="auto" w:fill="FFFFFF"/>
            <w:tcMar>
              <w:top w:w="0" w:type="dxa"/>
              <w:left w:w="200" w:type="dxa"/>
              <w:bottom w:w="0" w:type="dxa"/>
              <w:right w:w="72" w:type="dxa"/>
            </w:tcMar>
            <w:hideMark/>
          </w:tcPr>
          <w:p w14:paraId="66B23178" w14:textId="77777777" w:rsidR="00000000" w:rsidRDefault="002F725F">
            <w:pPr>
              <w:ind w:hanging="200"/>
              <w:rPr>
                <w:rFonts w:eastAsia="Times New Roman"/>
                <w:sz w:val="20"/>
                <w:szCs w:val="20"/>
              </w:rPr>
            </w:pPr>
            <w:r>
              <w:rPr>
                <w:rFonts w:eastAsia="Times New Roman"/>
                <w:sz w:val="20"/>
                <w:szCs w:val="20"/>
              </w:rPr>
              <w:t>Item 2</w:t>
            </w:r>
          </w:p>
        </w:tc>
        <w:tc>
          <w:tcPr>
            <w:tcW w:w="0" w:type="auto"/>
            <w:shd w:val="clear" w:color="auto" w:fill="FFFFFF"/>
            <w:hideMark/>
          </w:tcPr>
          <w:p w14:paraId="5D20BCE2" w14:textId="77777777" w:rsidR="00000000" w:rsidRDefault="002F725F">
            <w:pPr>
              <w:rPr>
                <w:rFonts w:eastAsia="Times New Roman"/>
                <w:sz w:val="20"/>
                <w:szCs w:val="20"/>
              </w:rPr>
            </w:pPr>
            <w:hyperlink w:anchor="gfpea0289617-sc13e3a6_lake.htma_002" w:history="1">
              <w:r>
                <w:rPr>
                  <w:rStyle w:val="Hyperlink"/>
                  <w:rFonts w:eastAsia="Times New Roman"/>
                  <w:sz w:val="20"/>
                  <w:szCs w:val="20"/>
                </w:rPr>
                <w:t>Subject Company Information</w:t>
              </w:r>
            </w:hyperlink>
          </w:p>
        </w:tc>
        <w:tc>
          <w:tcPr>
            <w:tcW w:w="0" w:type="auto"/>
            <w:shd w:val="clear" w:color="auto" w:fill="FFFFFF"/>
            <w:tcMar>
              <w:top w:w="0" w:type="dxa"/>
              <w:left w:w="72" w:type="dxa"/>
              <w:bottom w:w="0" w:type="dxa"/>
              <w:right w:w="72" w:type="dxa"/>
            </w:tcMar>
            <w:vAlign w:val="bottom"/>
            <w:hideMark/>
          </w:tcPr>
          <w:p w14:paraId="4BFB0058" w14:textId="77777777" w:rsidR="00000000" w:rsidRDefault="002F725F">
            <w:pPr>
              <w:jc w:val="center"/>
              <w:rPr>
                <w:rFonts w:eastAsia="Times New Roman"/>
                <w:sz w:val="20"/>
                <w:szCs w:val="20"/>
              </w:rPr>
            </w:pPr>
            <w:r>
              <w:rPr>
                <w:rFonts w:eastAsia="Times New Roman"/>
                <w:sz w:val="20"/>
                <w:szCs w:val="20"/>
              </w:rPr>
              <w:t>3</w:t>
            </w:r>
          </w:p>
        </w:tc>
      </w:tr>
      <w:tr w:rsidR="00000000" w14:paraId="458B7580" w14:textId="77777777">
        <w:trPr>
          <w:divId w:val="305475121"/>
        </w:trPr>
        <w:tc>
          <w:tcPr>
            <w:tcW w:w="0" w:type="auto"/>
            <w:shd w:val="clear" w:color="auto" w:fill="CCEEFF"/>
            <w:tcMar>
              <w:top w:w="0" w:type="dxa"/>
              <w:left w:w="200" w:type="dxa"/>
              <w:bottom w:w="0" w:type="dxa"/>
              <w:right w:w="72" w:type="dxa"/>
            </w:tcMar>
            <w:hideMark/>
          </w:tcPr>
          <w:p w14:paraId="486EB758" w14:textId="77777777" w:rsidR="00000000" w:rsidRDefault="002F725F">
            <w:pPr>
              <w:ind w:hanging="200"/>
              <w:rPr>
                <w:rFonts w:eastAsia="Times New Roman"/>
                <w:sz w:val="20"/>
                <w:szCs w:val="20"/>
              </w:rPr>
            </w:pPr>
            <w:r>
              <w:rPr>
                <w:rFonts w:eastAsia="Times New Roman"/>
                <w:sz w:val="20"/>
                <w:szCs w:val="20"/>
              </w:rPr>
              <w:t>Item 3</w:t>
            </w:r>
          </w:p>
        </w:tc>
        <w:tc>
          <w:tcPr>
            <w:tcW w:w="0" w:type="auto"/>
            <w:shd w:val="clear" w:color="auto" w:fill="CCEEFF"/>
            <w:hideMark/>
          </w:tcPr>
          <w:p w14:paraId="5A7C8DA6" w14:textId="77777777" w:rsidR="00000000" w:rsidRDefault="002F725F">
            <w:pPr>
              <w:rPr>
                <w:rFonts w:eastAsia="Times New Roman"/>
                <w:sz w:val="20"/>
                <w:szCs w:val="20"/>
              </w:rPr>
            </w:pPr>
            <w:hyperlink w:anchor="gfpea0289617-sc13e3a6_lake.htma_003" w:history="1">
              <w:r>
                <w:rPr>
                  <w:rStyle w:val="Hyperlink"/>
                  <w:rFonts w:eastAsia="Times New Roman"/>
                  <w:sz w:val="20"/>
                  <w:szCs w:val="20"/>
                </w:rPr>
                <w:t>Identity and Background of Filing Persons</w:t>
              </w:r>
            </w:hyperlink>
          </w:p>
        </w:tc>
        <w:tc>
          <w:tcPr>
            <w:tcW w:w="0" w:type="auto"/>
            <w:shd w:val="clear" w:color="auto" w:fill="CCEEFF"/>
            <w:tcMar>
              <w:top w:w="0" w:type="dxa"/>
              <w:left w:w="72" w:type="dxa"/>
              <w:bottom w:w="0" w:type="dxa"/>
              <w:right w:w="72" w:type="dxa"/>
            </w:tcMar>
            <w:vAlign w:val="bottom"/>
            <w:hideMark/>
          </w:tcPr>
          <w:p w14:paraId="7752FB9C" w14:textId="77777777" w:rsidR="00000000" w:rsidRDefault="002F725F">
            <w:pPr>
              <w:jc w:val="center"/>
              <w:rPr>
                <w:rFonts w:eastAsia="Times New Roman"/>
                <w:sz w:val="20"/>
                <w:szCs w:val="20"/>
              </w:rPr>
            </w:pPr>
            <w:r>
              <w:rPr>
                <w:rFonts w:eastAsia="Times New Roman"/>
                <w:sz w:val="20"/>
                <w:szCs w:val="20"/>
              </w:rPr>
              <w:t>4</w:t>
            </w:r>
          </w:p>
        </w:tc>
      </w:tr>
      <w:tr w:rsidR="00000000" w14:paraId="604C12E3" w14:textId="77777777">
        <w:trPr>
          <w:divId w:val="305475121"/>
        </w:trPr>
        <w:tc>
          <w:tcPr>
            <w:tcW w:w="0" w:type="auto"/>
            <w:shd w:val="clear" w:color="auto" w:fill="FFFFFF"/>
            <w:tcMar>
              <w:top w:w="0" w:type="dxa"/>
              <w:left w:w="200" w:type="dxa"/>
              <w:bottom w:w="0" w:type="dxa"/>
              <w:right w:w="72" w:type="dxa"/>
            </w:tcMar>
            <w:hideMark/>
          </w:tcPr>
          <w:p w14:paraId="122783A6" w14:textId="77777777" w:rsidR="00000000" w:rsidRDefault="002F725F">
            <w:pPr>
              <w:ind w:hanging="200"/>
              <w:rPr>
                <w:rFonts w:eastAsia="Times New Roman"/>
                <w:sz w:val="20"/>
                <w:szCs w:val="20"/>
              </w:rPr>
            </w:pPr>
            <w:r>
              <w:rPr>
                <w:rFonts w:eastAsia="Times New Roman"/>
                <w:sz w:val="20"/>
                <w:szCs w:val="20"/>
              </w:rPr>
              <w:t>Item 4</w:t>
            </w:r>
          </w:p>
        </w:tc>
        <w:tc>
          <w:tcPr>
            <w:tcW w:w="0" w:type="auto"/>
            <w:shd w:val="clear" w:color="auto" w:fill="FFFFFF"/>
            <w:hideMark/>
          </w:tcPr>
          <w:p w14:paraId="10F22A1C" w14:textId="77777777" w:rsidR="00000000" w:rsidRDefault="002F725F">
            <w:pPr>
              <w:rPr>
                <w:rFonts w:eastAsia="Times New Roman"/>
                <w:sz w:val="20"/>
                <w:szCs w:val="20"/>
              </w:rPr>
            </w:pPr>
            <w:hyperlink w:anchor="gfpea0289617-sc13e3a6_lake.htma_004" w:history="1">
              <w:r>
                <w:rPr>
                  <w:rStyle w:val="Hyperlink"/>
                  <w:rFonts w:eastAsia="Times New Roman"/>
                  <w:sz w:val="20"/>
                  <w:szCs w:val="20"/>
                </w:rPr>
                <w:t>Terms of the Transaction</w:t>
              </w:r>
            </w:hyperlink>
          </w:p>
        </w:tc>
        <w:tc>
          <w:tcPr>
            <w:tcW w:w="0" w:type="auto"/>
            <w:shd w:val="clear" w:color="auto" w:fill="FFFFFF"/>
            <w:tcMar>
              <w:top w:w="0" w:type="dxa"/>
              <w:left w:w="72" w:type="dxa"/>
              <w:bottom w:w="0" w:type="dxa"/>
              <w:right w:w="72" w:type="dxa"/>
            </w:tcMar>
            <w:vAlign w:val="bottom"/>
            <w:hideMark/>
          </w:tcPr>
          <w:p w14:paraId="35462D7E" w14:textId="77777777" w:rsidR="00000000" w:rsidRDefault="002F725F">
            <w:pPr>
              <w:jc w:val="center"/>
              <w:rPr>
                <w:rFonts w:eastAsia="Times New Roman"/>
                <w:sz w:val="20"/>
                <w:szCs w:val="20"/>
              </w:rPr>
            </w:pPr>
            <w:r>
              <w:rPr>
                <w:rFonts w:eastAsia="Times New Roman"/>
                <w:sz w:val="20"/>
                <w:szCs w:val="20"/>
              </w:rPr>
              <w:t>4</w:t>
            </w:r>
          </w:p>
        </w:tc>
      </w:tr>
      <w:tr w:rsidR="00000000" w14:paraId="5C68F463" w14:textId="77777777">
        <w:trPr>
          <w:divId w:val="305475121"/>
        </w:trPr>
        <w:tc>
          <w:tcPr>
            <w:tcW w:w="0" w:type="auto"/>
            <w:shd w:val="clear" w:color="auto" w:fill="CCEEFF"/>
            <w:tcMar>
              <w:top w:w="0" w:type="dxa"/>
              <w:left w:w="200" w:type="dxa"/>
              <w:bottom w:w="0" w:type="dxa"/>
              <w:right w:w="72" w:type="dxa"/>
            </w:tcMar>
            <w:hideMark/>
          </w:tcPr>
          <w:p w14:paraId="617D7FAE" w14:textId="77777777" w:rsidR="00000000" w:rsidRDefault="002F725F">
            <w:pPr>
              <w:ind w:hanging="200"/>
              <w:rPr>
                <w:rFonts w:eastAsia="Times New Roman"/>
                <w:sz w:val="20"/>
                <w:szCs w:val="20"/>
              </w:rPr>
            </w:pPr>
            <w:r>
              <w:rPr>
                <w:rFonts w:eastAsia="Times New Roman"/>
                <w:sz w:val="20"/>
                <w:szCs w:val="20"/>
              </w:rPr>
              <w:t>Item 5</w:t>
            </w:r>
          </w:p>
        </w:tc>
        <w:tc>
          <w:tcPr>
            <w:tcW w:w="0" w:type="auto"/>
            <w:shd w:val="clear" w:color="auto" w:fill="CCEEFF"/>
            <w:hideMark/>
          </w:tcPr>
          <w:p w14:paraId="269821A9" w14:textId="77777777" w:rsidR="00000000" w:rsidRDefault="002F725F">
            <w:pPr>
              <w:rPr>
                <w:rFonts w:eastAsia="Times New Roman"/>
                <w:sz w:val="20"/>
                <w:szCs w:val="20"/>
              </w:rPr>
            </w:pPr>
            <w:hyperlink w:anchor="gfpea0289617-sc13e3a6_lake.htma_005" w:history="1">
              <w:r>
                <w:rPr>
                  <w:rStyle w:val="Hyperlink"/>
                  <w:rFonts w:eastAsia="Times New Roman"/>
                  <w:sz w:val="20"/>
                  <w:szCs w:val="20"/>
                </w:rPr>
                <w:t>Past Contracts, Transactions, Negotiations and Agreements</w:t>
              </w:r>
            </w:hyperlink>
          </w:p>
        </w:tc>
        <w:tc>
          <w:tcPr>
            <w:tcW w:w="0" w:type="auto"/>
            <w:shd w:val="clear" w:color="auto" w:fill="CCEEFF"/>
            <w:tcMar>
              <w:top w:w="0" w:type="dxa"/>
              <w:left w:w="72" w:type="dxa"/>
              <w:bottom w:w="0" w:type="dxa"/>
              <w:right w:w="72" w:type="dxa"/>
            </w:tcMar>
            <w:vAlign w:val="bottom"/>
            <w:hideMark/>
          </w:tcPr>
          <w:p w14:paraId="35501601" w14:textId="77777777" w:rsidR="00000000" w:rsidRDefault="002F725F">
            <w:pPr>
              <w:jc w:val="center"/>
              <w:rPr>
                <w:rFonts w:eastAsia="Times New Roman"/>
                <w:sz w:val="20"/>
                <w:szCs w:val="20"/>
              </w:rPr>
            </w:pPr>
            <w:r>
              <w:rPr>
                <w:rFonts w:eastAsia="Times New Roman"/>
                <w:sz w:val="20"/>
                <w:szCs w:val="20"/>
              </w:rPr>
              <w:t>6</w:t>
            </w:r>
          </w:p>
        </w:tc>
      </w:tr>
      <w:tr w:rsidR="00000000" w14:paraId="2C848DD0" w14:textId="77777777">
        <w:trPr>
          <w:divId w:val="305475121"/>
        </w:trPr>
        <w:tc>
          <w:tcPr>
            <w:tcW w:w="0" w:type="auto"/>
            <w:shd w:val="clear" w:color="auto" w:fill="FFFFFF"/>
            <w:tcMar>
              <w:top w:w="0" w:type="dxa"/>
              <w:left w:w="200" w:type="dxa"/>
              <w:bottom w:w="0" w:type="dxa"/>
              <w:right w:w="72" w:type="dxa"/>
            </w:tcMar>
            <w:hideMark/>
          </w:tcPr>
          <w:p w14:paraId="41745381" w14:textId="77777777" w:rsidR="00000000" w:rsidRDefault="002F725F">
            <w:pPr>
              <w:ind w:hanging="200"/>
              <w:rPr>
                <w:rFonts w:eastAsia="Times New Roman"/>
                <w:sz w:val="20"/>
                <w:szCs w:val="20"/>
              </w:rPr>
            </w:pPr>
            <w:r>
              <w:rPr>
                <w:rFonts w:eastAsia="Times New Roman"/>
                <w:sz w:val="20"/>
                <w:szCs w:val="20"/>
              </w:rPr>
              <w:t>Item 6</w:t>
            </w:r>
          </w:p>
        </w:tc>
        <w:tc>
          <w:tcPr>
            <w:tcW w:w="0" w:type="auto"/>
            <w:shd w:val="clear" w:color="auto" w:fill="FFFFFF"/>
            <w:hideMark/>
          </w:tcPr>
          <w:p w14:paraId="26B45807" w14:textId="77777777" w:rsidR="00000000" w:rsidRDefault="002F725F">
            <w:pPr>
              <w:rPr>
                <w:rFonts w:eastAsia="Times New Roman"/>
                <w:sz w:val="20"/>
                <w:szCs w:val="20"/>
              </w:rPr>
            </w:pPr>
            <w:hyperlink w:anchor="gfpea0289617-sc13e3a6_lake.htma_006" w:history="1">
              <w:r>
                <w:rPr>
                  <w:rStyle w:val="Hyperlink"/>
                  <w:rFonts w:eastAsia="Times New Roman"/>
                  <w:sz w:val="20"/>
                  <w:szCs w:val="20"/>
                </w:rPr>
                <w:t>Purposes of the Transaction and Plans or Proposals</w:t>
              </w:r>
            </w:hyperlink>
          </w:p>
        </w:tc>
        <w:tc>
          <w:tcPr>
            <w:tcW w:w="0" w:type="auto"/>
            <w:shd w:val="clear" w:color="auto" w:fill="FFFFFF"/>
            <w:tcMar>
              <w:top w:w="0" w:type="dxa"/>
              <w:left w:w="72" w:type="dxa"/>
              <w:bottom w:w="0" w:type="dxa"/>
              <w:right w:w="72" w:type="dxa"/>
            </w:tcMar>
            <w:vAlign w:val="bottom"/>
            <w:hideMark/>
          </w:tcPr>
          <w:p w14:paraId="6FA1C80D" w14:textId="77777777" w:rsidR="00000000" w:rsidRDefault="002F725F">
            <w:pPr>
              <w:jc w:val="center"/>
              <w:rPr>
                <w:rFonts w:eastAsia="Times New Roman"/>
                <w:sz w:val="20"/>
                <w:szCs w:val="20"/>
              </w:rPr>
            </w:pPr>
            <w:r>
              <w:rPr>
                <w:rFonts w:eastAsia="Times New Roman"/>
                <w:sz w:val="20"/>
                <w:szCs w:val="20"/>
              </w:rPr>
              <w:t>7</w:t>
            </w:r>
          </w:p>
        </w:tc>
      </w:tr>
      <w:tr w:rsidR="00000000" w14:paraId="571EAB5A" w14:textId="77777777">
        <w:trPr>
          <w:divId w:val="305475121"/>
        </w:trPr>
        <w:tc>
          <w:tcPr>
            <w:tcW w:w="0" w:type="auto"/>
            <w:shd w:val="clear" w:color="auto" w:fill="CCEEFF"/>
            <w:tcMar>
              <w:top w:w="0" w:type="dxa"/>
              <w:left w:w="200" w:type="dxa"/>
              <w:bottom w:w="0" w:type="dxa"/>
              <w:right w:w="72" w:type="dxa"/>
            </w:tcMar>
            <w:hideMark/>
          </w:tcPr>
          <w:p w14:paraId="74413E66" w14:textId="77777777" w:rsidR="00000000" w:rsidRDefault="002F725F">
            <w:pPr>
              <w:ind w:hanging="200"/>
              <w:rPr>
                <w:rFonts w:eastAsia="Times New Roman"/>
                <w:sz w:val="20"/>
                <w:szCs w:val="20"/>
              </w:rPr>
            </w:pPr>
            <w:r>
              <w:rPr>
                <w:rFonts w:eastAsia="Times New Roman"/>
                <w:sz w:val="20"/>
                <w:szCs w:val="20"/>
              </w:rPr>
              <w:t>Item 7</w:t>
            </w:r>
          </w:p>
        </w:tc>
        <w:tc>
          <w:tcPr>
            <w:tcW w:w="0" w:type="auto"/>
            <w:shd w:val="clear" w:color="auto" w:fill="CCEEFF"/>
            <w:hideMark/>
          </w:tcPr>
          <w:p w14:paraId="0603C718" w14:textId="77777777" w:rsidR="00000000" w:rsidRDefault="002F725F">
            <w:pPr>
              <w:rPr>
                <w:rFonts w:eastAsia="Times New Roman"/>
                <w:sz w:val="20"/>
                <w:szCs w:val="20"/>
              </w:rPr>
            </w:pPr>
            <w:hyperlink w:anchor="gfpea0289617-sc13e3a6_lake.htma_007" w:history="1">
              <w:r>
                <w:rPr>
                  <w:rStyle w:val="Hyperlink"/>
                  <w:rFonts w:eastAsia="Times New Roman"/>
                  <w:sz w:val="20"/>
                  <w:szCs w:val="20"/>
                </w:rPr>
                <w:t>Purposes, Alternatives, Reasons and Effects</w:t>
              </w:r>
            </w:hyperlink>
          </w:p>
        </w:tc>
        <w:tc>
          <w:tcPr>
            <w:tcW w:w="0" w:type="auto"/>
            <w:shd w:val="clear" w:color="auto" w:fill="CCEEFF"/>
            <w:tcMar>
              <w:top w:w="0" w:type="dxa"/>
              <w:left w:w="72" w:type="dxa"/>
              <w:bottom w:w="0" w:type="dxa"/>
              <w:right w:w="72" w:type="dxa"/>
            </w:tcMar>
            <w:vAlign w:val="bottom"/>
            <w:hideMark/>
          </w:tcPr>
          <w:p w14:paraId="59F996E5" w14:textId="77777777" w:rsidR="00000000" w:rsidRDefault="002F725F">
            <w:pPr>
              <w:jc w:val="center"/>
              <w:rPr>
                <w:rFonts w:eastAsia="Times New Roman"/>
                <w:sz w:val="20"/>
                <w:szCs w:val="20"/>
              </w:rPr>
            </w:pPr>
            <w:r>
              <w:rPr>
                <w:rFonts w:eastAsia="Times New Roman"/>
                <w:sz w:val="20"/>
                <w:szCs w:val="20"/>
              </w:rPr>
              <w:t>8</w:t>
            </w:r>
          </w:p>
        </w:tc>
      </w:tr>
      <w:tr w:rsidR="00000000" w14:paraId="48D89ABE" w14:textId="77777777">
        <w:trPr>
          <w:divId w:val="305475121"/>
        </w:trPr>
        <w:tc>
          <w:tcPr>
            <w:tcW w:w="0" w:type="auto"/>
            <w:shd w:val="clear" w:color="auto" w:fill="FFFFFF"/>
            <w:tcMar>
              <w:top w:w="0" w:type="dxa"/>
              <w:left w:w="200" w:type="dxa"/>
              <w:bottom w:w="0" w:type="dxa"/>
              <w:right w:w="72" w:type="dxa"/>
            </w:tcMar>
            <w:hideMark/>
          </w:tcPr>
          <w:p w14:paraId="4EA08592" w14:textId="77777777" w:rsidR="00000000" w:rsidRDefault="002F725F">
            <w:pPr>
              <w:ind w:hanging="200"/>
              <w:rPr>
                <w:rFonts w:eastAsia="Times New Roman"/>
                <w:sz w:val="20"/>
                <w:szCs w:val="20"/>
              </w:rPr>
            </w:pPr>
            <w:r>
              <w:rPr>
                <w:rFonts w:eastAsia="Times New Roman"/>
                <w:sz w:val="20"/>
                <w:szCs w:val="20"/>
              </w:rPr>
              <w:t>Item 8</w:t>
            </w:r>
          </w:p>
        </w:tc>
        <w:tc>
          <w:tcPr>
            <w:tcW w:w="0" w:type="auto"/>
            <w:shd w:val="clear" w:color="auto" w:fill="FFFFFF"/>
            <w:hideMark/>
          </w:tcPr>
          <w:p w14:paraId="7F30FEC3" w14:textId="77777777" w:rsidR="00000000" w:rsidRDefault="002F725F">
            <w:pPr>
              <w:rPr>
                <w:rFonts w:eastAsia="Times New Roman"/>
                <w:sz w:val="20"/>
                <w:szCs w:val="20"/>
              </w:rPr>
            </w:pPr>
            <w:hyperlink w:anchor="gfpea0289617-sc13e3a6_lake.htma_008" w:history="1">
              <w:r>
                <w:rPr>
                  <w:rStyle w:val="Hyperlink"/>
                  <w:rFonts w:eastAsia="Times New Roman"/>
                  <w:sz w:val="20"/>
                  <w:szCs w:val="20"/>
                </w:rPr>
                <w:t>Fairness of the Transaction</w:t>
              </w:r>
            </w:hyperlink>
          </w:p>
        </w:tc>
        <w:tc>
          <w:tcPr>
            <w:tcW w:w="0" w:type="auto"/>
            <w:shd w:val="clear" w:color="auto" w:fill="FFFFFF"/>
            <w:tcMar>
              <w:top w:w="0" w:type="dxa"/>
              <w:left w:w="72" w:type="dxa"/>
              <w:bottom w:w="0" w:type="dxa"/>
              <w:right w:w="72" w:type="dxa"/>
            </w:tcMar>
            <w:vAlign w:val="bottom"/>
            <w:hideMark/>
          </w:tcPr>
          <w:p w14:paraId="15AA7F0C" w14:textId="77777777" w:rsidR="00000000" w:rsidRDefault="002F725F">
            <w:pPr>
              <w:jc w:val="center"/>
              <w:rPr>
                <w:rFonts w:eastAsia="Times New Roman"/>
                <w:sz w:val="20"/>
                <w:szCs w:val="20"/>
              </w:rPr>
            </w:pPr>
            <w:r>
              <w:rPr>
                <w:rFonts w:eastAsia="Times New Roman"/>
                <w:sz w:val="20"/>
                <w:szCs w:val="20"/>
              </w:rPr>
              <w:t>9</w:t>
            </w:r>
          </w:p>
        </w:tc>
      </w:tr>
      <w:tr w:rsidR="00000000" w14:paraId="4C9A7D8F" w14:textId="77777777">
        <w:trPr>
          <w:divId w:val="305475121"/>
        </w:trPr>
        <w:tc>
          <w:tcPr>
            <w:tcW w:w="0" w:type="auto"/>
            <w:shd w:val="clear" w:color="auto" w:fill="CCEEFF"/>
            <w:tcMar>
              <w:top w:w="0" w:type="dxa"/>
              <w:left w:w="200" w:type="dxa"/>
              <w:bottom w:w="0" w:type="dxa"/>
              <w:right w:w="72" w:type="dxa"/>
            </w:tcMar>
            <w:hideMark/>
          </w:tcPr>
          <w:p w14:paraId="38B54B62" w14:textId="77777777" w:rsidR="00000000" w:rsidRDefault="002F725F">
            <w:pPr>
              <w:ind w:hanging="200"/>
              <w:rPr>
                <w:rFonts w:eastAsia="Times New Roman"/>
                <w:sz w:val="20"/>
                <w:szCs w:val="20"/>
              </w:rPr>
            </w:pPr>
            <w:r>
              <w:rPr>
                <w:rFonts w:eastAsia="Times New Roman"/>
                <w:sz w:val="20"/>
                <w:szCs w:val="20"/>
              </w:rPr>
              <w:t>Item 9</w:t>
            </w:r>
          </w:p>
        </w:tc>
        <w:tc>
          <w:tcPr>
            <w:tcW w:w="0" w:type="auto"/>
            <w:shd w:val="clear" w:color="auto" w:fill="CCEEFF"/>
            <w:hideMark/>
          </w:tcPr>
          <w:p w14:paraId="1E19B8B5" w14:textId="77777777" w:rsidR="00000000" w:rsidRDefault="002F725F">
            <w:pPr>
              <w:rPr>
                <w:rFonts w:eastAsia="Times New Roman"/>
                <w:sz w:val="20"/>
                <w:szCs w:val="20"/>
              </w:rPr>
            </w:pPr>
            <w:hyperlink w:anchor="gfpea0289617-sc13e3a6_lake.htma_009" w:history="1">
              <w:r>
                <w:rPr>
                  <w:rStyle w:val="Hyperlink"/>
                  <w:rFonts w:eastAsia="Times New Roman"/>
                  <w:sz w:val="20"/>
                  <w:szCs w:val="20"/>
                </w:rPr>
                <w:t>Reports, Opinions, Appraisals and Negotiations</w:t>
              </w:r>
            </w:hyperlink>
          </w:p>
        </w:tc>
        <w:tc>
          <w:tcPr>
            <w:tcW w:w="0" w:type="auto"/>
            <w:shd w:val="clear" w:color="auto" w:fill="CCEEFF"/>
            <w:tcMar>
              <w:top w:w="0" w:type="dxa"/>
              <w:left w:w="72" w:type="dxa"/>
              <w:bottom w:w="0" w:type="dxa"/>
              <w:right w:w="72" w:type="dxa"/>
            </w:tcMar>
            <w:vAlign w:val="bottom"/>
            <w:hideMark/>
          </w:tcPr>
          <w:p w14:paraId="5BCFC3E1" w14:textId="77777777" w:rsidR="00000000" w:rsidRDefault="002F725F">
            <w:pPr>
              <w:jc w:val="center"/>
              <w:rPr>
                <w:rFonts w:eastAsia="Times New Roman"/>
                <w:sz w:val="20"/>
                <w:szCs w:val="20"/>
              </w:rPr>
            </w:pPr>
            <w:r>
              <w:rPr>
                <w:rFonts w:eastAsia="Times New Roman"/>
                <w:sz w:val="20"/>
                <w:szCs w:val="20"/>
              </w:rPr>
              <w:t>10</w:t>
            </w:r>
          </w:p>
        </w:tc>
      </w:tr>
      <w:tr w:rsidR="00000000" w14:paraId="46E2CAD9" w14:textId="77777777">
        <w:trPr>
          <w:divId w:val="305475121"/>
        </w:trPr>
        <w:tc>
          <w:tcPr>
            <w:tcW w:w="0" w:type="auto"/>
            <w:shd w:val="clear" w:color="auto" w:fill="FFFFFF"/>
            <w:tcMar>
              <w:top w:w="0" w:type="dxa"/>
              <w:left w:w="200" w:type="dxa"/>
              <w:bottom w:w="0" w:type="dxa"/>
              <w:right w:w="72" w:type="dxa"/>
            </w:tcMar>
            <w:hideMark/>
          </w:tcPr>
          <w:p w14:paraId="5DCFA33A" w14:textId="77777777" w:rsidR="00000000" w:rsidRDefault="002F725F">
            <w:pPr>
              <w:ind w:hanging="200"/>
              <w:rPr>
                <w:rFonts w:eastAsia="Times New Roman"/>
                <w:sz w:val="20"/>
                <w:szCs w:val="20"/>
              </w:rPr>
            </w:pPr>
            <w:r>
              <w:rPr>
                <w:rFonts w:eastAsia="Times New Roman"/>
                <w:sz w:val="20"/>
                <w:szCs w:val="20"/>
              </w:rPr>
              <w:t>Item 10</w:t>
            </w:r>
          </w:p>
        </w:tc>
        <w:tc>
          <w:tcPr>
            <w:tcW w:w="0" w:type="auto"/>
            <w:shd w:val="clear" w:color="auto" w:fill="FFFFFF"/>
            <w:hideMark/>
          </w:tcPr>
          <w:p w14:paraId="01B5BE77" w14:textId="77777777" w:rsidR="00000000" w:rsidRDefault="002F725F">
            <w:pPr>
              <w:rPr>
                <w:rFonts w:eastAsia="Times New Roman"/>
                <w:sz w:val="20"/>
                <w:szCs w:val="20"/>
              </w:rPr>
            </w:pPr>
            <w:hyperlink w:anchor="gfpea0289617-sc13e3a6_lake.htma_010" w:history="1">
              <w:r>
                <w:rPr>
                  <w:rStyle w:val="Hyperlink"/>
                  <w:rFonts w:eastAsia="Times New Roman"/>
                  <w:sz w:val="20"/>
                  <w:szCs w:val="20"/>
                </w:rPr>
                <w:t>Source and Amount of Funds or Other Consideration</w:t>
              </w:r>
            </w:hyperlink>
          </w:p>
        </w:tc>
        <w:tc>
          <w:tcPr>
            <w:tcW w:w="0" w:type="auto"/>
            <w:shd w:val="clear" w:color="auto" w:fill="FFFFFF"/>
            <w:tcMar>
              <w:top w:w="0" w:type="dxa"/>
              <w:left w:w="72" w:type="dxa"/>
              <w:bottom w:w="0" w:type="dxa"/>
              <w:right w:w="72" w:type="dxa"/>
            </w:tcMar>
            <w:vAlign w:val="bottom"/>
            <w:hideMark/>
          </w:tcPr>
          <w:p w14:paraId="34589F44" w14:textId="77777777" w:rsidR="00000000" w:rsidRDefault="002F725F">
            <w:pPr>
              <w:jc w:val="center"/>
              <w:rPr>
                <w:rFonts w:eastAsia="Times New Roman"/>
                <w:sz w:val="20"/>
                <w:szCs w:val="20"/>
              </w:rPr>
            </w:pPr>
            <w:r>
              <w:rPr>
                <w:rFonts w:eastAsia="Times New Roman"/>
                <w:sz w:val="20"/>
                <w:szCs w:val="20"/>
              </w:rPr>
              <w:t>11</w:t>
            </w:r>
          </w:p>
        </w:tc>
      </w:tr>
      <w:tr w:rsidR="00000000" w14:paraId="44F6EF25" w14:textId="77777777">
        <w:trPr>
          <w:divId w:val="305475121"/>
        </w:trPr>
        <w:tc>
          <w:tcPr>
            <w:tcW w:w="0" w:type="auto"/>
            <w:shd w:val="clear" w:color="auto" w:fill="CCEEFF"/>
            <w:tcMar>
              <w:top w:w="0" w:type="dxa"/>
              <w:left w:w="200" w:type="dxa"/>
              <w:bottom w:w="0" w:type="dxa"/>
              <w:right w:w="72" w:type="dxa"/>
            </w:tcMar>
            <w:hideMark/>
          </w:tcPr>
          <w:p w14:paraId="058CBAD5" w14:textId="77777777" w:rsidR="00000000" w:rsidRDefault="002F725F">
            <w:pPr>
              <w:ind w:hanging="200"/>
              <w:rPr>
                <w:rFonts w:eastAsia="Times New Roman"/>
                <w:sz w:val="20"/>
                <w:szCs w:val="20"/>
              </w:rPr>
            </w:pPr>
            <w:r>
              <w:rPr>
                <w:rFonts w:eastAsia="Times New Roman"/>
                <w:sz w:val="20"/>
                <w:szCs w:val="20"/>
              </w:rPr>
              <w:t>Item 11</w:t>
            </w:r>
          </w:p>
        </w:tc>
        <w:tc>
          <w:tcPr>
            <w:tcW w:w="0" w:type="auto"/>
            <w:shd w:val="clear" w:color="auto" w:fill="CCEEFF"/>
            <w:hideMark/>
          </w:tcPr>
          <w:p w14:paraId="02E8223F" w14:textId="77777777" w:rsidR="00000000" w:rsidRDefault="002F725F">
            <w:pPr>
              <w:rPr>
                <w:rFonts w:eastAsia="Times New Roman"/>
                <w:sz w:val="20"/>
                <w:szCs w:val="20"/>
              </w:rPr>
            </w:pPr>
            <w:hyperlink w:anchor="gfpea0289617-sc13e3a6_lake.htma_011" w:history="1">
              <w:r>
                <w:rPr>
                  <w:rStyle w:val="Hyperlink"/>
                  <w:rFonts w:eastAsia="Times New Roman"/>
                  <w:sz w:val="20"/>
                  <w:szCs w:val="20"/>
                </w:rPr>
                <w:t>Interest in Securities of the Subject Company</w:t>
              </w:r>
            </w:hyperlink>
          </w:p>
        </w:tc>
        <w:tc>
          <w:tcPr>
            <w:tcW w:w="0" w:type="auto"/>
            <w:shd w:val="clear" w:color="auto" w:fill="CCEEFF"/>
            <w:tcMar>
              <w:top w:w="0" w:type="dxa"/>
              <w:left w:w="72" w:type="dxa"/>
              <w:bottom w:w="0" w:type="dxa"/>
              <w:right w:w="72" w:type="dxa"/>
            </w:tcMar>
            <w:vAlign w:val="bottom"/>
            <w:hideMark/>
          </w:tcPr>
          <w:p w14:paraId="1E768C74" w14:textId="77777777" w:rsidR="00000000" w:rsidRDefault="002F725F">
            <w:pPr>
              <w:jc w:val="center"/>
              <w:rPr>
                <w:rFonts w:eastAsia="Times New Roman"/>
                <w:sz w:val="20"/>
                <w:szCs w:val="20"/>
              </w:rPr>
            </w:pPr>
            <w:r>
              <w:rPr>
                <w:rFonts w:eastAsia="Times New Roman"/>
                <w:sz w:val="20"/>
                <w:szCs w:val="20"/>
              </w:rPr>
              <w:t>12</w:t>
            </w:r>
          </w:p>
        </w:tc>
      </w:tr>
      <w:tr w:rsidR="00000000" w14:paraId="35AE8DEA" w14:textId="77777777">
        <w:trPr>
          <w:divId w:val="305475121"/>
        </w:trPr>
        <w:tc>
          <w:tcPr>
            <w:tcW w:w="0" w:type="auto"/>
            <w:shd w:val="clear" w:color="auto" w:fill="FFFFFF"/>
            <w:tcMar>
              <w:top w:w="0" w:type="dxa"/>
              <w:left w:w="200" w:type="dxa"/>
              <w:bottom w:w="0" w:type="dxa"/>
              <w:right w:w="72" w:type="dxa"/>
            </w:tcMar>
            <w:hideMark/>
          </w:tcPr>
          <w:p w14:paraId="50414757" w14:textId="77777777" w:rsidR="00000000" w:rsidRDefault="002F725F">
            <w:pPr>
              <w:ind w:hanging="200"/>
              <w:rPr>
                <w:rFonts w:eastAsia="Times New Roman"/>
                <w:sz w:val="20"/>
                <w:szCs w:val="20"/>
              </w:rPr>
            </w:pPr>
            <w:r>
              <w:rPr>
                <w:rFonts w:eastAsia="Times New Roman"/>
                <w:sz w:val="20"/>
                <w:szCs w:val="20"/>
              </w:rPr>
              <w:t>Item 12</w:t>
            </w:r>
          </w:p>
        </w:tc>
        <w:tc>
          <w:tcPr>
            <w:tcW w:w="0" w:type="auto"/>
            <w:shd w:val="clear" w:color="auto" w:fill="FFFFFF"/>
            <w:hideMark/>
          </w:tcPr>
          <w:p w14:paraId="735AB9D5" w14:textId="77777777" w:rsidR="00000000" w:rsidRDefault="002F725F">
            <w:pPr>
              <w:rPr>
                <w:rFonts w:eastAsia="Times New Roman"/>
                <w:sz w:val="20"/>
                <w:szCs w:val="20"/>
              </w:rPr>
            </w:pPr>
            <w:hyperlink w:anchor="gfpea0289617-sc13e3a6_lake.htma_012" w:history="1">
              <w:r>
                <w:rPr>
                  <w:rStyle w:val="Hyperlink"/>
                  <w:rFonts w:eastAsia="Times New Roman"/>
                  <w:sz w:val="20"/>
                  <w:szCs w:val="20"/>
                </w:rPr>
                <w:t>The Solicitation or Recommendation</w:t>
              </w:r>
            </w:hyperlink>
          </w:p>
        </w:tc>
        <w:tc>
          <w:tcPr>
            <w:tcW w:w="0" w:type="auto"/>
            <w:shd w:val="clear" w:color="auto" w:fill="FFFFFF"/>
            <w:tcMar>
              <w:top w:w="0" w:type="dxa"/>
              <w:left w:w="72" w:type="dxa"/>
              <w:bottom w:w="0" w:type="dxa"/>
              <w:right w:w="72" w:type="dxa"/>
            </w:tcMar>
            <w:vAlign w:val="bottom"/>
            <w:hideMark/>
          </w:tcPr>
          <w:p w14:paraId="7A98096D" w14:textId="77777777" w:rsidR="00000000" w:rsidRDefault="002F725F">
            <w:pPr>
              <w:jc w:val="center"/>
              <w:rPr>
                <w:rFonts w:eastAsia="Times New Roman"/>
                <w:sz w:val="20"/>
                <w:szCs w:val="20"/>
              </w:rPr>
            </w:pPr>
            <w:r>
              <w:rPr>
                <w:rFonts w:eastAsia="Times New Roman"/>
                <w:sz w:val="20"/>
                <w:szCs w:val="20"/>
              </w:rPr>
              <w:t>12</w:t>
            </w:r>
          </w:p>
        </w:tc>
      </w:tr>
      <w:tr w:rsidR="00000000" w14:paraId="3B84C7CC" w14:textId="77777777">
        <w:trPr>
          <w:divId w:val="305475121"/>
        </w:trPr>
        <w:tc>
          <w:tcPr>
            <w:tcW w:w="0" w:type="auto"/>
            <w:shd w:val="clear" w:color="auto" w:fill="CCEEFF"/>
            <w:tcMar>
              <w:top w:w="0" w:type="dxa"/>
              <w:left w:w="200" w:type="dxa"/>
              <w:bottom w:w="0" w:type="dxa"/>
              <w:right w:w="72" w:type="dxa"/>
            </w:tcMar>
            <w:hideMark/>
          </w:tcPr>
          <w:p w14:paraId="04871278" w14:textId="77777777" w:rsidR="00000000" w:rsidRDefault="002F725F">
            <w:pPr>
              <w:ind w:hanging="200"/>
              <w:rPr>
                <w:rFonts w:eastAsia="Times New Roman"/>
                <w:sz w:val="20"/>
                <w:szCs w:val="20"/>
              </w:rPr>
            </w:pPr>
            <w:r>
              <w:rPr>
                <w:rFonts w:eastAsia="Times New Roman"/>
                <w:sz w:val="20"/>
                <w:szCs w:val="20"/>
              </w:rPr>
              <w:t>Item 13</w:t>
            </w:r>
          </w:p>
        </w:tc>
        <w:tc>
          <w:tcPr>
            <w:tcW w:w="0" w:type="auto"/>
            <w:shd w:val="clear" w:color="auto" w:fill="CCEEFF"/>
            <w:hideMark/>
          </w:tcPr>
          <w:p w14:paraId="4CDC2B82" w14:textId="77777777" w:rsidR="00000000" w:rsidRDefault="002F725F">
            <w:pPr>
              <w:rPr>
                <w:rFonts w:eastAsia="Times New Roman"/>
                <w:sz w:val="20"/>
                <w:szCs w:val="20"/>
              </w:rPr>
            </w:pPr>
            <w:hyperlink w:anchor="gfpea0289617-sc13e3a6_lake.htma_013" w:history="1">
              <w:r>
                <w:rPr>
                  <w:rStyle w:val="Hyperlink"/>
                  <w:rFonts w:eastAsia="Times New Roman"/>
                  <w:sz w:val="20"/>
                  <w:szCs w:val="20"/>
                </w:rPr>
                <w:t>Financial Statements</w:t>
              </w:r>
            </w:hyperlink>
          </w:p>
        </w:tc>
        <w:tc>
          <w:tcPr>
            <w:tcW w:w="0" w:type="auto"/>
            <w:shd w:val="clear" w:color="auto" w:fill="CCEEFF"/>
            <w:tcMar>
              <w:top w:w="0" w:type="dxa"/>
              <w:left w:w="72" w:type="dxa"/>
              <w:bottom w:w="0" w:type="dxa"/>
              <w:right w:w="72" w:type="dxa"/>
            </w:tcMar>
            <w:vAlign w:val="bottom"/>
            <w:hideMark/>
          </w:tcPr>
          <w:p w14:paraId="357DF09F" w14:textId="77777777" w:rsidR="00000000" w:rsidRDefault="002F725F">
            <w:pPr>
              <w:jc w:val="center"/>
              <w:rPr>
                <w:rFonts w:eastAsia="Times New Roman"/>
                <w:sz w:val="20"/>
                <w:szCs w:val="20"/>
              </w:rPr>
            </w:pPr>
            <w:r>
              <w:rPr>
                <w:rFonts w:eastAsia="Times New Roman"/>
                <w:sz w:val="20"/>
                <w:szCs w:val="20"/>
              </w:rPr>
              <w:t>13</w:t>
            </w:r>
          </w:p>
        </w:tc>
      </w:tr>
      <w:tr w:rsidR="00000000" w14:paraId="14671ECA" w14:textId="77777777">
        <w:trPr>
          <w:divId w:val="305475121"/>
        </w:trPr>
        <w:tc>
          <w:tcPr>
            <w:tcW w:w="0" w:type="auto"/>
            <w:shd w:val="clear" w:color="auto" w:fill="FFFFFF"/>
            <w:tcMar>
              <w:top w:w="0" w:type="dxa"/>
              <w:left w:w="200" w:type="dxa"/>
              <w:bottom w:w="0" w:type="dxa"/>
              <w:right w:w="72" w:type="dxa"/>
            </w:tcMar>
            <w:hideMark/>
          </w:tcPr>
          <w:p w14:paraId="6FF1B440" w14:textId="77777777" w:rsidR="00000000" w:rsidRDefault="002F725F">
            <w:pPr>
              <w:ind w:hanging="200"/>
              <w:rPr>
                <w:rFonts w:eastAsia="Times New Roman"/>
                <w:sz w:val="20"/>
                <w:szCs w:val="20"/>
              </w:rPr>
            </w:pPr>
            <w:r>
              <w:rPr>
                <w:rFonts w:eastAsia="Times New Roman"/>
                <w:sz w:val="20"/>
                <w:szCs w:val="20"/>
              </w:rPr>
              <w:t>Item 14</w:t>
            </w:r>
          </w:p>
        </w:tc>
        <w:tc>
          <w:tcPr>
            <w:tcW w:w="0" w:type="auto"/>
            <w:shd w:val="clear" w:color="auto" w:fill="FFFFFF"/>
            <w:hideMark/>
          </w:tcPr>
          <w:p w14:paraId="269CDE9B" w14:textId="77777777" w:rsidR="00000000" w:rsidRDefault="002F725F">
            <w:pPr>
              <w:rPr>
                <w:rFonts w:eastAsia="Times New Roman"/>
                <w:sz w:val="20"/>
                <w:szCs w:val="20"/>
              </w:rPr>
            </w:pPr>
            <w:hyperlink w:anchor="gfpea0289617-sc13e3a6_lake.htma_014" w:history="1">
              <w:r>
                <w:rPr>
                  <w:rStyle w:val="Hyperlink"/>
                  <w:rFonts w:eastAsia="Times New Roman"/>
                  <w:sz w:val="20"/>
                  <w:szCs w:val="20"/>
                </w:rPr>
                <w:t>Persons/Assets, Retained, Employed, Compensated or Used</w:t>
              </w:r>
            </w:hyperlink>
          </w:p>
        </w:tc>
        <w:tc>
          <w:tcPr>
            <w:tcW w:w="0" w:type="auto"/>
            <w:shd w:val="clear" w:color="auto" w:fill="FFFFFF"/>
            <w:tcMar>
              <w:top w:w="0" w:type="dxa"/>
              <w:left w:w="72" w:type="dxa"/>
              <w:bottom w:w="0" w:type="dxa"/>
              <w:right w:w="72" w:type="dxa"/>
            </w:tcMar>
            <w:vAlign w:val="bottom"/>
            <w:hideMark/>
          </w:tcPr>
          <w:p w14:paraId="6B14B4C0" w14:textId="77777777" w:rsidR="00000000" w:rsidRDefault="002F725F">
            <w:pPr>
              <w:jc w:val="center"/>
              <w:rPr>
                <w:rFonts w:eastAsia="Times New Roman"/>
                <w:sz w:val="20"/>
                <w:szCs w:val="20"/>
              </w:rPr>
            </w:pPr>
            <w:r>
              <w:rPr>
                <w:rFonts w:eastAsia="Times New Roman"/>
                <w:sz w:val="20"/>
                <w:szCs w:val="20"/>
              </w:rPr>
              <w:t>13</w:t>
            </w:r>
          </w:p>
        </w:tc>
      </w:tr>
      <w:tr w:rsidR="00000000" w14:paraId="0DEA0154" w14:textId="77777777">
        <w:trPr>
          <w:divId w:val="305475121"/>
        </w:trPr>
        <w:tc>
          <w:tcPr>
            <w:tcW w:w="0" w:type="auto"/>
            <w:shd w:val="clear" w:color="auto" w:fill="CCEEFF"/>
            <w:tcMar>
              <w:top w:w="0" w:type="dxa"/>
              <w:left w:w="200" w:type="dxa"/>
              <w:bottom w:w="0" w:type="dxa"/>
              <w:right w:w="72" w:type="dxa"/>
            </w:tcMar>
            <w:hideMark/>
          </w:tcPr>
          <w:p w14:paraId="5314FABB" w14:textId="77777777" w:rsidR="00000000" w:rsidRDefault="002F725F">
            <w:pPr>
              <w:ind w:hanging="200"/>
              <w:rPr>
                <w:rFonts w:eastAsia="Times New Roman"/>
                <w:sz w:val="20"/>
                <w:szCs w:val="20"/>
              </w:rPr>
            </w:pPr>
            <w:r>
              <w:rPr>
                <w:rFonts w:eastAsia="Times New Roman"/>
                <w:sz w:val="20"/>
                <w:szCs w:val="20"/>
              </w:rPr>
              <w:t>Item 15</w:t>
            </w:r>
          </w:p>
        </w:tc>
        <w:tc>
          <w:tcPr>
            <w:tcW w:w="0" w:type="auto"/>
            <w:shd w:val="clear" w:color="auto" w:fill="CCEEFF"/>
            <w:hideMark/>
          </w:tcPr>
          <w:p w14:paraId="66E3BF7C" w14:textId="77777777" w:rsidR="00000000" w:rsidRDefault="002F725F">
            <w:pPr>
              <w:rPr>
                <w:rFonts w:eastAsia="Times New Roman"/>
                <w:sz w:val="20"/>
                <w:szCs w:val="20"/>
              </w:rPr>
            </w:pPr>
            <w:hyperlink w:anchor="gfpea0289617-sc13e3a6_lake.htma_015" w:history="1">
              <w:r>
                <w:rPr>
                  <w:rStyle w:val="Hyperlink"/>
                  <w:rFonts w:eastAsia="Times New Roman"/>
                  <w:sz w:val="20"/>
                  <w:szCs w:val="20"/>
                </w:rPr>
                <w:t>Additional Information</w:t>
              </w:r>
            </w:hyperlink>
          </w:p>
        </w:tc>
        <w:tc>
          <w:tcPr>
            <w:tcW w:w="0" w:type="auto"/>
            <w:shd w:val="clear" w:color="auto" w:fill="CCEEFF"/>
            <w:tcMar>
              <w:top w:w="0" w:type="dxa"/>
              <w:left w:w="72" w:type="dxa"/>
              <w:bottom w:w="0" w:type="dxa"/>
              <w:right w:w="72" w:type="dxa"/>
            </w:tcMar>
            <w:vAlign w:val="bottom"/>
            <w:hideMark/>
          </w:tcPr>
          <w:p w14:paraId="4A35D2EF" w14:textId="77777777" w:rsidR="00000000" w:rsidRDefault="002F725F">
            <w:pPr>
              <w:jc w:val="center"/>
              <w:rPr>
                <w:rFonts w:eastAsia="Times New Roman"/>
                <w:sz w:val="20"/>
                <w:szCs w:val="20"/>
              </w:rPr>
            </w:pPr>
            <w:r>
              <w:rPr>
                <w:rFonts w:eastAsia="Times New Roman"/>
                <w:sz w:val="20"/>
                <w:szCs w:val="20"/>
              </w:rPr>
              <w:t>13</w:t>
            </w:r>
          </w:p>
        </w:tc>
      </w:tr>
      <w:tr w:rsidR="00000000" w14:paraId="5833A0D9" w14:textId="77777777">
        <w:trPr>
          <w:divId w:val="305475121"/>
        </w:trPr>
        <w:tc>
          <w:tcPr>
            <w:tcW w:w="0" w:type="auto"/>
            <w:shd w:val="clear" w:color="auto" w:fill="FFFFFF"/>
            <w:tcMar>
              <w:top w:w="0" w:type="dxa"/>
              <w:left w:w="200" w:type="dxa"/>
              <w:bottom w:w="0" w:type="dxa"/>
              <w:right w:w="72" w:type="dxa"/>
            </w:tcMar>
            <w:hideMark/>
          </w:tcPr>
          <w:p w14:paraId="6541B992" w14:textId="77777777" w:rsidR="00000000" w:rsidRDefault="002F725F">
            <w:pPr>
              <w:ind w:hanging="200"/>
              <w:rPr>
                <w:rFonts w:eastAsia="Times New Roman"/>
                <w:sz w:val="20"/>
                <w:szCs w:val="20"/>
              </w:rPr>
            </w:pPr>
            <w:r>
              <w:rPr>
                <w:rFonts w:eastAsia="Times New Roman"/>
                <w:sz w:val="20"/>
                <w:szCs w:val="20"/>
              </w:rPr>
              <w:t>Item 16</w:t>
            </w:r>
          </w:p>
        </w:tc>
        <w:tc>
          <w:tcPr>
            <w:tcW w:w="0" w:type="auto"/>
            <w:shd w:val="clear" w:color="auto" w:fill="FFFFFF"/>
            <w:hideMark/>
          </w:tcPr>
          <w:p w14:paraId="25790FE0" w14:textId="77777777" w:rsidR="00000000" w:rsidRDefault="002F725F">
            <w:pPr>
              <w:rPr>
                <w:rFonts w:eastAsia="Times New Roman"/>
                <w:sz w:val="20"/>
                <w:szCs w:val="20"/>
              </w:rPr>
            </w:pPr>
            <w:hyperlink w:anchor="gfpea0289617-sc13e3a6_lake.htma_016" w:history="1">
              <w:r>
                <w:rPr>
                  <w:rStyle w:val="Hyperlink"/>
                  <w:rFonts w:eastAsia="Times New Roman"/>
                  <w:sz w:val="20"/>
                  <w:szCs w:val="20"/>
                </w:rPr>
                <w:t>Exhibits</w:t>
              </w:r>
            </w:hyperlink>
          </w:p>
        </w:tc>
        <w:tc>
          <w:tcPr>
            <w:tcW w:w="0" w:type="auto"/>
            <w:shd w:val="clear" w:color="auto" w:fill="FFFFFF"/>
            <w:tcMar>
              <w:top w:w="0" w:type="dxa"/>
              <w:left w:w="72" w:type="dxa"/>
              <w:bottom w:w="0" w:type="dxa"/>
              <w:right w:w="72" w:type="dxa"/>
            </w:tcMar>
            <w:vAlign w:val="bottom"/>
            <w:hideMark/>
          </w:tcPr>
          <w:p w14:paraId="3062C530" w14:textId="77777777" w:rsidR="00000000" w:rsidRDefault="002F725F">
            <w:pPr>
              <w:jc w:val="center"/>
              <w:rPr>
                <w:rFonts w:eastAsia="Times New Roman"/>
                <w:sz w:val="20"/>
                <w:szCs w:val="20"/>
              </w:rPr>
            </w:pPr>
            <w:r>
              <w:rPr>
                <w:rFonts w:eastAsia="Times New Roman"/>
                <w:sz w:val="20"/>
                <w:szCs w:val="20"/>
              </w:rPr>
              <w:t>14</w:t>
            </w:r>
          </w:p>
        </w:tc>
      </w:tr>
    </w:tbl>
    <w:p w14:paraId="4FAE7993"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737AE6F3" w14:textId="77777777" w:rsidR="00000000" w:rsidRDefault="002F725F">
      <w:pPr>
        <w:pStyle w:val="NormalWeb"/>
        <w:spacing w:before="0" w:beforeAutospacing="0" w:after="0" w:afterAutospacing="0"/>
        <w:jc w:val="center"/>
        <w:divId w:val="1019045902"/>
        <w:rPr>
          <w:sz w:val="20"/>
          <w:szCs w:val="20"/>
        </w:rPr>
      </w:pPr>
      <w:r>
        <w:rPr>
          <w:sz w:val="20"/>
          <w:szCs w:val="20"/>
        </w:rPr>
        <w:t>i</w:t>
      </w:r>
      <w:r>
        <w:rPr>
          <w:sz w:val="20"/>
          <w:szCs w:val="20"/>
        </w:rPr>
        <w:t> </w:t>
      </w:r>
    </w:p>
    <w:p w14:paraId="4CFADD5B"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4F0AC73F" w14:textId="77777777" w:rsidR="00000000" w:rsidRDefault="002F725F">
      <w:pPr>
        <w:pStyle w:val="NormalWeb"/>
        <w:spacing w:before="0" w:beforeAutospacing="0" w:after="0" w:afterAutospacing="0"/>
        <w:jc w:val="center"/>
        <w:divId w:val="305475121"/>
        <w:rPr>
          <w:sz w:val="20"/>
          <w:szCs w:val="20"/>
        </w:rPr>
      </w:pPr>
      <w:r>
        <w:rPr>
          <w:b/>
          <w:bCs/>
          <w:sz w:val="20"/>
          <w:szCs w:val="20"/>
        </w:rPr>
        <w:t>INTRODUCTION</w:t>
      </w:r>
    </w:p>
    <w:p w14:paraId="6B8A97E5"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3EF22E7E" w14:textId="77777777" w:rsidR="00000000" w:rsidRDefault="002F725F">
      <w:pPr>
        <w:pStyle w:val="NormalWeb"/>
        <w:spacing w:before="0" w:beforeAutospacing="0" w:after="0" w:afterAutospacing="0"/>
        <w:ind w:firstLine="720"/>
        <w:jc w:val="both"/>
        <w:divId w:val="305475121"/>
        <w:rPr>
          <w:sz w:val="20"/>
          <w:szCs w:val="20"/>
        </w:rPr>
      </w:pPr>
      <w:r>
        <w:rPr>
          <w:sz w:val="20"/>
          <w:szCs w:val="20"/>
        </w:rPr>
        <w:t>This Amendment No. 6 to the Rule </w:t>
      </w:r>
      <w:r>
        <w:rPr>
          <w:sz w:val="20"/>
          <w:szCs w:val="20"/>
        </w:rPr>
        <w:t>13e-3 transaction statement on Schedule 13E-3, together with the exhibits hereto (this “Transaction Statement”), is being filed with the Securities and Exchange Commission (the “SEC”) pursuant to Section 13(e) of the Securities Exchange Act of 1934, as ame</w:t>
      </w:r>
      <w:r>
        <w:rPr>
          <w:sz w:val="20"/>
          <w:szCs w:val="20"/>
        </w:rPr>
        <w:t xml:space="preserve">nded (the “Exchange Act”), jointly by the </w:t>
      </w:r>
      <w:r>
        <w:rPr>
          <w:sz w:val="20"/>
          <w:szCs w:val="20"/>
        </w:rPr>
        <w:lastRenderedPageBreak/>
        <w:t>following persons (each, a “Filing Person,” and collectively, the “Filing Persons”): (a) LakeShore Biopharma Co., Ltd, an exempted company with limited liability incorporated under the laws of the Cayman Islands (t</w:t>
      </w:r>
      <w:r>
        <w:rPr>
          <w:sz w:val="20"/>
          <w:szCs w:val="20"/>
        </w:rPr>
        <w:t>he “Company”), the issuer of the ordinary shares, par value US$0.0002 per share (each, a “Share,” and collectively, the “Shares”), (b) Oceanpine Skyline Inc., an exempted company with limited liability incorporated under the laws of the Cayman Islands (“Pa</w:t>
      </w:r>
      <w:r>
        <w:rPr>
          <w:sz w:val="20"/>
          <w:szCs w:val="20"/>
        </w:rPr>
        <w:t>rent”), (c) Oceanpine Merger Sub Inc., an exempted company with limited liability incorporated under the laws of the Cayman Islands (“Merger Sub”), (d) Oceanpine Capital Inc., a limited company incorporated under the laws of the British Virgin Islands (the</w:t>
      </w:r>
      <w:r>
        <w:rPr>
          <w:sz w:val="20"/>
          <w:szCs w:val="20"/>
        </w:rPr>
        <w:t xml:space="preserve"> “Sponsor”), (e) Oceanpine Investment Fund II LP, an exempted limited partnership incorporated under the laws of the Cayman Islands (“Oceanpine Investment”), (f) Dave Liguang Chenn, a citizen of the United States, (g) Crystal Peak Investment Inc., a limite</w:t>
      </w:r>
      <w:r>
        <w:rPr>
          <w:sz w:val="20"/>
          <w:szCs w:val="20"/>
        </w:rPr>
        <w:t>d liability entity incorporated under the laws of the British Virgin Islands (“Crystal Peak”), (h) Crystal Peak Holdings Inc., a company incorporated under the laws of the British Virgin Islands, and (i) Huaqin Xue, a citizen of Hong Kong (such persons ref</w:t>
      </w:r>
      <w:r>
        <w:rPr>
          <w:sz w:val="20"/>
          <w:szCs w:val="20"/>
        </w:rPr>
        <w:t>erred to in (b) to (i), collectively, the “Buyer Filing Persons”). This Transaction Statement amends and restates in its entirety the Rule 13e-3 transaction statement on Schedule 13E-3 filed with the SEC pursuant to Section 13(e) of the Exchange Act by the</w:t>
      </w:r>
      <w:r>
        <w:rPr>
          <w:sz w:val="20"/>
          <w:szCs w:val="20"/>
        </w:rPr>
        <w:t xml:space="preserve"> Filing Persons on January 20, 2026 (as amended and supplemented by Amendment No. 4 filed on February 6, 2026 and Amendment No. 5 filed on April 1, 2026).</w:t>
      </w:r>
    </w:p>
    <w:p w14:paraId="6BEE6CD1"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34D16DFC" w14:textId="77777777" w:rsidR="00000000" w:rsidRDefault="002F725F">
      <w:pPr>
        <w:pStyle w:val="NormalWeb"/>
        <w:spacing w:before="0" w:beforeAutospacing="0" w:after="0" w:afterAutospacing="0"/>
        <w:ind w:firstLine="720"/>
        <w:jc w:val="both"/>
        <w:divId w:val="305475121"/>
        <w:rPr>
          <w:sz w:val="20"/>
          <w:szCs w:val="20"/>
        </w:rPr>
      </w:pPr>
      <w:r>
        <w:rPr>
          <w:sz w:val="20"/>
          <w:szCs w:val="20"/>
        </w:rPr>
        <w:t>Throughout this Transaction Statement, the Sponsor, Oceanpine Investment, Crystal Peak, Adjuvant Gl</w:t>
      </w:r>
      <w:r>
        <w:rPr>
          <w:sz w:val="20"/>
          <w:szCs w:val="20"/>
        </w:rPr>
        <w:t>obal Health Technology Fund, L.P., Adjuvant Global Health Technology Fund DE, L.P., Superstring Capital Master Fund LP, MSA GROWTH FUND II, L.P., and Epiphron Capital (Hong Kong) Limited are collectively referred to as the “Rollover Shareholders.”</w:t>
      </w:r>
    </w:p>
    <w:p w14:paraId="6175314A"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67F0CE6E" w14:textId="77777777" w:rsidR="00000000" w:rsidRDefault="002F725F">
      <w:pPr>
        <w:pStyle w:val="NormalWeb"/>
        <w:spacing w:before="0" w:beforeAutospacing="0" w:after="0" w:afterAutospacing="0"/>
        <w:ind w:firstLine="720"/>
        <w:jc w:val="both"/>
        <w:divId w:val="305475121"/>
        <w:rPr>
          <w:sz w:val="20"/>
          <w:szCs w:val="20"/>
        </w:rPr>
      </w:pPr>
      <w:r>
        <w:rPr>
          <w:sz w:val="20"/>
          <w:szCs w:val="20"/>
        </w:rPr>
        <w:t>On Nov</w:t>
      </w:r>
      <w:r>
        <w:rPr>
          <w:sz w:val="20"/>
          <w:szCs w:val="20"/>
        </w:rPr>
        <w:t>ember 4, 2025, Parent, Merger Sub and the Company entered into an Agreement and Plan of Merger, as amended by Amendment No. 1 to Agreement and Plan of Merger, dated as of April 29, 2026, by and among Parent, Merger Sub and the Company (as may be further am</w:t>
      </w:r>
      <w:r>
        <w:rPr>
          <w:sz w:val="20"/>
          <w:szCs w:val="20"/>
        </w:rPr>
        <w:t>ended from time to time, the “Merger Agreement”), providing for the merger of Merger Sub with and into the Company, with the Company continuing as the surviving company after the Merger as a wholly owned subsidiary of Parent (the “Merger”).</w:t>
      </w:r>
    </w:p>
    <w:p w14:paraId="1C2C370B"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674855BE" w14:textId="77777777" w:rsidR="00000000" w:rsidRDefault="002F725F">
      <w:pPr>
        <w:pStyle w:val="NormalWeb"/>
        <w:spacing w:before="0" w:beforeAutospacing="0" w:after="0" w:afterAutospacing="0"/>
        <w:ind w:firstLine="720"/>
        <w:jc w:val="both"/>
        <w:divId w:val="305475121"/>
        <w:rPr>
          <w:sz w:val="20"/>
          <w:szCs w:val="20"/>
        </w:rPr>
      </w:pPr>
      <w:r>
        <w:rPr>
          <w:sz w:val="20"/>
          <w:szCs w:val="20"/>
        </w:rPr>
        <w:t>Pursuant to t</w:t>
      </w:r>
      <w:r>
        <w:rPr>
          <w:sz w:val="20"/>
          <w:szCs w:val="20"/>
        </w:rPr>
        <w:t>he Merger Agreement, at the effective time of the Merger (the “Effective Time”), each Share issued and outstanding immediately prior to the Effective Time, will be cancelled in exchange for the right to receive US$0.066 in cash per Share without interest a</w:t>
      </w:r>
      <w:r>
        <w:rPr>
          <w:sz w:val="20"/>
          <w:szCs w:val="20"/>
        </w:rPr>
        <w:t>nd net of any applicable withholding taxes (the “Per Share Merger Consideration”), except for (a)(i) Shares beneficially owned (as determined pursuant to Rule 13d-3 under the Securities Exchange Act of 1934, as amended) by the Rollover Shareholders as of N</w:t>
      </w:r>
      <w:r>
        <w:rPr>
          <w:sz w:val="20"/>
          <w:szCs w:val="20"/>
        </w:rPr>
        <w:t>ovember 4, 2025, and any other Shares that may be acquired by any Rollover Shareholder between November 4, 2025 and the Effective Time (collectively, the “Rollover Shares”), (ii) Shares held by Parent, Merger Sub and any of their respective affiliates, (ii</w:t>
      </w:r>
      <w:r>
        <w:rPr>
          <w:sz w:val="20"/>
          <w:szCs w:val="20"/>
        </w:rPr>
        <w:t xml:space="preserve">i) Shares held by the Company or any subsidiary of the Company or held in the Company’s treasury, and (iv) Shares held by holders who prior to the closing of the Merger agree with Parent not to receive any merger consideration with respect to such Shares, </w:t>
      </w:r>
      <w:r>
        <w:rPr>
          <w:sz w:val="20"/>
          <w:szCs w:val="20"/>
        </w:rPr>
        <w:t>in each case, issued and outstanding immediately prior to the Effective Time, which will be cancelled and cease to exist at the Effective Time without payment of any consideration or distribution therefor, and (b) Shares that are issued and outstanding imm</w:t>
      </w:r>
      <w:r>
        <w:rPr>
          <w:sz w:val="20"/>
          <w:szCs w:val="20"/>
        </w:rPr>
        <w:t>ediately prior to the Effective Time and that are held by registered shareholders who have validly exercised and have not effectively withdrawn or lost their rights to dissent from the Merger in accordance with Section 238 of the Companies Act (As Revised)</w:t>
      </w:r>
      <w:r>
        <w:rPr>
          <w:sz w:val="20"/>
          <w:szCs w:val="20"/>
        </w:rPr>
        <w:t xml:space="preserve"> of the Cayman Islands (the “Cayman Islands Companies Act”), which will be cancelled and cease to exist at the Effective Time and thereafter represent only the right to receive payment of the fair value of such Shares as determined in accordance with the p</w:t>
      </w:r>
      <w:r>
        <w:rPr>
          <w:sz w:val="20"/>
          <w:szCs w:val="20"/>
        </w:rPr>
        <w:t>rovisions of Section 238 of the Cayman Islands Companies Act.</w:t>
      </w:r>
    </w:p>
    <w:p w14:paraId="5D0E556E"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09F03D06" w14:textId="77777777" w:rsidR="00000000" w:rsidRDefault="002F725F">
      <w:pPr>
        <w:pStyle w:val="NormalWeb"/>
        <w:spacing w:before="0" w:beforeAutospacing="0" w:after="0" w:afterAutospacing="0"/>
        <w:ind w:firstLine="720"/>
        <w:jc w:val="both"/>
        <w:divId w:val="305475121"/>
        <w:rPr>
          <w:sz w:val="20"/>
          <w:szCs w:val="20"/>
        </w:rPr>
      </w:pPr>
      <w:r>
        <w:rPr>
          <w:sz w:val="20"/>
          <w:szCs w:val="20"/>
        </w:rPr>
        <w:t>From and after the Effective Time, each warrant to purchase Shares (each, a “Company Warrant”) will, by virtue of the Merger, be treated in the manner as set forth in the warrant agreement, da</w:t>
      </w:r>
      <w:r>
        <w:rPr>
          <w:sz w:val="20"/>
          <w:szCs w:val="20"/>
        </w:rPr>
        <w:t>ted June 8, 2021, by and between Summit Healthcare Acquisition Corp. and Continental Stock Transfer &amp; Trust Company, as amended by the warrant assignment agreement, dated September 29, 2022, by and among Summit Healthcare Acquisition Corp., the Company and</w:t>
      </w:r>
      <w:r>
        <w:rPr>
          <w:sz w:val="20"/>
          <w:szCs w:val="20"/>
        </w:rPr>
        <w:t xml:space="preserve"> Continental Stock Transfer &amp; Trust Company (the “Warrant Agreement”).</w:t>
      </w:r>
    </w:p>
    <w:p w14:paraId="6061BD69"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20AC41C2" w14:textId="77777777" w:rsidR="00000000" w:rsidRDefault="002F725F">
      <w:pPr>
        <w:pStyle w:val="NormalWeb"/>
        <w:spacing w:before="0" w:beforeAutospacing="0" w:after="0" w:afterAutospacing="0"/>
        <w:ind w:firstLine="720"/>
        <w:jc w:val="both"/>
        <w:divId w:val="305475121"/>
        <w:rPr>
          <w:sz w:val="20"/>
          <w:szCs w:val="20"/>
        </w:rPr>
      </w:pPr>
      <w:r>
        <w:rPr>
          <w:sz w:val="20"/>
          <w:szCs w:val="20"/>
        </w:rPr>
        <w:t>Pursuant to Section 4.5 of the Warrant Agreement, in the case of any merger or consolidation of the Company with or into another corporation (other than a consolidation or merger in w</w:t>
      </w:r>
      <w:r>
        <w:rPr>
          <w:sz w:val="20"/>
          <w:szCs w:val="20"/>
        </w:rPr>
        <w:t>hich the Company is the continuing corporation and that does not result in any reclassification or reorganization of the issued and outstanding Shares), the holders of the Company Warrants shall thereafter have the right to purchase and receive, upon the b</w:t>
      </w:r>
      <w:r>
        <w:rPr>
          <w:sz w:val="20"/>
          <w:szCs w:val="20"/>
        </w:rPr>
        <w:t xml:space="preserve">asis and upon the terms and conditions specified in the Company Warrants and in lieu of the Shares immediately theretofore purchasable </w:t>
      </w:r>
      <w:r>
        <w:rPr>
          <w:sz w:val="20"/>
          <w:szCs w:val="20"/>
        </w:rPr>
        <w:lastRenderedPageBreak/>
        <w:t>and receivable upon the exercise of the rights represented thereby, the kind and amount of shares or stock or other secur</w:t>
      </w:r>
      <w:r>
        <w:rPr>
          <w:sz w:val="20"/>
          <w:szCs w:val="20"/>
        </w:rPr>
        <w:t xml:space="preserve">ities or property (including cash) receivable upon such merger or consolidation, that the holder of the Company Warrants would have received if such holder had exercised his, her or its Company Warrant(s) immediately prior to such event. Accordingly, as a </w:t>
      </w:r>
      <w:r>
        <w:rPr>
          <w:sz w:val="20"/>
          <w:szCs w:val="20"/>
        </w:rPr>
        <w:t>result of the Merger and immediately after the Effective Time, the holder(s) of each of the Company Warrants that is issued and outstanding immediately prior to the Effective Time will have the right to receive US$0.0066 (being one-tenth of the Per Share M</w:t>
      </w:r>
      <w:r>
        <w:rPr>
          <w:sz w:val="20"/>
          <w:szCs w:val="20"/>
        </w:rPr>
        <w:t>erger Consideration as one Company Warrant is exercisable for one-tenth of a Share) per Company Warrant in cash, upon the exercise of such Company Warrant by paying US$11.5, the exercise price per Company Warrant, to the Surviving Company.</w:t>
      </w:r>
    </w:p>
    <w:p w14:paraId="0B637670"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01C35AB1" w14:textId="77777777" w:rsidR="00000000" w:rsidRDefault="002F725F">
      <w:pPr>
        <w:pStyle w:val="NormalWeb"/>
        <w:spacing w:before="0" w:beforeAutospacing="0" w:after="0" w:afterAutospacing="0"/>
        <w:jc w:val="center"/>
        <w:divId w:val="128862217"/>
        <w:rPr>
          <w:sz w:val="20"/>
          <w:szCs w:val="20"/>
        </w:rPr>
      </w:pPr>
      <w:r>
        <w:rPr>
          <w:sz w:val="20"/>
          <w:szCs w:val="20"/>
        </w:rPr>
        <w:t>1</w:t>
      </w:r>
    </w:p>
    <w:p w14:paraId="3E7AEE06"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0D0A3F17" w14:textId="77777777" w:rsidR="00000000" w:rsidRDefault="002F725F">
      <w:pPr>
        <w:pStyle w:val="NormalWeb"/>
        <w:spacing w:before="0" w:beforeAutospacing="0" w:after="0" w:afterAutospacing="0"/>
        <w:ind w:firstLine="720"/>
        <w:jc w:val="both"/>
        <w:divId w:val="305475121"/>
        <w:rPr>
          <w:sz w:val="20"/>
          <w:szCs w:val="20"/>
        </w:rPr>
      </w:pPr>
      <w:r>
        <w:rPr>
          <w:sz w:val="20"/>
          <w:szCs w:val="20"/>
        </w:rPr>
        <w:t>Section 4.</w:t>
      </w:r>
      <w:r>
        <w:rPr>
          <w:sz w:val="20"/>
          <w:szCs w:val="20"/>
        </w:rPr>
        <w:t>5 of the Warrant Agreement further provides that, if less than 70% of the consideration receivable by the holders of the Shares in such a transaction is payable in the form of shares in the successor entity that is listed for trading on a national securiti</w:t>
      </w:r>
      <w:r>
        <w:rPr>
          <w:sz w:val="20"/>
          <w:szCs w:val="20"/>
        </w:rPr>
        <w:t xml:space="preserve">es exchange or is quoted in an established over-the-counter market, or is to be so listed for trading or quoted immediately following such event, and if the registered holder of the Company Warrant properly exercises the Company Warrant within thirty days </w:t>
      </w:r>
      <w:r>
        <w:rPr>
          <w:sz w:val="20"/>
          <w:szCs w:val="20"/>
        </w:rPr>
        <w:t xml:space="preserve">following public disclosure of the consummation of such applicable event by the Company, the warrant exercise price will be reduced as specified in the Warrant Agreement based on the Black-Scholes value (as defined in the Warrant Agreement) of the Company </w:t>
      </w:r>
      <w:r>
        <w:rPr>
          <w:sz w:val="20"/>
          <w:szCs w:val="20"/>
        </w:rPr>
        <w:t>Warrant.</w:t>
      </w:r>
    </w:p>
    <w:p w14:paraId="5D2316D7"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26302CDE" w14:textId="77777777" w:rsidR="00000000" w:rsidRDefault="002F725F">
      <w:pPr>
        <w:pStyle w:val="NormalWeb"/>
        <w:spacing w:before="0" w:beforeAutospacing="0" w:after="0" w:afterAutospacing="0"/>
        <w:ind w:firstLine="720"/>
        <w:jc w:val="both"/>
        <w:divId w:val="305475121"/>
        <w:rPr>
          <w:sz w:val="20"/>
          <w:szCs w:val="20"/>
        </w:rPr>
      </w:pPr>
      <w:r>
        <w:rPr>
          <w:sz w:val="20"/>
          <w:szCs w:val="20"/>
        </w:rPr>
        <w:t>In addition to the foregoing, each option to purchase Shares (each, a “Company Option”) granted under the 2020 Share Incentive Plan of the Company (the “2020 Plan”) that is not vested and is outstanding immediately prior to the Effective Time wi</w:t>
      </w:r>
      <w:r>
        <w:rPr>
          <w:sz w:val="20"/>
          <w:szCs w:val="20"/>
        </w:rPr>
        <w:t>ll become fully vested as of the Effective Time. Each Company Option granted under the 2020 Plan that is fully vested and outstanding immediately prior to the Effective Time and the unvested Company Options that become fully vested as of the Effective Time</w:t>
      </w:r>
      <w:r>
        <w:rPr>
          <w:sz w:val="20"/>
          <w:szCs w:val="20"/>
        </w:rPr>
        <w:t xml:space="preserve"> pursuant to the preceding sentence will be cancelled as of the Effective Time and immediately converted into the right to receive in exchange therefor an amount of cash equal to (i) the excess, if any, of (A) the Per Share Merger Consideration over (B) th</w:t>
      </w:r>
      <w:r>
        <w:rPr>
          <w:sz w:val="20"/>
          <w:szCs w:val="20"/>
        </w:rPr>
        <w:t>e exercise price of such Company Option, multiplied by (ii) the number of Shares underlying such Company Option, which amount will be paid as soon as reasonably practicable following the Effective Time by the Surviving Company pursuant to the ordinary payr</w:t>
      </w:r>
      <w:r>
        <w:rPr>
          <w:sz w:val="20"/>
          <w:szCs w:val="20"/>
        </w:rPr>
        <w:t>oll practices; provided, that if the exercise price of any such vested Company Option is equal to or greater than the Per Share Merger Consideration, such vested Company Option will be cancelled without any payment therefor.</w:t>
      </w:r>
    </w:p>
    <w:p w14:paraId="213616AB"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331065AE" w14:textId="77777777" w:rsidR="00000000" w:rsidRDefault="002F725F">
      <w:pPr>
        <w:pStyle w:val="NormalWeb"/>
        <w:spacing w:before="0" w:beforeAutospacing="0" w:after="0" w:afterAutospacing="0"/>
        <w:ind w:firstLine="720"/>
        <w:jc w:val="both"/>
        <w:divId w:val="305475121"/>
        <w:rPr>
          <w:sz w:val="20"/>
          <w:szCs w:val="20"/>
        </w:rPr>
      </w:pPr>
      <w:r>
        <w:rPr>
          <w:sz w:val="20"/>
          <w:szCs w:val="20"/>
        </w:rPr>
        <w:t>Each restricted share unit or</w:t>
      </w:r>
      <w:r>
        <w:rPr>
          <w:sz w:val="20"/>
          <w:szCs w:val="20"/>
        </w:rPr>
        <w:t xml:space="preserve"> other right to acquire Shares (each, a “Company RSU”) granted under the 2020 Plan that is not vested and is outstanding immediately prior to the Effective Time will become fully vested immediately prior to the Effective Time. Each Company RSU granted unde</w:t>
      </w:r>
      <w:r>
        <w:rPr>
          <w:sz w:val="20"/>
          <w:szCs w:val="20"/>
        </w:rPr>
        <w:t>r the 2020 Plan that is fully vested and outstanding immediately prior to the Effective Time and the unvested Company RSUs that become fully vested as of the Effective Time pursuant to the preceding sentence will be cancelled as of the Effective Time and i</w:t>
      </w:r>
      <w:r>
        <w:rPr>
          <w:sz w:val="20"/>
          <w:szCs w:val="20"/>
        </w:rPr>
        <w:t>mmediately converted into the right to receive in exchange therefor an amount of cash equal to (i) the Per Share Merger Consideration, multiplied by (ii) the number of Shares subject to such Company RSUs, which amount will be paid as soon as reasonably pra</w:t>
      </w:r>
      <w:r>
        <w:rPr>
          <w:sz w:val="20"/>
          <w:szCs w:val="20"/>
        </w:rPr>
        <w:t>cticable following the Effective Time by the Surviving Company pursuant to the ordinary payroll practices.</w:t>
      </w:r>
    </w:p>
    <w:p w14:paraId="17198999"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49C06DB3" w14:textId="77777777" w:rsidR="00000000" w:rsidRDefault="002F725F">
      <w:pPr>
        <w:pStyle w:val="NormalWeb"/>
        <w:spacing w:before="0" w:beforeAutospacing="0" w:after="0" w:afterAutospacing="0"/>
        <w:ind w:firstLine="720"/>
        <w:jc w:val="both"/>
        <w:divId w:val="305475121"/>
        <w:rPr>
          <w:sz w:val="20"/>
          <w:szCs w:val="20"/>
        </w:rPr>
      </w:pPr>
      <w:r>
        <w:rPr>
          <w:sz w:val="20"/>
          <w:szCs w:val="20"/>
        </w:rPr>
        <w:t>At the Effective Time, except as otherwise agreed to in writing between a holder of a Company Option and Parent, each Company Option under the 2024</w:t>
      </w:r>
      <w:r>
        <w:rPr>
          <w:sz w:val="20"/>
          <w:szCs w:val="20"/>
        </w:rPr>
        <w:t xml:space="preserve"> Share Incentive Plan of the Company (the “2024 Plan”), whether vested or unvested, will be assumed by Parent as an option to purchase the shares of Parent (“Parent Shares”) under an equity incentive plan to be established by Parent, exercisable into a num</w:t>
      </w:r>
      <w:r>
        <w:rPr>
          <w:sz w:val="20"/>
          <w:szCs w:val="20"/>
        </w:rPr>
        <w:t>ber of Parent Shares equal to the product of (i) the number of Shares subject to the corresponding Company Option immediately prior to the Effective Time, multiplied by (ii) a fraction (such ratio, the “Exchange Ratio”), the numerator of which is the Per S</w:t>
      </w:r>
      <w:r>
        <w:rPr>
          <w:sz w:val="20"/>
          <w:szCs w:val="20"/>
        </w:rPr>
        <w:t>hare Merger Consideration and the denominator of which is the fair market value of a Parent Share as of the Effective Time, and rounding such product down to the nearest whole number of Parent Shares, with an exercise price per share subject to the assumed</w:t>
      </w:r>
      <w:r>
        <w:rPr>
          <w:sz w:val="20"/>
          <w:szCs w:val="20"/>
        </w:rPr>
        <w:t xml:space="preserve"> option equal to the exercise price for which the corresponding Company Option was exercisable immediately prior to the Effective Time divided by the Exchange Ratio, and rounded up to the nearest whole cent. Except as provided above, each assumed option wi</w:t>
      </w:r>
      <w:r>
        <w:rPr>
          <w:sz w:val="20"/>
          <w:szCs w:val="20"/>
        </w:rPr>
        <w:t>ll continue to have, and be subject to, the same terms and conditions as the corresponding Company Option set forth in the 2024 Plan and the applicable award agreement as in effect immediately prior to the Effective Time.</w:t>
      </w:r>
    </w:p>
    <w:p w14:paraId="763D51ED"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297CF280" w14:textId="77777777" w:rsidR="00000000" w:rsidRDefault="002F725F">
      <w:pPr>
        <w:pStyle w:val="NormalWeb"/>
        <w:spacing w:before="0" w:beforeAutospacing="0" w:after="0" w:afterAutospacing="0"/>
        <w:ind w:firstLine="720"/>
        <w:jc w:val="both"/>
        <w:divId w:val="305475121"/>
        <w:rPr>
          <w:sz w:val="20"/>
          <w:szCs w:val="20"/>
        </w:rPr>
      </w:pPr>
      <w:r>
        <w:rPr>
          <w:sz w:val="20"/>
          <w:szCs w:val="20"/>
        </w:rPr>
        <w:lastRenderedPageBreak/>
        <w:t>At the Effective Time, except as</w:t>
      </w:r>
      <w:r>
        <w:rPr>
          <w:sz w:val="20"/>
          <w:szCs w:val="20"/>
        </w:rPr>
        <w:t xml:space="preserve"> otherwise agreed to in writing between a holder of a Company RSU and Parent, each Company RSU under the 2024 Plan, whether vested or unvested, will be assumed by Parent as a restricted stock unit award with respect to a number of Parent Shares equal to th</w:t>
      </w:r>
      <w:r>
        <w:rPr>
          <w:sz w:val="20"/>
          <w:szCs w:val="20"/>
        </w:rPr>
        <w:t>e product of (i) the number of Shares subject to such Company RSU immediately prior to the Effective Time, multiplied by (ii) the Exchange Ratio, rounding such product down to the nearest whole number of Parent Shares. Except as provided above, each assume</w:t>
      </w:r>
      <w:r>
        <w:rPr>
          <w:sz w:val="20"/>
          <w:szCs w:val="20"/>
        </w:rPr>
        <w:t>d restricted stock unit award will continue to have, and be subject to, the same terms and conditions as the corresponding Company RSU set forth in the 2024 Plan and the applicable award agreement as in effect immediately prior to the Effective Time.</w:t>
      </w:r>
    </w:p>
    <w:p w14:paraId="396FE6A7"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14F05975" w14:textId="77777777" w:rsidR="00000000" w:rsidRDefault="002F725F">
      <w:pPr>
        <w:pStyle w:val="NormalWeb"/>
        <w:spacing w:before="0" w:beforeAutospacing="0" w:after="0" w:afterAutospacing="0"/>
        <w:ind w:firstLine="720"/>
        <w:jc w:val="both"/>
        <w:divId w:val="305475121"/>
        <w:rPr>
          <w:sz w:val="20"/>
          <w:szCs w:val="20"/>
        </w:rPr>
      </w:pPr>
      <w:r>
        <w:rPr>
          <w:sz w:val="20"/>
          <w:szCs w:val="20"/>
        </w:rPr>
        <w:t>Par</w:t>
      </w:r>
      <w:r>
        <w:rPr>
          <w:sz w:val="20"/>
          <w:szCs w:val="20"/>
        </w:rPr>
        <w:t>ent may seek, prior to the closing date of the Merger, to agree with an individual holder of a Company Option or Company RSU that all or a portion of such holder’s Company Options or Company RSUs will not be treated as provided in the Merger Agreement, but</w:t>
      </w:r>
      <w:r>
        <w:rPr>
          <w:sz w:val="20"/>
          <w:szCs w:val="20"/>
        </w:rPr>
        <w:t xml:space="preserve"> will instead be treated as otherwise agreed by and among such holder, the Company and Parent; provided, that in no event will such arrangement result in the assumption, substitution or continuation of such Company Option or Company RSU with terms and cond</w:t>
      </w:r>
      <w:r>
        <w:rPr>
          <w:sz w:val="20"/>
          <w:szCs w:val="20"/>
        </w:rPr>
        <w:t>itions that provide additional benefits to such individual holder as compared to terms and conditions in effect immediately prior to the Effective Time. The Company agrees that, to the extent that Parent has identified to the Company in writing, at least 1</w:t>
      </w:r>
      <w:r>
        <w:rPr>
          <w:sz w:val="20"/>
          <w:szCs w:val="20"/>
        </w:rPr>
        <w:t>5 days prior to the closing date, the individuals with whom it is seeking agreement with respect to such Company Options or Company RSUs, the Company will use commercially reasonable efforts to facilitate Parent’s access to such individuals in order to dis</w:t>
      </w:r>
      <w:r>
        <w:rPr>
          <w:sz w:val="20"/>
          <w:szCs w:val="20"/>
        </w:rPr>
        <w:t>cuss such alternative arrangement.</w:t>
      </w:r>
    </w:p>
    <w:p w14:paraId="63A4873D"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39E50FAB"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xml:space="preserve">At the Effective Time, the </w:t>
      </w:r>
      <w:r>
        <w:rPr>
          <w:sz w:val="20"/>
          <w:szCs w:val="20"/>
        </w:rPr>
        <w:t>memorandum and articles of association of the Company, by virtue of the Merger and without any further action by the Surviving Company, will be amended and restated in its entirety to read identically to the memorandum and articles of association of Merger</w:t>
      </w:r>
      <w:r>
        <w:rPr>
          <w:sz w:val="20"/>
          <w:szCs w:val="20"/>
        </w:rPr>
        <w:t xml:space="preserve"> Sub, as in effect immediately prior to the Effective Time (the “Adoption of Amended M&amp;A”), until thereafter amended in accordance with applicable laws and as provided in such memorandum and articles of association; provided, however, that, (a) all referen</w:t>
      </w:r>
      <w:r>
        <w:rPr>
          <w:sz w:val="20"/>
          <w:szCs w:val="20"/>
        </w:rPr>
        <w:t>ces to “Oceanpine Merger Sub Inc.” in the memorandum and articles of association of the Surviving Company will be amended to “LakeShore Biopharma Co., Ltd”, (b) references therein to the authorized share capital of the Merger Sub will be amended as necessa</w:t>
      </w:r>
      <w:r>
        <w:rPr>
          <w:sz w:val="20"/>
          <w:szCs w:val="20"/>
        </w:rPr>
        <w:t>ry to correctly describe the authorized share capital of the Surviving Company as approved in the Plan of Merger, and (c) such memorandum and articles of association will include such indemnification, advancement of expenses and exculpation provisions as r</w:t>
      </w:r>
      <w:r>
        <w:rPr>
          <w:sz w:val="20"/>
          <w:szCs w:val="20"/>
        </w:rPr>
        <w:t>equired by the Merger Agreement.</w:t>
      </w:r>
    </w:p>
    <w:p w14:paraId="2396EB2A"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6FC86E24" w14:textId="77777777" w:rsidR="00000000" w:rsidRDefault="002F725F">
      <w:pPr>
        <w:pStyle w:val="NormalWeb"/>
        <w:spacing w:before="0" w:beforeAutospacing="0" w:after="0" w:afterAutospacing="0"/>
        <w:ind w:firstLine="720"/>
        <w:jc w:val="both"/>
        <w:divId w:val="305475121"/>
        <w:rPr>
          <w:sz w:val="20"/>
          <w:szCs w:val="20"/>
        </w:rPr>
      </w:pPr>
      <w:r>
        <w:rPr>
          <w:sz w:val="20"/>
          <w:szCs w:val="20"/>
        </w:rPr>
        <w:t>At the Effective Time, pursuant to the Merger Agreement and the Plan of Merger, the Company’s authorized share capital will be amended, from US$50,000 divided into 250,000,000 ordinary shares of a par value of US$0.0002 e</w:t>
      </w:r>
      <w:r>
        <w:rPr>
          <w:sz w:val="20"/>
          <w:szCs w:val="20"/>
        </w:rPr>
        <w:t>ach to US$50,000 divided into 500,000,000 ordinary shares of a par value of US$0.0001 each (the “Variation of Share Capital”), which is necessary to align the Surviving Company’s authorized share capital to be the same as that of Merger Sub as set forth in</w:t>
      </w:r>
      <w:r>
        <w:rPr>
          <w:sz w:val="20"/>
          <w:szCs w:val="20"/>
        </w:rPr>
        <w:t xml:space="preserve"> the Plan of Merger. The Variation of Share Capital will not affect the merger consideration to be received by the Unaffiliated Security Holders.</w:t>
      </w:r>
    </w:p>
    <w:p w14:paraId="77364AA5"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78DA879C" w14:textId="77777777" w:rsidR="00000000" w:rsidRDefault="002F725F">
      <w:pPr>
        <w:pStyle w:val="NormalWeb"/>
        <w:spacing w:before="0" w:beforeAutospacing="0" w:after="0" w:afterAutospacing="0"/>
        <w:jc w:val="center"/>
        <w:divId w:val="318773206"/>
        <w:rPr>
          <w:sz w:val="20"/>
          <w:szCs w:val="20"/>
        </w:rPr>
      </w:pPr>
      <w:r>
        <w:rPr>
          <w:sz w:val="20"/>
          <w:szCs w:val="20"/>
        </w:rPr>
        <w:t>2</w:t>
      </w:r>
    </w:p>
    <w:p w14:paraId="72916C9F"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500100D4" w14:textId="77777777" w:rsidR="00000000" w:rsidRDefault="002F725F">
      <w:pPr>
        <w:pStyle w:val="NormalWeb"/>
        <w:spacing w:before="0" w:beforeAutospacing="0" w:after="0" w:afterAutospacing="0"/>
        <w:ind w:firstLine="720"/>
        <w:jc w:val="both"/>
        <w:divId w:val="305475121"/>
        <w:rPr>
          <w:sz w:val="20"/>
          <w:szCs w:val="20"/>
        </w:rPr>
      </w:pPr>
      <w:r>
        <w:rPr>
          <w:sz w:val="20"/>
          <w:szCs w:val="20"/>
        </w:rPr>
        <w:t>The Merger remains subject to the satisfaction or waiver of the conditions set forth in the Merger Agree</w:t>
      </w:r>
      <w:r>
        <w:rPr>
          <w:sz w:val="20"/>
          <w:szCs w:val="20"/>
        </w:rPr>
        <w:t>ment, including obtaining the requisite approval of the shareholders of the Company. The Merger Agreement, the plan of merger required to be filed with the Registrar of Companies of the Cayman Islands in connection with the Merger (the “Plan of Merger”) an</w:t>
      </w:r>
      <w:r>
        <w:rPr>
          <w:sz w:val="20"/>
          <w:szCs w:val="20"/>
        </w:rPr>
        <w:t>d the transactions contemplated by the Merger Agreement and the Plan of Merger, including the Merger, the Variation of Share Capital and the Adoption of Amended M&amp;A (collectively, the “Transactions”), must be authorized and approved by a special resolution</w:t>
      </w:r>
      <w:r>
        <w:rPr>
          <w:sz w:val="20"/>
          <w:szCs w:val="20"/>
        </w:rPr>
        <w:t xml:space="preserve"> of the shareholders of the Company in accordance with the Company’s second amended and restated memorandum and articles of association and the Cayman Islands Companies Act, which requires the affirmative vote of holders of Shares representing not less tha</w:t>
      </w:r>
      <w:r>
        <w:rPr>
          <w:sz w:val="20"/>
          <w:szCs w:val="20"/>
        </w:rPr>
        <w:t>n two-thirds of the votes cast by such shareholders as, being entitled to do so, vote in person or, where proxies are allowed, by proxy or, in the case of corporations, by their duly authorised representatives, as a single class at the extraordinary genera</w:t>
      </w:r>
      <w:r>
        <w:rPr>
          <w:sz w:val="20"/>
          <w:szCs w:val="20"/>
        </w:rPr>
        <w:t>l meeting or any adjournment or postponement thereof. Pursuant to the rollover and support agreement, dated November 4, 2025, by and among the Rollover Shareholders and Parent (as amended and restated in its entirety by that certain amended and restated ro</w:t>
      </w:r>
      <w:r>
        <w:rPr>
          <w:sz w:val="20"/>
          <w:szCs w:val="20"/>
        </w:rPr>
        <w:t xml:space="preserve">llover and support agreement, dated April 29, 2026, by and among the Rollover Shareholders, Parent and the Company), the Rollover Shareholders will vote or cause to be voted all of the Rollover Shares in favor of the </w:t>
      </w:r>
      <w:r>
        <w:rPr>
          <w:sz w:val="20"/>
          <w:szCs w:val="20"/>
        </w:rPr>
        <w:lastRenderedPageBreak/>
        <w:t>authorization and approval of the Merge</w:t>
      </w:r>
      <w:r>
        <w:rPr>
          <w:sz w:val="20"/>
          <w:szCs w:val="20"/>
        </w:rPr>
        <w:t>r Agreement, the Plan of Merger and the consummation of the Transactions, which collectively represent approximately 53.35% of the voting power of the total issued and outstanding Shares as of the date hereof.</w:t>
      </w:r>
    </w:p>
    <w:p w14:paraId="5189A29A"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282FC2C4" w14:textId="77777777" w:rsidR="00000000" w:rsidRDefault="002F725F">
      <w:pPr>
        <w:pStyle w:val="NormalWeb"/>
        <w:spacing w:before="0" w:beforeAutospacing="0" w:after="0" w:afterAutospacing="0"/>
        <w:ind w:firstLine="720"/>
        <w:jc w:val="both"/>
        <w:divId w:val="305475121"/>
        <w:rPr>
          <w:sz w:val="20"/>
          <w:szCs w:val="20"/>
        </w:rPr>
      </w:pPr>
      <w:r>
        <w:rPr>
          <w:sz w:val="20"/>
          <w:szCs w:val="20"/>
        </w:rPr>
        <w:t>The Company will make available to its share</w:t>
      </w:r>
      <w:r>
        <w:rPr>
          <w:sz w:val="20"/>
          <w:szCs w:val="20"/>
        </w:rPr>
        <w:t>holders a proxy statement (the “Proxy Statement,” a preliminary copy of which is attached as Exhibit (a)-(1) to this Transaction Statement), relating to the extraordinary general meeting of the Company’s shareholders, at which the Company’s shareholders wi</w:t>
      </w:r>
      <w:r>
        <w:rPr>
          <w:sz w:val="20"/>
          <w:szCs w:val="20"/>
        </w:rPr>
        <w:t>ll consider and vote upon, among other proposals, a proposal to authorize and approve the Merger Agreement, the Plan of Merger and the Transactions. As of the date hereof, the Proxy Statement is in preliminary form and is subject to completion. Capitalized</w:t>
      </w:r>
      <w:r>
        <w:rPr>
          <w:sz w:val="20"/>
          <w:szCs w:val="20"/>
        </w:rPr>
        <w:t xml:space="preserve"> terms used but not defined in this Transaction Statement shall have the meanings given to them in the Proxy Statement.</w:t>
      </w:r>
    </w:p>
    <w:p w14:paraId="4B4FA45B"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49611804" w14:textId="77777777" w:rsidR="00000000" w:rsidRDefault="002F725F">
      <w:pPr>
        <w:pStyle w:val="NormalWeb"/>
        <w:spacing w:before="0" w:beforeAutospacing="0" w:after="0" w:afterAutospacing="0"/>
        <w:ind w:firstLine="720"/>
        <w:jc w:val="both"/>
        <w:divId w:val="305475121"/>
        <w:rPr>
          <w:sz w:val="20"/>
          <w:szCs w:val="20"/>
        </w:rPr>
      </w:pPr>
      <w:r>
        <w:rPr>
          <w:sz w:val="20"/>
          <w:szCs w:val="20"/>
        </w:rPr>
        <w:t>The cross-references below are being supplied pursuant to General Instruction G to Schedule 13E-3 and show the location in the Proxy S</w:t>
      </w:r>
      <w:r>
        <w:rPr>
          <w:sz w:val="20"/>
          <w:szCs w:val="20"/>
        </w:rPr>
        <w:t>tatement of the information required to be included in response to the items of Schedule 13E-3. Pursuant to General Instruction F to Schedule 13E-3, the information contained in the Proxy Statement, including all annexes thereto, is incorporated in its ent</w:t>
      </w:r>
      <w:r>
        <w:rPr>
          <w:sz w:val="20"/>
          <w:szCs w:val="20"/>
        </w:rPr>
        <w:t>irety herein by this reference, and the responses to each item in this Transaction Statement are qualified in their entirety by the information contained in the Proxy Statement and the annexes thereto.</w:t>
      </w:r>
    </w:p>
    <w:p w14:paraId="2CE32CF1"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223FEB13" w14:textId="77777777" w:rsidR="00000000" w:rsidRDefault="002F725F">
      <w:pPr>
        <w:pStyle w:val="NormalWeb"/>
        <w:spacing w:before="0" w:beforeAutospacing="0" w:after="0" w:afterAutospacing="0"/>
        <w:ind w:firstLine="720"/>
        <w:jc w:val="both"/>
        <w:divId w:val="305475121"/>
        <w:rPr>
          <w:sz w:val="20"/>
          <w:szCs w:val="20"/>
        </w:rPr>
      </w:pPr>
      <w:r>
        <w:rPr>
          <w:sz w:val="20"/>
          <w:szCs w:val="20"/>
        </w:rPr>
        <w:t>All information contained in this Transaction Statem</w:t>
      </w:r>
      <w:r>
        <w:rPr>
          <w:sz w:val="20"/>
          <w:szCs w:val="20"/>
        </w:rPr>
        <w:t>ent concerning each Filing Person has been supplied by such Filing Person. No Filing Person, including the Company, has supplied any information with respect to any other Filing Person.</w:t>
      </w:r>
    </w:p>
    <w:p w14:paraId="092A035C"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76EEB5F7" w14:textId="77777777">
        <w:trPr>
          <w:divId w:val="305475121"/>
          <w:tblCellSpacing w:w="0" w:type="dxa"/>
        </w:trPr>
        <w:tc>
          <w:tcPr>
            <w:tcW w:w="0" w:type="pct"/>
            <w:hideMark/>
          </w:tcPr>
          <w:p w14:paraId="2BCF9087" w14:textId="77777777" w:rsidR="00000000" w:rsidRDefault="002F725F">
            <w:pPr>
              <w:rPr>
                <w:sz w:val="20"/>
                <w:szCs w:val="20"/>
              </w:rPr>
            </w:pPr>
          </w:p>
        </w:tc>
        <w:tc>
          <w:tcPr>
            <w:tcW w:w="720" w:type="dxa"/>
            <w:hideMark/>
          </w:tcPr>
          <w:p w14:paraId="54E8560C" w14:textId="77777777" w:rsidR="00000000" w:rsidRDefault="002F725F">
            <w:pPr>
              <w:rPr>
                <w:rFonts w:eastAsia="Times New Roman"/>
                <w:sz w:val="20"/>
                <w:szCs w:val="20"/>
              </w:rPr>
            </w:pPr>
            <w:bookmarkStart w:id="1" w:name="gfpea0289617-sc13e3a6_lake.htma_001"/>
            <w:bookmarkEnd w:id="1"/>
            <w:r>
              <w:rPr>
                <w:rFonts w:eastAsia="Times New Roman"/>
                <w:b/>
                <w:bCs/>
                <w:sz w:val="20"/>
                <w:szCs w:val="20"/>
              </w:rPr>
              <w:t>Item 1</w:t>
            </w:r>
          </w:p>
        </w:tc>
        <w:tc>
          <w:tcPr>
            <w:tcW w:w="0" w:type="auto"/>
            <w:hideMark/>
          </w:tcPr>
          <w:p w14:paraId="7039DD61" w14:textId="77777777" w:rsidR="00000000" w:rsidRDefault="002F725F">
            <w:pPr>
              <w:jc w:val="both"/>
              <w:rPr>
                <w:rFonts w:eastAsia="Times New Roman"/>
                <w:sz w:val="20"/>
                <w:szCs w:val="20"/>
              </w:rPr>
            </w:pPr>
            <w:r>
              <w:rPr>
                <w:rFonts w:eastAsia="Times New Roman"/>
                <w:b/>
                <w:bCs/>
                <w:sz w:val="20"/>
                <w:szCs w:val="20"/>
              </w:rPr>
              <w:t>Summary of Term Sheet</w:t>
            </w:r>
          </w:p>
        </w:tc>
      </w:tr>
    </w:tbl>
    <w:p w14:paraId="3EC7BBF1"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0F81E618" w14:textId="77777777" w:rsidR="00000000" w:rsidRDefault="002F725F">
      <w:pPr>
        <w:pStyle w:val="NormalWeb"/>
        <w:spacing w:before="0" w:beforeAutospacing="0" w:after="0" w:afterAutospacing="0"/>
        <w:ind w:firstLine="720"/>
        <w:jc w:val="both"/>
        <w:divId w:val="305475121"/>
        <w:rPr>
          <w:sz w:val="20"/>
          <w:szCs w:val="20"/>
        </w:rPr>
      </w:pPr>
      <w:r>
        <w:rPr>
          <w:sz w:val="20"/>
          <w:szCs w:val="20"/>
        </w:rPr>
        <w:t>The information set forth in the Proxy Statement under the following captions is incorporated herein by reference:</w:t>
      </w:r>
    </w:p>
    <w:p w14:paraId="0564DC85"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82EA3F4" w14:textId="77777777">
        <w:trPr>
          <w:divId w:val="305475121"/>
          <w:tblCellSpacing w:w="0" w:type="dxa"/>
        </w:trPr>
        <w:tc>
          <w:tcPr>
            <w:tcW w:w="1080" w:type="dxa"/>
            <w:hideMark/>
          </w:tcPr>
          <w:p w14:paraId="096C9DD5" w14:textId="77777777" w:rsidR="00000000" w:rsidRDefault="002F725F">
            <w:pPr>
              <w:rPr>
                <w:sz w:val="20"/>
                <w:szCs w:val="20"/>
              </w:rPr>
            </w:pPr>
          </w:p>
        </w:tc>
        <w:tc>
          <w:tcPr>
            <w:tcW w:w="360" w:type="dxa"/>
            <w:hideMark/>
          </w:tcPr>
          <w:p w14:paraId="26EF9ABE" w14:textId="77777777" w:rsidR="00000000" w:rsidRDefault="002F725F">
            <w:pPr>
              <w:rPr>
                <w:rFonts w:eastAsia="Times New Roman"/>
                <w:sz w:val="20"/>
                <w:szCs w:val="20"/>
              </w:rPr>
            </w:pPr>
            <w:r>
              <w:rPr>
                <w:rFonts w:eastAsia="Times New Roman"/>
                <w:sz w:val="20"/>
                <w:szCs w:val="20"/>
              </w:rPr>
              <w:t>●</w:t>
            </w:r>
          </w:p>
        </w:tc>
        <w:tc>
          <w:tcPr>
            <w:tcW w:w="0" w:type="auto"/>
            <w:hideMark/>
          </w:tcPr>
          <w:p w14:paraId="511044DD" w14:textId="77777777" w:rsidR="00000000" w:rsidRDefault="002F725F">
            <w:pPr>
              <w:jc w:val="both"/>
              <w:rPr>
                <w:rFonts w:eastAsia="Times New Roman"/>
                <w:sz w:val="20"/>
                <w:szCs w:val="20"/>
              </w:rPr>
            </w:pPr>
            <w:r>
              <w:rPr>
                <w:rFonts w:eastAsia="Times New Roman"/>
                <w:sz w:val="20"/>
                <w:szCs w:val="20"/>
              </w:rPr>
              <w:t>“SUMMARY TERM SHEET”</w:t>
            </w:r>
          </w:p>
        </w:tc>
      </w:tr>
    </w:tbl>
    <w:p w14:paraId="3054C765"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47AA208" w14:textId="77777777">
        <w:trPr>
          <w:divId w:val="305475121"/>
          <w:tblCellSpacing w:w="0" w:type="dxa"/>
        </w:trPr>
        <w:tc>
          <w:tcPr>
            <w:tcW w:w="1080" w:type="dxa"/>
            <w:hideMark/>
          </w:tcPr>
          <w:p w14:paraId="3F723BFE" w14:textId="77777777" w:rsidR="00000000" w:rsidRDefault="002F725F">
            <w:pPr>
              <w:rPr>
                <w:sz w:val="20"/>
                <w:szCs w:val="20"/>
              </w:rPr>
            </w:pPr>
          </w:p>
        </w:tc>
        <w:tc>
          <w:tcPr>
            <w:tcW w:w="360" w:type="dxa"/>
            <w:hideMark/>
          </w:tcPr>
          <w:p w14:paraId="1C7451FF" w14:textId="77777777" w:rsidR="00000000" w:rsidRDefault="002F725F">
            <w:pPr>
              <w:rPr>
                <w:rFonts w:eastAsia="Times New Roman"/>
                <w:sz w:val="20"/>
                <w:szCs w:val="20"/>
              </w:rPr>
            </w:pPr>
            <w:r>
              <w:rPr>
                <w:rFonts w:eastAsia="Times New Roman"/>
                <w:sz w:val="20"/>
                <w:szCs w:val="20"/>
              </w:rPr>
              <w:t>●</w:t>
            </w:r>
          </w:p>
        </w:tc>
        <w:tc>
          <w:tcPr>
            <w:tcW w:w="0" w:type="auto"/>
            <w:hideMark/>
          </w:tcPr>
          <w:p w14:paraId="357A6B7E" w14:textId="77777777" w:rsidR="00000000" w:rsidRDefault="002F725F">
            <w:pPr>
              <w:jc w:val="both"/>
              <w:rPr>
                <w:rFonts w:eastAsia="Times New Roman"/>
                <w:sz w:val="20"/>
                <w:szCs w:val="20"/>
              </w:rPr>
            </w:pPr>
            <w:r>
              <w:rPr>
                <w:rFonts w:eastAsia="Times New Roman"/>
                <w:sz w:val="20"/>
                <w:szCs w:val="20"/>
              </w:rPr>
              <w:t>“QUESTIONS AND ANSWERS ABOUT THE EXTRAORDINARY GENERAL MEETING AND THE MERGER”</w:t>
            </w:r>
          </w:p>
        </w:tc>
      </w:tr>
    </w:tbl>
    <w:p w14:paraId="5FA6DDE7"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6FAA4416" w14:textId="77777777">
        <w:trPr>
          <w:divId w:val="305475121"/>
          <w:tblCellSpacing w:w="0" w:type="dxa"/>
        </w:trPr>
        <w:tc>
          <w:tcPr>
            <w:tcW w:w="0" w:type="pct"/>
            <w:hideMark/>
          </w:tcPr>
          <w:p w14:paraId="1F9BCE52" w14:textId="77777777" w:rsidR="00000000" w:rsidRDefault="002F725F">
            <w:pPr>
              <w:rPr>
                <w:sz w:val="20"/>
                <w:szCs w:val="20"/>
              </w:rPr>
            </w:pPr>
          </w:p>
        </w:tc>
        <w:tc>
          <w:tcPr>
            <w:tcW w:w="720" w:type="dxa"/>
            <w:hideMark/>
          </w:tcPr>
          <w:p w14:paraId="3746ECBE" w14:textId="77777777" w:rsidR="00000000" w:rsidRDefault="002F725F">
            <w:pPr>
              <w:rPr>
                <w:rFonts w:eastAsia="Times New Roman"/>
                <w:sz w:val="20"/>
                <w:szCs w:val="20"/>
              </w:rPr>
            </w:pPr>
            <w:bookmarkStart w:id="2" w:name="gfpea0289617-sc13e3a6_lake.htma_002"/>
            <w:bookmarkEnd w:id="2"/>
            <w:r>
              <w:rPr>
                <w:rFonts w:eastAsia="Times New Roman"/>
                <w:b/>
                <w:bCs/>
                <w:sz w:val="20"/>
                <w:szCs w:val="20"/>
              </w:rPr>
              <w:t>Item 2</w:t>
            </w:r>
          </w:p>
        </w:tc>
        <w:tc>
          <w:tcPr>
            <w:tcW w:w="0" w:type="auto"/>
            <w:hideMark/>
          </w:tcPr>
          <w:p w14:paraId="36F4FD68" w14:textId="77777777" w:rsidR="00000000" w:rsidRDefault="002F725F">
            <w:pPr>
              <w:jc w:val="both"/>
              <w:rPr>
                <w:rFonts w:eastAsia="Times New Roman"/>
                <w:sz w:val="20"/>
                <w:szCs w:val="20"/>
              </w:rPr>
            </w:pPr>
            <w:r>
              <w:rPr>
                <w:rFonts w:eastAsia="Times New Roman"/>
                <w:b/>
                <w:bCs/>
                <w:sz w:val="20"/>
                <w:szCs w:val="20"/>
              </w:rPr>
              <w:t>Subject Company Inf</w:t>
            </w:r>
            <w:r>
              <w:rPr>
                <w:rFonts w:eastAsia="Times New Roman"/>
                <w:b/>
                <w:bCs/>
                <w:sz w:val="20"/>
                <w:szCs w:val="20"/>
              </w:rPr>
              <w:t>ormation</w:t>
            </w:r>
          </w:p>
        </w:tc>
      </w:tr>
    </w:tbl>
    <w:p w14:paraId="720300DE"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630C7199" w14:textId="77777777">
        <w:trPr>
          <w:divId w:val="305475121"/>
          <w:tblCellSpacing w:w="0" w:type="dxa"/>
        </w:trPr>
        <w:tc>
          <w:tcPr>
            <w:tcW w:w="6" w:type="dxa"/>
            <w:hideMark/>
          </w:tcPr>
          <w:p w14:paraId="78452EAB" w14:textId="77777777" w:rsidR="00000000" w:rsidRDefault="002F725F">
            <w:pPr>
              <w:rPr>
                <w:sz w:val="20"/>
                <w:szCs w:val="20"/>
              </w:rPr>
            </w:pPr>
          </w:p>
        </w:tc>
        <w:tc>
          <w:tcPr>
            <w:tcW w:w="1080" w:type="dxa"/>
            <w:hideMark/>
          </w:tcPr>
          <w:p w14:paraId="111C573A" w14:textId="77777777" w:rsidR="00000000" w:rsidRDefault="002F725F">
            <w:pPr>
              <w:rPr>
                <w:rFonts w:eastAsia="Times New Roman"/>
                <w:sz w:val="20"/>
                <w:szCs w:val="20"/>
              </w:rPr>
            </w:pPr>
            <w:r>
              <w:rPr>
                <w:rFonts w:eastAsia="Times New Roman"/>
                <w:sz w:val="20"/>
                <w:szCs w:val="20"/>
              </w:rPr>
              <w:t>(a)</w:t>
            </w:r>
          </w:p>
        </w:tc>
        <w:tc>
          <w:tcPr>
            <w:tcW w:w="0" w:type="auto"/>
            <w:hideMark/>
          </w:tcPr>
          <w:p w14:paraId="074AFE5A" w14:textId="77777777" w:rsidR="00000000" w:rsidRDefault="002F725F">
            <w:pPr>
              <w:jc w:val="both"/>
              <w:rPr>
                <w:rFonts w:eastAsia="Times New Roman"/>
                <w:sz w:val="20"/>
                <w:szCs w:val="20"/>
              </w:rPr>
            </w:pPr>
            <w:r>
              <w:rPr>
                <w:rFonts w:eastAsia="Times New Roman"/>
                <w:sz w:val="20"/>
                <w:szCs w:val="20"/>
              </w:rPr>
              <w:t>Name and Address. The information set forth in the Proxy Statement under the following caption is incorporated herein by reference:</w:t>
            </w:r>
          </w:p>
        </w:tc>
      </w:tr>
    </w:tbl>
    <w:p w14:paraId="6F6EEF8B"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437BA71" w14:textId="77777777">
        <w:trPr>
          <w:divId w:val="305475121"/>
          <w:tblCellSpacing w:w="0" w:type="dxa"/>
        </w:trPr>
        <w:tc>
          <w:tcPr>
            <w:tcW w:w="1080" w:type="dxa"/>
            <w:hideMark/>
          </w:tcPr>
          <w:p w14:paraId="0DE89618" w14:textId="77777777" w:rsidR="00000000" w:rsidRDefault="002F725F">
            <w:pPr>
              <w:rPr>
                <w:sz w:val="20"/>
                <w:szCs w:val="20"/>
              </w:rPr>
            </w:pPr>
          </w:p>
        </w:tc>
        <w:tc>
          <w:tcPr>
            <w:tcW w:w="360" w:type="dxa"/>
            <w:hideMark/>
          </w:tcPr>
          <w:p w14:paraId="2ED2CE18" w14:textId="77777777" w:rsidR="00000000" w:rsidRDefault="002F725F">
            <w:pPr>
              <w:rPr>
                <w:rFonts w:eastAsia="Times New Roman"/>
                <w:sz w:val="20"/>
                <w:szCs w:val="20"/>
              </w:rPr>
            </w:pPr>
            <w:r>
              <w:rPr>
                <w:rFonts w:eastAsia="Times New Roman"/>
                <w:sz w:val="20"/>
                <w:szCs w:val="20"/>
              </w:rPr>
              <w:t>●</w:t>
            </w:r>
          </w:p>
        </w:tc>
        <w:tc>
          <w:tcPr>
            <w:tcW w:w="0" w:type="auto"/>
            <w:hideMark/>
          </w:tcPr>
          <w:p w14:paraId="68392B1C" w14:textId="77777777" w:rsidR="00000000" w:rsidRDefault="002F725F">
            <w:pPr>
              <w:jc w:val="both"/>
              <w:rPr>
                <w:rFonts w:eastAsia="Times New Roman"/>
                <w:sz w:val="20"/>
                <w:szCs w:val="20"/>
              </w:rPr>
            </w:pPr>
            <w:r>
              <w:rPr>
                <w:rFonts w:eastAsia="Times New Roman"/>
                <w:sz w:val="20"/>
                <w:szCs w:val="20"/>
              </w:rPr>
              <w:t>“SUMMARY TERM SHEET—The Parties Involved in the Merger”</w:t>
            </w:r>
          </w:p>
        </w:tc>
      </w:tr>
    </w:tbl>
    <w:p w14:paraId="18F88920"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17CF5183" w14:textId="77777777">
        <w:trPr>
          <w:divId w:val="305475121"/>
          <w:tblCellSpacing w:w="0" w:type="dxa"/>
        </w:trPr>
        <w:tc>
          <w:tcPr>
            <w:tcW w:w="6" w:type="dxa"/>
            <w:hideMark/>
          </w:tcPr>
          <w:p w14:paraId="11B13EB6" w14:textId="77777777" w:rsidR="00000000" w:rsidRDefault="002F725F">
            <w:pPr>
              <w:rPr>
                <w:sz w:val="20"/>
                <w:szCs w:val="20"/>
              </w:rPr>
            </w:pPr>
          </w:p>
        </w:tc>
        <w:tc>
          <w:tcPr>
            <w:tcW w:w="1080" w:type="dxa"/>
            <w:hideMark/>
          </w:tcPr>
          <w:p w14:paraId="57BF746D" w14:textId="77777777" w:rsidR="00000000" w:rsidRDefault="002F725F">
            <w:pPr>
              <w:rPr>
                <w:rFonts w:eastAsia="Times New Roman"/>
                <w:sz w:val="20"/>
                <w:szCs w:val="20"/>
              </w:rPr>
            </w:pPr>
            <w:r>
              <w:rPr>
                <w:rFonts w:eastAsia="Times New Roman"/>
                <w:sz w:val="20"/>
                <w:szCs w:val="20"/>
              </w:rPr>
              <w:t>(b)</w:t>
            </w:r>
          </w:p>
        </w:tc>
        <w:tc>
          <w:tcPr>
            <w:tcW w:w="0" w:type="auto"/>
            <w:hideMark/>
          </w:tcPr>
          <w:p w14:paraId="66E26F28" w14:textId="77777777" w:rsidR="00000000" w:rsidRDefault="002F725F">
            <w:pPr>
              <w:jc w:val="both"/>
              <w:rPr>
                <w:rFonts w:eastAsia="Times New Roman"/>
                <w:sz w:val="20"/>
                <w:szCs w:val="20"/>
              </w:rPr>
            </w:pPr>
            <w:r>
              <w:rPr>
                <w:rFonts w:eastAsia="Times New Roman"/>
                <w:sz w:val="20"/>
                <w:szCs w:val="20"/>
              </w:rPr>
              <w:t>Securities. </w:t>
            </w:r>
            <w:r>
              <w:rPr>
                <w:rFonts w:eastAsia="Times New Roman"/>
                <w:sz w:val="20"/>
                <w:szCs w:val="20"/>
              </w:rPr>
              <w:t>The information set forth in the Proxy Statement under the following captions is incorporated herein by reference:</w:t>
            </w:r>
          </w:p>
        </w:tc>
      </w:tr>
    </w:tbl>
    <w:p w14:paraId="0776CB5C"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8E8C735" w14:textId="77777777">
        <w:trPr>
          <w:divId w:val="305475121"/>
          <w:tblCellSpacing w:w="0" w:type="dxa"/>
        </w:trPr>
        <w:tc>
          <w:tcPr>
            <w:tcW w:w="1080" w:type="dxa"/>
            <w:hideMark/>
          </w:tcPr>
          <w:p w14:paraId="736447CF" w14:textId="77777777" w:rsidR="00000000" w:rsidRDefault="002F725F">
            <w:pPr>
              <w:rPr>
                <w:sz w:val="20"/>
                <w:szCs w:val="20"/>
              </w:rPr>
            </w:pPr>
          </w:p>
        </w:tc>
        <w:tc>
          <w:tcPr>
            <w:tcW w:w="360" w:type="dxa"/>
            <w:hideMark/>
          </w:tcPr>
          <w:p w14:paraId="6923C3A9" w14:textId="77777777" w:rsidR="00000000" w:rsidRDefault="002F725F">
            <w:pPr>
              <w:rPr>
                <w:rFonts w:eastAsia="Times New Roman"/>
                <w:sz w:val="20"/>
                <w:szCs w:val="20"/>
              </w:rPr>
            </w:pPr>
            <w:r>
              <w:rPr>
                <w:rFonts w:eastAsia="Times New Roman"/>
                <w:sz w:val="20"/>
                <w:szCs w:val="20"/>
              </w:rPr>
              <w:t>●</w:t>
            </w:r>
          </w:p>
        </w:tc>
        <w:tc>
          <w:tcPr>
            <w:tcW w:w="0" w:type="auto"/>
            <w:hideMark/>
          </w:tcPr>
          <w:p w14:paraId="1C162727" w14:textId="77777777" w:rsidR="00000000" w:rsidRDefault="002F725F">
            <w:pPr>
              <w:jc w:val="both"/>
              <w:rPr>
                <w:rFonts w:eastAsia="Times New Roman"/>
                <w:sz w:val="20"/>
                <w:szCs w:val="20"/>
              </w:rPr>
            </w:pPr>
            <w:r>
              <w:rPr>
                <w:rFonts w:eastAsia="Times New Roman"/>
                <w:sz w:val="20"/>
                <w:szCs w:val="20"/>
              </w:rPr>
              <w:t>“THE EXTRAORDINARY GENERAL MEETING—Record Date; Shares Entitled to Vote”</w:t>
            </w:r>
          </w:p>
        </w:tc>
      </w:tr>
    </w:tbl>
    <w:p w14:paraId="352EED09"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C5BFA15" w14:textId="77777777">
        <w:trPr>
          <w:divId w:val="305475121"/>
          <w:tblCellSpacing w:w="0" w:type="dxa"/>
        </w:trPr>
        <w:tc>
          <w:tcPr>
            <w:tcW w:w="1080" w:type="dxa"/>
            <w:hideMark/>
          </w:tcPr>
          <w:p w14:paraId="64482F42" w14:textId="77777777" w:rsidR="00000000" w:rsidRDefault="002F725F">
            <w:pPr>
              <w:rPr>
                <w:sz w:val="20"/>
                <w:szCs w:val="20"/>
              </w:rPr>
            </w:pPr>
          </w:p>
        </w:tc>
        <w:tc>
          <w:tcPr>
            <w:tcW w:w="360" w:type="dxa"/>
            <w:hideMark/>
          </w:tcPr>
          <w:p w14:paraId="4049F1A2" w14:textId="77777777" w:rsidR="00000000" w:rsidRDefault="002F725F">
            <w:pPr>
              <w:rPr>
                <w:rFonts w:eastAsia="Times New Roman"/>
                <w:sz w:val="20"/>
                <w:szCs w:val="20"/>
              </w:rPr>
            </w:pPr>
            <w:r>
              <w:rPr>
                <w:rFonts w:eastAsia="Times New Roman"/>
                <w:sz w:val="20"/>
                <w:szCs w:val="20"/>
              </w:rPr>
              <w:t>●</w:t>
            </w:r>
          </w:p>
        </w:tc>
        <w:tc>
          <w:tcPr>
            <w:tcW w:w="0" w:type="auto"/>
            <w:hideMark/>
          </w:tcPr>
          <w:p w14:paraId="6FC7BAF3" w14:textId="77777777" w:rsidR="00000000" w:rsidRDefault="002F725F">
            <w:pPr>
              <w:jc w:val="both"/>
              <w:rPr>
                <w:rFonts w:eastAsia="Times New Roman"/>
                <w:sz w:val="20"/>
                <w:szCs w:val="20"/>
              </w:rPr>
            </w:pPr>
            <w:r>
              <w:rPr>
                <w:rFonts w:eastAsia="Times New Roman"/>
                <w:sz w:val="20"/>
                <w:szCs w:val="20"/>
              </w:rPr>
              <w:t>“</w:t>
            </w:r>
            <w:r>
              <w:rPr>
                <w:rFonts w:eastAsia="Times New Roman"/>
                <w:sz w:val="20"/>
                <w:szCs w:val="20"/>
              </w:rPr>
              <w:t>THE EXTRAORDINARY GENERAL MEETING—Procedures for Voting”</w:t>
            </w:r>
          </w:p>
        </w:tc>
      </w:tr>
    </w:tbl>
    <w:p w14:paraId="4F95D091"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C61813D" w14:textId="77777777">
        <w:trPr>
          <w:divId w:val="305475121"/>
          <w:tblCellSpacing w:w="0" w:type="dxa"/>
        </w:trPr>
        <w:tc>
          <w:tcPr>
            <w:tcW w:w="1080" w:type="dxa"/>
            <w:hideMark/>
          </w:tcPr>
          <w:p w14:paraId="416F3BD1" w14:textId="77777777" w:rsidR="00000000" w:rsidRDefault="002F725F">
            <w:pPr>
              <w:rPr>
                <w:sz w:val="20"/>
                <w:szCs w:val="20"/>
              </w:rPr>
            </w:pPr>
          </w:p>
        </w:tc>
        <w:tc>
          <w:tcPr>
            <w:tcW w:w="360" w:type="dxa"/>
            <w:hideMark/>
          </w:tcPr>
          <w:p w14:paraId="6356A567" w14:textId="77777777" w:rsidR="00000000" w:rsidRDefault="002F725F">
            <w:pPr>
              <w:rPr>
                <w:rFonts w:eastAsia="Times New Roman"/>
                <w:sz w:val="20"/>
                <w:szCs w:val="20"/>
              </w:rPr>
            </w:pPr>
            <w:r>
              <w:rPr>
                <w:rFonts w:eastAsia="Times New Roman"/>
                <w:sz w:val="20"/>
                <w:szCs w:val="20"/>
              </w:rPr>
              <w:t>●</w:t>
            </w:r>
          </w:p>
        </w:tc>
        <w:tc>
          <w:tcPr>
            <w:tcW w:w="0" w:type="auto"/>
            <w:hideMark/>
          </w:tcPr>
          <w:p w14:paraId="0E145084" w14:textId="77777777" w:rsidR="00000000" w:rsidRDefault="002F725F">
            <w:pPr>
              <w:jc w:val="both"/>
              <w:rPr>
                <w:rFonts w:eastAsia="Times New Roman"/>
                <w:sz w:val="20"/>
                <w:szCs w:val="20"/>
              </w:rPr>
            </w:pPr>
            <w:r>
              <w:rPr>
                <w:rFonts w:eastAsia="Times New Roman"/>
                <w:sz w:val="20"/>
                <w:szCs w:val="20"/>
              </w:rPr>
              <w:t>“SECURITY OWNERSHIP OF CERTAIN BENEFICIAL OWNERS AND MANAGEMENT OF THE COMPANY”</w:t>
            </w:r>
          </w:p>
        </w:tc>
      </w:tr>
    </w:tbl>
    <w:p w14:paraId="03A7DE3A"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p w14:paraId="5A04FB1C" w14:textId="77777777" w:rsidR="00000000" w:rsidRDefault="002F725F">
      <w:pPr>
        <w:pStyle w:val="NormalWeb"/>
        <w:spacing w:before="0" w:beforeAutospacing="0" w:after="0" w:afterAutospacing="0"/>
        <w:jc w:val="center"/>
        <w:divId w:val="1241332090"/>
        <w:rPr>
          <w:sz w:val="20"/>
          <w:szCs w:val="20"/>
        </w:rPr>
      </w:pPr>
      <w:r>
        <w:rPr>
          <w:sz w:val="20"/>
          <w:szCs w:val="20"/>
        </w:rPr>
        <w:t>3</w:t>
      </w:r>
    </w:p>
    <w:p w14:paraId="0C22492D"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5CA3B1E3" w14:textId="77777777">
        <w:trPr>
          <w:divId w:val="305475121"/>
          <w:tblCellSpacing w:w="0" w:type="dxa"/>
        </w:trPr>
        <w:tc>
          <w:tcPr>
            <w:tcW w:w="6" w:type="dxa"/>
            <w:hideMark/>
          </w:tcPr>
          <w:p w14:paraId="1A5DFB52" w14:textId="77777777" w:rsidR="00000000" w:rsidRDefault="002F725F">
            <w:pPr>
              <w:rPr>
                <w:sz w:val="20"/>
                <w:szCs w:val="20"/>
              </w:rPr>
            </w:pPr>
          </w:p>
        </w:tc>
        <w:tc>
          <w:tcPr>
            <w:tcW w:w="1080" w:type="dxa"/>
            <w:hideMark/>
          </w:tcPr>
          <w:p w14:paraId="227F4691" w14:textId="77777777" w:rsidR="00000000" w:rsidRDefault="002F725F">
            <w:pPr>
              <w:rPr>
                <w:rFonts w:eastAsia="Times New Roman"/>
                <w:sz w:val="20"/>
                <w:szCs w:val="20"/>
              </w:rPr>
            </w:pPr>
            <w:r>
              <w:rPr>
                <w:rFonts w:eastAsia="Times New Roman"/>
                <w:sz w:val="20"/>
                <w:szCs w:val="20"/>
              </w:rPr>
              <w:t>(c)</w:t>
            </w:r>
          </w:p>
        </w:tc>
        <w:tc>
          <w:tcPr>
            <w:tcW w:w="0" w:type="auto"/>
            <w:hideMark/>
          </w:tcPr>
          <w:p w14:paraId="07C2F0FC" w14:textId="77777777" w:rsidR="00000000" w:rsidRDefault="002F725F">
            <w:pPr>
              <w:jc w:val="both"/>
              <w:rPr>
                <w:rFonts w:eastAsia="Times New Roman"/>
                <w:sz w:val="20"/>
                <w:szCs w:val="20"/>
              </w:rPr>
            </w:pPr>
            <w:r>
              <w:rPr>
                <w:rFonts w:eastAsia="Times New Roman"/>
                <w:sz w:val="20"/>
                <w:szCs w:val="20"/>
              </w:rPr>
              <w:t>Trading Market and Price. The information set forth in the Proxy Statement under the following captio</w:t>
            </w:r>
            <w:r>
              <w:rPr>
                <w:rFonts w:eastAsia="Times New Roman"/>
                <w:sz w:val="20"/>
                <w:szCs w:val="20"/>
              </w:rPr>
              <w:t>n is incorporated herein by reference:</w:t>
            </w:r>
          </w:p>
        </w:tc>
      </w:tr>
    </w:tbl>
    <w:p w14:paraId="0EEC301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D85E2FE" w14:textId="77777777">
        <w:trPr>
          <w:divId w:val="305475121"/>
          <w:tblCellSpacing w:w="0" w:type="dxa"/>
        </w:trPr>
        <w:tc>
          <w:tcPr>
            <w:tcW w:w="1080" w:type="dxa"/>
            <w:hideMark/>
          </w:tcPr>
          <w:p w14:paraId="15FE18BC" w14:textId="77777777" w:rsidR="00000000" w:rsidRDefault="002F725F">
            <w:pPr>
              <w:rPr>
                <w:sz w:val="20"/>
                <w:szCs w:val="20"/>
              </w:rPr>
            </w:pPr>
          </w:p>
        </w:tc>
        <w:tc>
          <w:tcPr>
            <w:tcW w:w="360" w:type="dxa"/>
            <w:hideMark/>
          </w:tcPr>
          <w:p w14:paraId="50079C1E" w14:textId="77777777" w:rsidR="00000000" w:rsidRDefault="002F725F">
            <w:pPr>
              <w:rPr>
                <w:rFonts w:eastAsia="Times New Roman"/>
                <w:sz w:val="20"/>
                <w:szCs w:val="20"/>
              </w:rPr>
            </w:pPr>
            <w:r>
              <w:rPr>
                <w:rFonts w:eastAsia="Times New Roman"/>
                <w:sz w:val="20"/>
                <w:szCs w:val="20"/>
              </w:rPr>
              <w:t>●</w:t>
            </w:r>
          </w:p>
        </w:tc>
        <w:tc>
          <w:tcPr>
            <w:tcW w:w="0" w:type="auto"/>
            <w:hideMark/>
          </w:tcPr>
          <w:p w14:paraId="4EFD111A" w14:textId="77777777" w:rsidR="00000000" w:rsidRDefault="002F725F">
            <w:pPr>
              <w:jc w:val="both"/>
              <w:rPr>
                <w:rFonts w:eastAsia="Times New Roman"/>
                <w:sz w:val="20"/>
                <w:szCs w:val="20"/>
              </w:rPr>
            </w:pPr>
            <w:r>
              <w:rPr>
                <w:rFonts w:eastAsia="Times New Roman"/>
                <w:sz w:val="20"/>
                <w:szCs w:val="20"/>
              </w:rPr>
              <w:t>“MARKET PRICE OF THE COMPANY’S SHARES, DIVIDENDS AND OTHER MATTERS”</w:t>
            </w:r>
          </w:p>
        </w:tc>
      </w:tr>
    </w:tbl>
    <w:p w14:paraId="74620E3A"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4B3C31F3" w14:textId="77777777">
        <w:trPr>
          <w:divId w:val="305475121"/>
          <w:tblCellSpacing w:w="0" w:type="dxa"/>
        </w:trPr>
        <w:tc>
          <w:tcPr>
            <w:tcW w:w="6" w:type="dxa"/>
            <w:hideMark/>
          </w:tcPr>
          <w:p w14:paraId="70C8ACBF" w14:textId="77777777" w:rsidR="00000000" w:rsidRDefault="002F725F">
            <w:pPr>
              <w:rPr>
                <w:sz w:val="20"/>
                <w:szCs w:val="20"/>
              </w:rPr>
            </w:pPr>
          </w:p>
        </w:tc>
        <w:tc>
          <w:tcPr>
            <w:tcW w:w="1080" w:type="dxa"/>
            <w:hideMark/>
          </w:tcPr>
          <w:p w14:paraId="5D9807F5" w14:textId="77777777" w:rsidR="00000000" w:rsidRDefault="002F725F">
            <w:pPr>
              <w:rPr>
                <w:rFonts w:eastAsia="Times New Roman"/>
                <w:sz w:val="20"/>
                <w:szCs w:val="20"/>
              </w:rPr>
            </w:pPr>
            <w:r>
              <w:rPr>
                <w:rFonts w:eastAsia="Times New Roman"/>
                <w:sz w:val="20"/>
                <w:szCs w:val="20"/>
              </w:rPr>
              <w:t>(d)</w:t>
            </w:r>
          </w:p>
        </w:tc>
        <w:tc>
          <w:tcPr>
            <w:tcW w:w="0" w:type="auto"/>
            <w:hideMark/>
          </w:tcPr>
          <w:p w14:paraId="2C76237D" w14:textId="77777777" w:rsidR="00000000" w:rsidRDefault="002F725F">
            <w:pPr>
              <w:jc w:val="both"/>
              <w:rPr>
                <w:rFonts w:eastAsia="Times New Roman"/>
                <w:sz w:val="20"/>
                <w:szCs w:val="20"/>
              </w:rPr>
            </w:pPr>
            <w:r>
              <w:rPr>
                <w:rFonts w:eastAsia="Times New Roman"/>
                <w:sz w:val="20"/>
                <w:szCs w:val="20"/>
              </w:rPr>
              <w:t>Dividends. The information set forth in the Proxy Statement under the following caption is incorporated herein by reference:</w:t>
            </w:r>
          </w:p>
        </w:tc>
      </w:tr>
    </w:tbl>
    <w:p w14:paraId="5F551250"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B77D019" w14:textId="77777777">
        <w:trPr>
          <w:divId w:val="305475121"/>
          <w:tblCellSpacing w:w="0" w:type="dxa"/>
        </w:trPr>
        <w:tc>
          <w:tcPr>
            <w:tcW w:w="1080" w:type="dxa"/>
            <w:hideMark/>
          </w:tcPr>
          <w:p w14:paraId="5DAC7B80" w14:textId="77777777" w:rsidR="00000000" w:rsidRDefault="002F725F">
            <w:pPr>
              <w:rPr>
                <w:sz w:val="20"/>
                <w:szCs w:val="20"/>
              </w:rPr>
            </w:pPr>
          </w:p>
        </w:tc>
        <w:tc>
          <w:tcPr>
            <w:tcW w:w="360" w:type="dxa"/>
            <w:hideMark/>
          </w:tcPr>
          <w:p w14:paraId="3D0AC1AE" w14:textId="77777777" w:rsidR="00000000" w:rsidRDefault="002F725F">
            <w:pPr>
              <w:rPr>
                <w:rFonts w:eastAsia="Times New Roman"/>
                <w:sz w:val="20"/>
                <w:szCs w:val="20"/>
              </w:rPr>
            </w:pPr>
            <w:r>
              <w:rPr>
                <w:rFonts w:eastAsia="Times New Roman"/>
                <w:sz w:val="20"/>
                <w:szCs w:val="20"/>
              </w:rPr>
              <w:t>●</w:t>
            </w:r>
          </w:p>
        </w:tc>
        <w:tc>
          <w:tcPr>
            <w:tcW w:w="0" w:type="auto"/>
            <w:hideMark/>
          </w:tcPr>
          <w:p w14:paraId="60B5046E" w14:textId="77777777" w:rsidR="00000000" w:rsidRDefault="002F725F">
            <w:pPr>
              <w:jc w:val="both"/>
              <w:rPr>
                <w:rFonts w:eastAsia="Times New Roman"/>
                <w:sz w:val="20"/>
                <w:szCs w:val="20"/>
              </w:rPr>
            </w:pPr>
            <w:r>
              <w:rPr>
                <w:rFonts w:eastAsia="Times New Roman"/>
                <w:sz w:val="20"/>
                <w:szCs w:val="20"/>
              </w:rPr>
              <w:t>“MARKET PRICE OF THE COMPANY’S SHARES, DIVIDENDS AND OTHER MATTERS”</w:t>
            </w:r>
          </w:p>
        </w:tc>
      </w:tr>
    </w:tbl>
    <w:p w14:paraId="5E770448"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B584802" w14:textId="77777777">
        <w:trPr>
          <w:divId w:val="305475121"/>
          <w:tblCellSpacing w:w="0" w:type="dxa"/>
        </w:trPr>
        <w:tc>
          <w:tcPr>
            <w:tcW w:w="1080" w:type="dxa"/>
            <w:hideMark/>
          </w:tcPr>
          <w:p w14:paraId="16EC16A6" w14:textId="77777777" w:rsidR="00000000" w:rsidRDefault="002F725F">
            <w:pPr>
              <w:rPr>
                <w:sz w:val="20"/>
                <w:szCs w:val="20"/>
              </w:rPr>
            </w:pPr>
          </w:p>
        </w:tc>
        <w:tc>
          <w:tcPr>
            <w:tcW w:w="360" w:type="dxa"/>
            <w:hideMark/>
          </w:tcPr>
          <w:p w14:paraId="7A2DA5A2" w14:textId="77777777" w:rsidR="00000000" w:rsidRDefault="002F725F">
            <w:pPr>
              <w:rPr>
                <w:rFonts w:eastAsia="Times New Roman"/>
                <w:sz w:val="20"/>
                <w:szCs w:val="20"/>
              </w:rPr>
            </w:pPr>
            <w:r>
              <w:rPr>
                <w:rFonts w:eastAsia="Times New Roman"/>
                <w:sz w:val="20"/>
                <w:szCs w:val="20"/>
              </w:rPr>
              <w:t>●</w:t>
            </w:r>
          </w:p>
        </w:tc>
        <w:tc>
          <w:tcPr>
            <w:tcW w:w="0" w:type="auto"/>
            <w:hideMark/>
          </w:tcPr>
          <w:p w14:paraId="4438350F" w14:textId="77777777" w:rsidR="00000000" w:rsidRDefault="002F725F">
            <w:pPr>
              <w:jc w:val="both"/>
              <w:rPr>
                <w:rFonts w:eastAsia="Times New Roman"/>
                <w:sz w:val="20"/>
                <w:szCs w:val="20"/>
              </w:rPr>
            </w:pPr>
            <w:r>
              <w:rPr>
                <w:rFonts w:eastAsia="Times New Roman"/>
                <w:sz w:val="20"/>
                <w:szCs w:val="20"/>
              </w:rPr>
              <w:t>“THE MERGER AGREEMENT—</w:t>
            </w:r>
            <w:r>
              <w:rPr>
                <w:rFonts w:eastAsia="Times New Roman"/>
                <w:sz w:val="20"/>
                <w:szCs w:val="20"/>
              </w:rPr>
              <w:t>Conduct of Business Prior to Closing”</w:t>
            </w:r>
          </w:p>
        </w:tc>
      </w:tr>
    </w:tbl>
    <w:p w14:paraId="44CF3A1C"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574A1E57" w14:textId="77777777">
        <w:trPr>
          <w:divId w:val="305475121"/>
          <w:tblCellSpacing w:w="0" w:type="dxa"/>
        </w:trPr>
        <w:tc>
          <w:tcPr>
            <w:tcW w:w="6" w:type="dxa"/>
            <w:hideMark/>
          </w:tcPr>
          <w:p w14:paraId="5CF525A7" w14:textId="77777777" w:rsidR="00000000" w:rsidRDefault="002F725F">
            <w:pPr>
              <w:rPr>
                <w:sz w:val="20"/>
                <w:szCs w:val="20"/>
              </w:rPr>
            </w:pPr>
          </w:p>
        </w:tc>
        <w:tc>
          <w:tcPr>
            <w:tcW w:w="1080" w:type="dxa"/>
            <w:hideMark/>
          </w:tcPr>
          <w:p w14:paraId="43B25D92" w14:textId="77777777" w:rsidR="00000000" w:rsidRDefault="002F725F">
            <w:pPr>
              <w:rPr>
                <w:rFonts w:eastAsia="Times New Roman"/>
                <w:sz w:val="20"/>
                <w:szCs w:val="20"/>
              </w:rPr>
            </w:pPr>
            <w:r>
              <w:rPr>
                <w:rFonts w:eastAsia="Times New Roman"/>
                <w:sz w:val="20"/>
                <w:szCs w:val="20"/>
              </w:rPr>
              <w:t>(e)</w:t>
            </w:r>
          </w:p>
        </w:tc>
        <w:tc>
          <w:tcPr>
            <w:tcW w:w="0" w:type="auto"/>
            <w:hideMark/>
          </w:tcPr>
          <w:p w14:paraId="2CBC8514" w14:textId="77777777" w:rsidR="00000000" w:rsidRDefault="002F725F">
            <w:pPr>
              <w:jc w:val="both"/>
              <w:rPr>
                <w:rFonts w:eastAsia="Times New Roman"/>
                <w:sz w:val="20"/>
                <w:szCs w:val="20"/>
              </w:rPr>
            </w:pPr>
            <w:r>
              <w:rPr>
                <w:rFonts w:eastAsia="Times New Roman"/>
                <w:sz w:val="20"/>
                <w:szCs w:val="20"/>
              </w:rPr>
              <w:t>Prior Public Offerings. The information set forth in the Proxy Statement under the following caption is incorporated herein by reference:</w:t>
            </w:r>
          </w:p>
        </w:tc>
      </w:tr>
    </w:tbl>
    <w:p w14:paraId="517AD3C9"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6969BA3" w14:textId="77777777">
        <w:trPr>
          <w:divId w:val="305475121"/>
          <w:tblCellSpacing w:w="0" w:type="dxa"/>
        </w:trPr>
        <w:tc>
          <w:tcPr>
            <w:tcW w:w="1080" w:type="dxa"/>
            <w:hideMark/>
          </w:tcPr>
          <w:p w14:paraId="701B9A3C" w14:textId="77777777" w:rsidR="00000000" w:rsidRDefault="002F725F">
            <w:pPr>
              <w:rPr>
                <w:sz w:val="20"/>
                <w:szCs w:val="20"/>
              </w:rPr>
            </w:pPr>
          </w:p>
        </w:tc>
        <w:tc>
          <w:tcPr>
            <w:tcW w:w="360" w:type="dxa"/>
            <w:hideMark/>
          </w:tcPr>
          <w:p w14:paraId="6DF8F64A" w14:textId="77777777" w:rsidR="00000000" w:rsidRDefault="002F725F">
            <w:pPr>
              <w:rPr>
                <w:rFonts w:eastAsia="Times New Roman"/>
                <w:sz w:val="20"/>
                <w:szCs w:val="20"/>
              </w:rPr>
            </w:pPr>
            <w:r>
              <w:rPr>
                <w:rFonts w:eastAsia="Times New Roman"/>
                <w:sz w:val="20"/>
                <w:szCs w:val="20"/>
              </w:rPr>
              <w:t>●</w:t>
            </w:r>
          </w:p>
        </w:tc>
        <w:tc>
          <w:tcPr>
            <w:tcW w:w="0" w:type="auto"/>
            <w:hideMark/>
          </w:tcPr>
          <w:p w14:paraId="030D76E3" w14:textId="77777777" w:rsidR="00000000" w:rsidRDefault="002F725F">
            <w:pPr>
              <w:jc w:val="both"/>
              <w:rPr>
                <w:rFonts w:eastAsia="Times New Roman"/>
                <w:sz w:val="20"/>
                <w:szCs w:val="20"/>
              </w:rPr>
            </w:pPr>
            <w:r>
              <w:rPr>
                <w:rFonts w:eastAsia="Times New Roman"/>
                <w:sz w:val="20"/>
                <w:szCs w:val="20"/>
              </w:rPr>
              <w:t>“TRANSACTIONS IN THE SHARES AND WARRANTS—Prior Public Offerings”</w:t>
            </w:r>
          </w:p>
        </w:tc>
      </w:tr>
    </w:tbl>
    <w:p w14:paraId="4ADD8665"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0A8FCC69" w14:textId="77777777">
        <w:trPr>
          <w:divId w:val="305475121"/>
          <w:tblCellSpacing w:w="0" w:type="dxa"/>
        </w:trPr>
        <w:tc>
          <w:tcPr>
            <w:tcW w:w="6" w:type="dxa"/>
            <w:hideMark/>
          </w:tcPr>
          <w:p w14:paraId="2F79BACB" w14:textId="77777777" w:rsidR="00000000" w:rsidRDefault="002F725F">
            <w:pPr>
              <w:rPr>
                <w:sz w:val="20"/>
                <w:szCs w:val="20"/>
              </w:rPr>
            </w:pPr>
          </w:p>
        </w:tc>
        <w:tc>
          <w:tcPr>
            <w:tcW w:w="1080" w:type="dxa"/>
            <w:hideMark/>
          </w:tcPr>
          <w:p w14:paraId="6BFFB903" w14:textId="77777777" w:rsidR="00000000" w:rsidRDefault="002F725F">
            <w:pPr>
              <w:rPr>
                <w:rFonts w:eastAsia="Times New Roman"/>
                <w:sz w:val="20"/>
                <w:szCs w:val="20"/>
              </w:rPr>
            </w:pPr>
            <w:r>
              <w:rPr>
                <w:rFonts w:eastAsia="Times New Roman"/>
                <w:sz w:val="20"/>
                <w:szCs w:val="20"/>
              </w:rPr>
              <w:t>(f)</w:t>
            </w:r>
          </w:p>
        </w:tc>
        <w:tc>
          <w:tcPr>
            <w:tcW w:w="0" w:type="auto"/>
            <w:hideMark/>
          </w:tcPr>
          <w:p w14:paraId="4C699BEE" w14:textId="77777777" w:rsidR="00000000" w:rsidRDefault="002F725F">
            <w:pPr>
              <w:jc w:val="both"/>
              <w:rPr>
                <w:rFonts w:eastAsia="Times New Roman"/>
                <w:sz w:val="20"/>
                <w:szCs w:val="20"/>
              </w:rPr>
            </w:pPr>
            <w:r>
              <w:rPr>
                <w:rFonts w:eastAsia="Times New Roman"/>
                <w:sz w:val="20"/>
                <w:szCs w:val="20"/>
              </w:rPr>
              <w:t>Prior Stock Purchases. The information set forth in the Proxy Statement under the following caption is incorporated herein by reference:</w:t>
            </w:r>
          </w:p>
        </w:tc>
      </w:tr>
    </w:tbl>
    <w:p w14:paraId="49A18E8B"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A4513F8" w14:textId="77777777">
        <w:trPr>
          <w:divId w:val="305475121"/>
          <w:tblCellSpacing w:w="0" w:type="dxa"/>
        </w:trPr>
        <w:tc>
          <w:tcPr>
            <w:tcW w:w="1080" w:type="dxa"/>
            <w:hideMark/>
          </w:tcPr>
          <w:p w14:paraId="55E63F64" w14:textId="77777777" w:rsidR="00000000" w:rsidRDefault="002F725F">
            <w:pPr>
              <w:rPr>
                <w:sz w:val="20"/>
                <w:szCs w:val="20"/>
              </w:rPr>
            </w:pPr>
          </w:p>
        </w:tc>
        <w:tc>
          <w:tcPr>
            <w:tcW w:w="360" w:type="dxa"/>
            <w:hideMark/>
          </w:tcPr>
          <w:p w14:paraId="7D1AB172" w14:textId="77777777" w:rsidR="00000000" w:rsidRDefault="002F725F">
            <w:pPr>
              <w:rPr>
                <w:rFonts w:eastAsia="Times New Roman"/>
                <w:sz w:val="20"/>
                <w:szCs w:val="20"/>
              </w:rPr>
            </w:pPr>
            <w:r>
              <w:rPr>
                <w:rFonts w:eastAsia="Times New Roman"/>
                <w:sz w:val="20"/>
                <w:szCs w:val="20"/>
              </w:rPr>
              <w:t>●</w:t>
            </w:r>
          </w:p>
        </w:tc>
        <w:tc>
          <w:tcPr>
            <w:tcW w:w="0" w:type="auto"/>
            <w:hideMark/>
          </w:tcPr>
          <w:p w14:paraId="0416659E" w14:textId="77777777" w:rsidR="00000000" w:rsidRDefault="002F725F">
            <w:pPr>
              <w:jc w:val="both"/>
              <w:rPr>
                <w:rFonts w:eastAsia="Times New Roman"/>
                <w:sz w:val="20"/>
                <w:szCs w:val="20"/>
              </w:rPr>
            </w:pPr>
            <w:r>
              <w:rPr>
                <w:rFonts w:eastAsia="Times New Roman"/>
                <w:sz w:val="20"/>
                <w:szCs w:val="20"/>
              </w:rPr>
              <w:t>“TRANSACTIONS IN THE SHARES AND WARRANTS”</w:t>
            </w:r>
          </w:p>
        </w:tc>
      </w:tr>
    </w:tbl>
    <w:p w14:paraId="771C0C6C"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5823BCA6" w14:textId="77777777">
        <w:trPr>
          <w:divId w:val="305475121"/>
          <w:tblCellSpacing w:w="0" w:type="dxa"/>
        </w:trPr>
        <w:tc>
          <w:tcPr>
            <w:tcW w:w="0" w:type="pct"/>
            <w:hideMark/>
          </w:tcPr>
          <w:p w14:paraId="0A158AB1" w14:textId="77777777" w:rsidR="00000000" w:rsidRDefault="002F725F">
            <w:pPr>
              <w:rPr>
                <w:sz w:val="20"/>
                <w:szCs w:val="20"/>
              </w:rPr>
            </w:pPr>
            <w:bookmarkStart w:id="3" w:name="gfpea0289617-sc13e3a6_lake.htma_003"/>
            <w:bookmarkEnd w:id="3"/>
          </w:p>
        </w:tc>
        <w:tc>
          <w:tcPr>
            <w:tcW w:w="720" w:type="dxa"/>
            <w:hideMark/>
          </w:tcPr>
          <w:p w14:paraId="77765AB9" w14:textId="77777777" w:rsidR="00000000" w:rsidRDefault="002F725F">
            <w:pPr>
              <w:rPr>
                <w:rFonts w:eastAsia="Times New Roman"/>
                <w:sz w:val="20"/>
                <w:szCs w:val="20"/>
              </w:rPr>
            </w:pPr>
            <w:r>
              <w:rPr>
                <w:rFonts w:eastAsia="Times New Roman"/>
                <w:b/>
                <w:bCs/>
                <w:sz w:val="20"/>
                <w:szCs w:val="20"/>
              </w:rPr>
              <w:t>Item 3</w:t>
            </w:r>
          </w:p>
        </w:tc>
        <w:tc>
          <w:tcPr>
            <w:tcW w:w="0" w:type="auto"/>
            <w:hideMark/>
          </w:tcPr>
          <w:p w14:paraId="128374C7" w14:textId="77777777" w:rsidR="00000000" w:rsidRDefault="002F725F">
            <w:pPr>
              <w:jc w:val="both"/>
              <w:rPr>
                <w:rFonts w:eastAsia="Times New Roman"/>
                <w:sz w:val="20"/>
                <w:szCs w:val="20"/>
              </w:rPr>
            </w:pPr>
            <w:r>
              <w:rPr>
                <w:rFonts w:eastAsia="Times New Roman"/>
                <w:b/>
                <w:bCs/>
                <w:sz w:val="20"/>
                <w:szCs w:val="20"/>
              </w:rPr>
              <w:t>Identity and Background of Filing Persons</w:t>
            </w:r>
          </w:p>
        </w:tc>
      </w:tr>
    </w:tbl>
    <w:p w14:paraId="6E091BA5"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42E5F291" w14:textId="77777777">
        <w:trPr>
          <w:divId w:val="305475121"/>
          <w:tblCellSpacing w:w="0" w:type="dxa"/>
        </w:trPr>
        <w:tc>
          <w:tcPr>
            <w:tcW w:w="6" w:type="dxa"/>
            <w:hideMark/>
          </w:tcPr>
          <w:p w14:paraId="6E7685FF" w14:textId="77777777" w:rsidR="00000000" w:rsidRDefault="002F725F">
            <w:pPr>
              <w:rPr>
                <w:sz w:val="20"/>
                <w:szCs w:val="20"/>
              </w:rPr>
            </w:pPr>
          </w:p>
        </w:tc>
        <w:tc>
          <w:tcPr>
            <w:tcW w:w="1080" w:type="dxa"/>
            <w:hideMark/>
          </w:tcPr>
          <w:p w14:paraId="53FF679E" w14:textId="77777777" w:rsidR="00000000" w:rsidRDefault="002F725F">
            <w:pPr>
              <w:rPr>
                <w:rFonts w:eastAsia="Times New Roman"/>
                <w:sz w:val="20"/>
                <w:szCs w:val="20"/>
              </w:rPr>
            </w:pPr>
            <w:r>
              <w:rPr>
                <w:rFonts w:eastAsia="Times New Roman"/>
                <w:sz w:val="20"/>
                <w:szCs w:val="20"/>
              </w:rPr>
              <w:t>(a)</w:t>
            </w:r>
          </w:p>
        </w:tc>
        <w:tc>
          <w:tcPr>
            <w:tcW w:w="0" w:type="auto"/>
            <w:hideMark/>
          </w:tcPr>
          <w:p w14:paraId="08370C77" w14:textId="77777777" w:rsidR="00000000" w:rsidRDefault="002F725F">
            <w:pPr>
              <w:jc w:val="both"/>
              <w:rPr>
                <w:rFonts w:eastAsia="Times New Roman"/>
                <w:sz w:val="20"/>
                <w:szCs w:val="20"/>
              </w:rPr>
            </w:pPr>
            <w:r>
              <w:rPr>
                <w:rFonts w:eastAsia="Times New Roman"/>
                <w:sz w:val="20"/>
                <w:szCs w:val="20"/>
              </w:rPr>
              <w:t>Name and Address. LakeShore Biopharma Co., Ltd is the subject company. The information set forth in the Proxy Statement under the following captions is incorporated herein by reference:</w:t>
            </w:r>
          </w:p>
        </w:tc>
      </w:tr>
    </w:tbl>
    <w:p w14:paraId="0A978D81"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A14D622" w14:textId="77777777">
        <w:trPr>
          <w:divId w:val="305475121"/>
          <w:tblCellSpacing w:w="0" w:type="dxa"/>
        </w:trPr>
        <w:tc>
          <w:tcPr>
            <w:tcW w:w="1080" w:type="dxa"/>
            <w:hideMark/>
          </w:tcPr>
          <w:p w14:paraId="731C45C2" w14:textId="77777777" w:rsidR="00000000" w:rsidRDefault="002F725F">
            <w:pPr>
              <w:rPr>
                <w:sz w:val="20"/>
                <w:szCs w:val="20"/>
              </w:rPr>
            </w:pPr>
          </w:p>
        </w:tc>
        <w:tc>
          <w:tcPr>
            <w:tcW w:w="360" w:type="dxa"/>
            <w:hideMark/>
          </w:tcPr>
          <w:p w14:paraId="1EAD10A6" w14:textId="77777777" w:rsidR="00000000" w:rsidRDefault="002F725F">
            <w:pPr>
              <w:rPr>
                <w:rFonts w:eastAsia="Times New Roman"/>
                <w:sz w:val="20"/>
                <w:szCs w:val="20"/>
              </w:rPr>
            </w:pPr>
            <w:r>
              <w:rPr>
                <w:rFonts w:eastAsia="Times New Roman"/>
                <w:sz w:val="20"/>
                <w:szCs w:val="20"/>
              </w:rPr>
              <w:t>●</w:t>
            </w:r>
          </w:p>
        </w:tc>
        <w:tc>
          <w:tcPr>
            <w:tcW w:w="0" w:type="auto"/>
            <w:hideMark/>
          </w:tcPr>
          <w:p w14:paraId="70647CCE" w14:textId="77777777" w:rsidR="00000000" w:rsidRDefault="002F725F">
            <w:pPr>
              <w:jc w:val="both"/>
              <w:rPr>
                <w:rFonts w:eastAsia="Times New Roman"/>
                <w:sz w:val="20"/>
                <w:szCs w:val="20"/>
              </w:rPr>
            </w:pPr>
            <w:r>
              <w:rPr>
                <w:rFonts w:eastAsia="Times New Roman"/>
                <w:sz w:val="20"/>
                <w:szCs w:val="20"/>
              </w:rPr>
              <w:t xml:space="preserve">“SUMMARY TERM </w:t>
            </w:r>
            <w:r>
              <w:rPr>
                <w:rFonts w:eastAsia="Times New Roman"/>
                <w:sz w:val="20"/>
                <w:szCs w:val="20"/>
              </w:rPr>
              <w:t>SHEET—The Parties Involved in the Merger”</w:t>
            </w:r>
          </w:p>
        </w:tc>
      </w:tr>
    </w:tbl>
    <w:p w14:paraId="6C67B462"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F3ACE25" w14:textId="77777777">
        <w:trPr>
          <w:divId w:val="305475121"/>
          <w:tblCellSpacing w:w="0" w:type="dxa"/>
        </w:trPr>
        <w:tc>
          <w:tcPr>
            <w:tcW w:w="1080" w:type="dxa"/>
            <w:hideMark/>
          </w:tcPr>
          <w:p w14:paraId="6180123B" w14:textId="77777777" w:rsidR="00000000" w:rsidRDefault="002F725F">
            <w:pPr>
              <w:rPr>
                <w:sz w:val="20"/>
                <w:szCs w:val="20"/>
              </w:rPr>
            </w:pPr>
          </w:p>
        </w:tc>
        <w:tc>
          <w:tcPr>
            <w:tcW w:w="360" w:type="dxa"/>
            <w:hideMark/>
          </w:tcPr>
          <w:p w14:paraId="09483A61" w14:textId="77777777" w:rsidR="00000000" w:rsidRDefault="002F725F">
            <w:pPr>
              <w:rPr>
                <w:rFonts w:eastAsia="Times New Roman"/>
                <w:sz w:val="20"/>
                <w:szCs w:val="20"/>
              </w:rPr>
            </w:pPr>
            <w:r>
              <w:rPr>
                <w:rFonts w:eastAsia="Times New Roman"/>
                <w:sz w:val="20"/>
                <w:szCs w:val="20"/>
              </w:rPr>
              <w:t>●</w:t>
            </w:r>
          </w:p>
        </w:tc>
        <w:tc>
          <w:tcPr>
            <w:tcW w:w="0" w:type="auto"/>
            <w:hideMark/>
          </w:tcPr>
          <w:p w14:paraId="32F43FA8" w14:textId="77777777" w:rsidR="00000000" w:rsidRDefault="002F725F">
            <w:pPr>
              <w:jc w:val="both"/>
              <w:rPr>
                <w:rFonts w:eastAsia="Times New Roman"/>
                <w:sz w:val="20"/>
                <w:szCs w:val="20"/>
              </w:rPr>
            </w:pPr>
            <w:r>
              <w:rPr>
                <w:rFonts w:eastAsia="Times New Roman"/>
                <w:sz w:val="20"/>
                <w:szCs w:val="20"/>
              </w:rPr>
              <w:t>“ANNEX E—DIRECTORS AND EXECUTIVE OFFICERS OF EACH FILING PERSON”</w:t>
            </w:r>
          </w:p>
        </w:tc>
      </w:tr>
    </w:tbl>
    <w:p w14:paraId="6E035188"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29B1F2F7" w14:textId="77777777">
        <w:trPr>
          <w:divId w:val="305475121"/>
          <w:tblCellSpacing w:w="0" w:type="dxa"/>
        </w:trPr>
        <w:tc>
          <w:tcPr>
            <w:tcW w:w="6" w:type="dxa"/>
            <w:hideMark/>
          </w:tcPr>
          <w:p w14:paraId="105BC46C" w14:textId="77777777" w:rsidR="00000000" w:rsidRDefault="002F725F">
            <w:pPr>
              <w:rPr>
                <w:sz w:val="20"/>
                <w:szCs w:val="20"/>
              </w:rPr>
            </w:pPr>
          </w:p>
        </w:tc>
        <w:tc>
          <w:tcPr>
            <w:tcW w:w="1080" w:type="dxa"/>
            <w:hideMark/>
          </w:tcPr>
          <w:p w14:paraId="2B8B1A02" w14:textId="77777777" w:rsidR="00000000" w:rsidRDefault="002F725F">
            <w:pPr>
              <w:rPr>
                <w:rFonts w:eastAsia="Times New Roman"/>
                <w:sz w:val="20"/>
                <w:szCs w:val="20"/>
              </w:rPr>
            </w:pPr>
            <w:r>
              <w:rPr>
                <w:rFonts w:eastAsia="Times New Roman"/>
                <w:sz w:val="20"/>
                <w:szCs w:val="20"/>
              </w:rPr>
              <w:t>(b)</w:t>
            </w:r>
          </w:p>
        </w:tc>
        <w:tc>
          <w:tcPr>
            <w:tcW w:w="0" w:type="auto"/>
            <w:hideMark/>
          </w:tcPr>
          <w:p w14:paraId="1271901A" w14:textId="77777777" w:rsidR="00000000" w:rsidRDefault="002F725F">
            <w:pPr>
              <w:jc w:val="both"/>
              <w:rPr>
                <w:rFonts w:eastAsia="Times New Roman"/>
                <w:sz w:val="20"/>
                <w:szCs w:val="20"/>
              </w:rPr>
            </w:pPr>
            <w:r>
              <w:rPr>
                <w:rFonts w:eastAsia="Times New Roman"/>
                <w:sz w:val="20"/>
                <w:szCs w:val="20"/>
              </w:rPr>
              <w:t>Business and Background of Entities. The information set forth in the Proxy Statement under the following captions is incorporated herein by reference:</w:t>
            </w:r>
          </w:p>
        </w:tc>
      </w:tr>
    </w:tbl>
    <w:p w14:paraId="2AC2A614"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00CECF4" w14:textId="77777777">
        <w:trPr>
          <w:divId w:val="305475121"/>
          <w:tblCellSpacing w:w="0" w:type="dxa"/>
        </w:trPr>
        <w:tc>
          <w:tcPr>
            <w:tcW w:w="1080" w:type="dxa"/>
            <w:hideMark/>
          </w:tcPr>
          <w:p w14:paraId="086A1786" w14:textId="77777777" w:rsidR="00000000" w:rsidRDefault="002F725F">
            <w:pPr>
              <w:rPr>
                <w:sz w:val="20"/>
                <w:szCs w:val="20"/>
              </w:rPr>
            </w:pPr>
          </w:p>
        </w:tc>
        <w:tc>
          <w:tcPr>
            <w:tcW w:w="360" w:type="dxa"/>
            <w:hideMark/>
          </w:tcPr>
          <w:p w14:paraId="69152361" w14:textId="77777777" w:rsidR="00000000" w:rsidRDefault="002F725F">
            <w:pPr>
              <w:rPr>
                <w:rFonts w:eastAsia="Times New Roman"/>
                <w:sz w:val="20"/>
                <w:szCs w:val="20"/>
              </w:rPr>
            </w:pPr>
            <w:r>
              <w:rPr>
                <w:rFonts w:eastAsia="Times New Roman"/>
                <w:sz w:val="20"/>
                <w:szCs w:val="20"/>
              </w:rPr>
              <w:t>●</w:t>
            </w:r>
          </w:p>
        </w:tc>
        <w:tc>
          <w:tcPr>
            <w:tcW w:w="0" w:type="auto"/>
            <w:hideMark/>
          </w:tcPr>
          <w:p w14:paraId="6AFB26D0" w14:textId="77777777" w:rsidR="00000000" w:rsidRDefault="002F725F">
            <w:pPr>
              <w:jc w:val="both"/>
              <w:rPr>
                <w:rFonts w:eastAsia="Times New Roman"/>
                <w:sz w:val="20"/>
                <w:szCs w:val="20"/>
              </w:rPr>
            </w:pPr>
            <w:r>
              <w:rPr>
                <w:rFonts w:eastAsia="Times New Roman"/>
                <w:sz w:val="20"/>
                <w:szCs w:val="20"/>
              </w:rPr>
              <w:t>“SUMMARY TERM SHEET—The Parties Involved in the Merger”</w:t>
            </w:r>
          </w:p>
        </w:tc>
      </w:tr>
    </w:tbl>
    <w:p w14:paraId="4AEB1BFD"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BB46E74" w14:textId="77777777">
        <w:trPr>
          <w:divId w:val="305475121"/>
          <w:tblCellSpacing w:w="0" w:type="dxa"/>
        </w:trPr>
        <w:tc>
          <w:tcPr>
            <w:tcW w:w="1080" w:type="dxa"/>
            <w:hideMark/>
          </w:tcPr>
          <w:p w14:paraId="389DA076" w14:textId="77777777" w:rsidR="00000000" w:rsidRDefault="002F725F">
            <w:pPr>
              <w:rPr>
                <w:sz w:val="20"/>
                <w:szCs w:val="20"/>
              </w:rPr>
            </w:pPr>
          </w:p>
        </w:tc>
        <w:tc>
          <w:tcPr>
            <w:tcW w:w="360" w:type="dxa"/>
            <w:hideMark/>
          </w:tcPr>
          <w:p w14:paraId="1221A9C2" w14:textId="77777777" w:rsidR="00000000" w:rsidRDefault="002F725F">
            <w:pPr>
              <w:rPr>
                <w:rFonts w:eastAsia="Times New Roman"/>
                <w:sz w:val="20"/>
                <w:szCs w:val="20"/>
              </w:rPr>
            </w:pPr>
            <w:r>
              <w:rPr>
                <w:rFonts w:eastAsia="Times New Roman"/>
                <w:sz w:val="20"/>
                <w:szCs w:val="20"/>
              </w:rPr>
              <w:t>●</w:t>
            </w:r>
          </w:p>
        </w:tc>
        <w:tc>
          <w:tcPr>
            <w:tcW w:w="0" w:type="auto"/>
            <w:hideMark/>
          </w:tcPr>
          <w:p w14:paraId="307A379E" w14:textId="77777777" w:rsidR="00000000" w:rsidRDefault="002F725F">
            <w:pPr>
              <w:jc w:val="both"/>
              <w:rPr>
                <w:rFonts w:eastAsia="Times New Roman"/>
                <w:sz w:val="20"/>
                <w:szCs w:val="20"/>
              </w:rPr>
            </w:pPr>
            <w:r>
              <w:rPr>
                <w:rFonts w:eastAsia="Times New Roman"/>
                <w:sz w:val="20"/>
                <w:szCs w:val="20"/>
              </w:rPr>
              <w:t>“ANNEX E—DIRECTORS AND EXECUTIVE OFF</w:t>
            </w:r>
            <w:r>
              <w:rPr>
                <w:rFonts w:eastAsia="Times New Roman"/>
                <w:sz w:val="20"/>
                <w:szCs w:val="20"/>
              </w:rPr>
              <w:t>ICERS OF EACH FILING PERSON”</w:t>
            </w:r>
          </w:p>
        </w:tc>
      </w:tr>
    </w:tbl>
    <w:p w14:paraId="33FE51FA"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2C1E5441" w14:textId="77777777">
        <w:trPr>
          <w:divId w:val="305475121"/>
          <w:tblCellSpacing w:w="0" w:type="dxa"/>
        </w:trPr>
        <w:tc>
          <w:tcPr>
            <w:tcW w:w="6" w:type="dxa"/>
            <w:hideMark/>
          </w:tcPr>
          <w:p w14:paraId="3E9BA4A2" w14:textId="77777777" w:rsidR="00000000" w:rsidRDefault="002F725F">
            <w:pPr>
              <w:rPr>
                <w:sz w:val="20"/>
                <w:szCs w:val="20"/>
              </w:rPr>
            </w:pPr>
          </w:p>
        </w:tc>
        <w:tc>
          <w:tcPr>
            <w:tcW w:w="1080" w:type="dxa"/>
            <w:hideMark/>
          </w:tcPr>
          <w:p w14:paraId="7407B942" w14:textId="77777777" w:rsidR="00000000" w:rsidRDefault="002F725F">
            <w:pPr>
              <w:rPr>
                <w:rFonts w:eastAsia="Times New Roman"/>
                <w:sz w:val="20"/>
                <w:szCs w:val="20"/>
              </w:rPr>
            </w:pPr>
            <w:r>
              <w:rPr>
                <w:rFonts w:eastAsia="Times New Roman"/>
                <w:sz w:val="20"/>
                <w:szCs w:val="20"/>
              </w:rPr>
              <w:t>(c)</w:t>
            </w:r>
          </w:p>
        </w:tc>
        <w:tc>
          <w:tcPr>
            <w:tcW w:w="0" w:type="auto"/>
            <w:hideMark/>
          </w:tcPr>
          <w:p w14:paraId="675B1415" w14:textId="77777777" w:rsidR="00000000" w:rsidRDefault="002F725F">
            <w:pPr>
              <w:jc w:val="both"/>
              <w:rPr>
                <w:rFonts w:eastAsia="Times New Roman"/>
                <w:sz w:val="20"/>
                <w:szCs w:val="20"/>
              </w:rPr>
            </w:pPr>
            <w:r>
              <w:rPr>
                <w:rFonts w:eastAsia="Times New Roman"/>
                <w:sz w:val="20"/>
                <w:szCs w:val="20"/>
              </w:rPr>
              <w:t>Business and Background of Natural Persons. The information set forth in the Proxy Statement under the following captions is incorporated herein by reference:</w:t>
            </w:r>
          </w:p>
        </w:tc>
      </w:tr>
    </w:tbl>
    <w:p w14:paraId="2293074C"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BF71638" w14:textId="77777777">
        <w:trPr>
          <w:divId w:val="305475121"/>
          <w:tblCellSpacing w:w="0" w:type="dxa"/>
        </w:trPr>
        <w:tc>
          <w:tcPr>
            <w:tcW w:w="1080" w:type="dxa"/>
            <w:hideMark/>
          </w:tcPr>
          <w:p w14:paraId="7D8BC599" w14:textId="77777777" w:rsidR="00000000" w:rsidRDefault="002F725F">
            <w:pPr>
              <w:rPr>
                <w:sz w:val="20"/>
                <w:szCs w:val="20"/>
              </w:rPr>
            </w:pPr>
          </w:p>
        </w:tc>
        <w:tc>
          <w:tcPr>
            <w:tcW w:w="360" w:type="dxa"/>
            <w:hideMark/>
          </w:tcPr>
          <w:p w14:paraId="76287A5C" w14:textId="77777777" w:rsidR="00000000" w:rsidRDefault="002F725F">
            <w:pPr>
              <w:rPr>
                <w:rFonts w:eastAsia="Times New Roman"/>
                <w:sz w:val="20"/>
                <w:szCs w:val="20"/>
              </w:rPr>
            </w:pPr>
            <w:r>
              <w:rPr>
                <w:rFonts w:eastAsia="Times New Roman"/>
                <w:sz w:val="20"/>
                <w:szCs w:val="20"/>
              </w:rPr>
              <w:t>●</w:t>
            </w:r>
          </w:p>
        </w:tc>
        <w:tc>
          <w:tcPr>
            <w:tcW w:w="0" w:type="auto"/>
            <w:hideMark/>
          </w:tcPr>
          <w:p w14:paraId="09EB1E53" w14:textId="77777777" w:rsidR="00000000" w:rsidRDefault="002F725F">
            <w:pPr>
              <w:jc w:val="both"/>
              <w:rPr>
                <w:rFonts w:eastAsia="Times New Roman"/>
                <w:sz w:val="20"/>
                <w:szCs w:val="20"/>
              </w:rPr>
            </w:pPr>
            <w:r>
              <w:rPr>
                <w:rFonts w:eastAsia="Times New Roman"/>
                <w:sz w:val="20"/>
                <w:szCs w:val="20"/>
              </w:rPr>
              <w:t>“SUMMARY TERM SHEET—</w:t>
            </w:r>
            <w:r>
              <w:rPr>
                <w:rFonts w:eastAsia="Times New Roman"/>
                <w:sz w:val="20"/>
                <w:szCs w:val="20"/>
              </w:rPr>
              <w:t>The Parties Involved in the Merger”</w:t>
            </w:r>
          </w:p>
        </w:tc>
      </w:tr>
    </w:tbl>
    <w:p w14:paraId="711C216E"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9F26D3B" w14:textId="77777777">
        <w:trPr>
          <w:divId w:val="305475121"/>
          <w:tblCellSpacing w:w="0" w:type="dxa"/>
        </w:trPr>
        <w:tc>
          <w:tcPr>
            <w:tcW w:w="1080" w:type="dxa"/>
            <w:hideMark/>
          </w:tcPr>
          <w:p w14:paraId="5F3B76EA" w14:textId="77777777" w:rsidR="00000000" w:rsidRDefault="002F725F">
            <w:pPr>
              <w:rPr>
                <w:sz w:val="20"/>
                <w:szCs w:val="20"/>
              </w:rPr>
            </w:pPr>
          </w:p>
        </w:tc>
        <w:tc>
          <w:tcPr>
            <w:tcW w:w="360" w:type="dxa"/>
            <w:hideMark/>
          </w:tcPr>
          <w:p w14:paraId="074DD5E3" w14:textId="77777777" w:rsidR="00000000" w:rsidRDefault="002F725F">
            <w:pPr>
              <w:rPr>
                <w:rFonts w:eastAsia="Times New Roman"/>
                <w:sz w:val="20"/>
                <w:szCs w:val="20"/>
              </w:rPr>
            </w:pPr>
            <w:r>
              <w:rPr>
                <w:rFonts w:eastAsia="Times New Roman"/>
                <w:sz w:val="20"/>
                <w:szCs w:val="20"/>
              </w:rPr>
              <w:t>●</w:t>
            </w:r>
          </w:p>
        </w:tc>
        <w:tc>
          <w:tcPr>
            <w:tcW w:w="0" w:type="auto"/>
            <w:hideMark/>
          </w:tcPr>
          <w:p w14:paraId="50132800" w14:textId="77777777" w:rsidR="00000000" w:rsidRDefault="002F725F">
            <w:pPr>
              <w:jc w:val="both"/>
              <w:rPr>
                <w:rFonts w:eastAsia="Times New Roman"/>
                <w:sz w:val="20"/>
                <w:szCs w:val="20"/>
              </w:rPr>
            </w:pPr>
            <w:r>
              <w:rPr>
                <w:rFonts w:eastAsia="Times New Roman"/>
                <w:sz w:val="20"/>
                <w:szCs w:val="20"/>
              </w:rPr>
              <w:t>“ANNEX E—DIRECTORS AND EXECUTIVE OFFICERS OF EACH FILING PERSON”</w:t>
            </w:r>
          </w:p>
        </w:tc>
      </w:tr>
    </w:tbl>
    <w:p w14:paraId="3455331F"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267426D4" w14:textId="77777777">
        <w:trPr>
          <w:divId w:val="305475121"/>
          <w:tblCellSpacing w:w="0" w:type="dxa"/>
        </w:trPr>
        <w:tc>
          <w:tcPr>
            <w:tcW w:w="0" w:type="pct"/>
            <w:hideMark/>
          </w:tcPr>
          <w:p w14:paraId="4396F910" w14:textId="77777777" w:rsidR="00000000" w:rsidRDefault="002F725F">
            <w:pPr>
              <w:rPr>
                <w:sz w:val="20"/>
                <w:szCs w:val="20"/>
              </w:rPr>
            </w:pPr>
            <w:bookmarkStart w:id="4" w:name="gfpea0289617-sc13e3a6_lake.htma_004"/>
            <w:bookmarkEnd w:id="4"/>
          </w:p>
        </w:tc>
        <w:tc>
          <w:tcPr>
            <w:tcW w:w="720" w:type="dxa"/>
            <w:hideMark/>
          </w:tcPr>
          <w:p w14:paraId="11DDBB9F" w14:textId="77777777" w:rsidR="00000000" w:rsidRDefault="002F725F">
            <w:pPr>
              <w:rPr>
                <w:rFonts w:eastAsia="Times New Roman"/>
                <w:sz w:val="20"/>
                <w:szCs w:val="20"/>
              </w:rPr>
            </w:pPr>
            <w:r>
              <w:rPr>
                <w:rFonts w:eastAsia="Times New Roman"/>
                <w:b/>
                <w:bCs/>
                <w:sz w:val="20"/>
                <w:szCs w:val="20"/>
              </w:rPr>
              <w:t>Item 4</w:t>
            </w:r>
          </w:p>
        </w:tc>
        <w:tc>
          <w:tcPr>
            <w:tcW w:w="0" w:type="auto"/>
            <w:hideMark/>
          </w:tcPr>
          <w:p w14:paraId="02739051" w14:textId="77777777" w:rsidR="00000000" w:rsidRDefault="002F725F">
            <w:pPr>
              <w:jc w:val="both"/>
              <w:rPr>
                <w:rFonts w:eastAsia="Times New Roman"/>
                <w:sz w:val="20"/>
                <w:szCs w:val="20"/>
              </w:rPr>
            </w:pPr>
            <w:r>
              <w:rPr>
                <w:rFonts w:eastAsia="Times New Roman"/>
                <w:b/>
                <w:bCs/>
                <w:sz w:val="20"/>
                <w:szCs w:val="20"/>
              </w:rPr>
              <w:t>Terms of the Transaction</w:t>
            </w:r>
          </w:p>
        </w:tc>
      </w:tr>
    </w:tbl>
    <w:p w14:paraId="51025DB9"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07958835" w14:textId="77777777">
        <w:trPr>
          <w:divId w:val="305475121"/>
          <w:tblCellSpacing w:w="0" w:type="dxa"/>
        </w:trPr>
        <w:tc>
          <w:tcPr>
            <w:tcW w:w="6" w:type="dxa"/>
            <w:hideMark/>
          </w:tcPr>
          <w:p w14:paraId="62D2505B" w14:textId="77777777" w:rsidR="00000000" w:rsidRDefault="002F725F">
            <w:pPr>
              <w:rPr>
                <w:sz w:val="20"/>
                <w:szCs w:val="20"/>
              </w:rPr>
            </w:pPr>
          </w:p>
        </w:tc>
        <w:tc>
          <w:tcPr>
            <w:tcW w:w="1080" w:type="dxa"/>
            <w:hideMark/>
          </w:tcPr>
          <w:p w14:paraId="39619E35" w14:textId="77777777" w:rsidR="00000000" w:rsidRDefault="002F725F">
            <w:pPr>
              <w:rPr>
                <w:rFonts w:eastAsia="Times New Roman"/>
                <w:sz w:val="20"/>
                <w:szCs w:val="20"/>
              </w:rPr>
            </w:pPr>
            <w:r>
              <w:rPr>
                <w:rFonts w:eastAsia="Times New Roman"/>
                <w:sz w:val="20"/>
                <w:szCs w:val="20"/>
              </w:rPr>
              <w:t>(a)-(1)</w:t>
            </w:r>
          </w:p>
        </w:tc>
        <w:tc>
          <w:tcPr>
            <w:tcW w:w="0" w:type="auto"/>
            <w:hideMark/>
          </w:tcPr>
          <w:p w14:paraId="70FF2759" w14:textId="77777777" w:rsidR="00000000" w:rsidRDefault="002F725F">
            <w:pPr>
              <w:jc w:val="both"/>
              <w:rPr>
                <w:rFonts w:eastAsia="Times New Roman"/>
                <w:sz w:val="20"/>
                <w:szCs w:val="20"/>
              </w:rPr>
            </w:pPr>
            <w:r>
              <w:rPr>
                <w:rFonts w:eastAsia="Times New Roman"/>
                <w:sz w:val="20"/>
                <w:szCs w:val="20"/>
              </w:rPr>
              <w:t>Material Terms—Tender Offers.    Not applicable.</w:t>
            </w:r>
          </w:p>
        </w:tc>
      </w:tr>
    </w:tbl>
    <w:p w14:paraId="0E970AEF"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2D90BF83" w14:textId="77777777">
        <w:trPr>
          <w:divId w:val="305475121"/>
          <w:tblCellSpacing w:w="0" w:type="dxa"/>
        </w:trPr>
        <w:tc>
          <w:tcPr>
            <w:tcW w:w="6" w:type="dxa"/>
            <w:hideMark/>
          </w:tcPr>
          <w:p w14:paraId="538B36B5" w14:textId="77777777" w:rsidR="00000000" w:rsidRDefault="002F725F">
            <w:pPr>
              <w:rPr>
                <w:sz w:val="20"/>
                <w:szCs w:val="20"/>
              </w:rPr>
            </w:pPr>
          </w:p>
        </w:tc>
        <w:tc>
          <w:tcPr>
            <w:tcW w:w="1080" w:type="dxa"/>
            <w:hideMark/>
          </w:tcPr>
          <w:p w14:paraId="1EBEAD53" w14:textId="77777777" w:rsidR="00000000" w:rsidRDefault="002F725F">
            <w:pPr>
              <w:rPr>
                <w:rFonts w:eastAsia="Times New Roman"/>
                <w:sz w:val="20"/>
                <w:szCs w:val="20"/>
              </w:rPr>
            </w:pPr>
            <w:r>
              <w:rPr>
                <w:rFonts w:eastAsia="Times New Roman"/>
                <w:sz w:val="20"/>
                <w:szCs w:val="20"/>
              </w:rPr>
              <w:t>(a)-(2)</w:t>
            </w:r>
          </w:p>
        </w:tc>
        <w:tc>
          <w:tcPr>
            <w:tcW w:w="0" w:type="auto"/>
            <w:hideMark/>
          </w:tcPr>
          <w:p w14:paraId="140C0E64" w14:textId="77777777" w:rsidR="00000000" w:rsidRDefault="002F725F">
            <w:pPr>
              <w:jc w:val="both"/>
              <w:rPr>
                <w:rFonts w:eastAsia="Times New Roman"/>
                <w:sz w:val="20"/>
                <w:szCs w:val="20"/>
              </w:rPr>
            </w:pPr>
            <w:r>
              <w:rPr>
                <w:rFonts w:eastAsia="Times New Roman"/>
                <w:sz w:val="20"/>
                <w:szCs w:val="20"/>
              </w:rPr>
              <w:t>Material Terms—</w:t>
            </w:r>
            <w:r>
              <w:rPr>
                <w:rFonts w:eastAsia="Times New Roman"/>
                <w:sz w:val="20"/>
                <w:szCs w:val="20"/>
              </w:rPr>
              <w:t>Merger or Similar Transactions.  The information set forth in the Proxy Statement under the following captions is incorporated herein by reference:</w:t>
            </w:r>
          </w:p>
        </w:tc>
      </w:tr>
    </w:tbl>
    <w:p w14:paraId="250FCC60"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C1C68A6" w14:textId="77777777">
        <w:trPr>
          <w:divId w:val="305475121"/>
          <w:tblCellSpacing w:w="0" w:type="dxa"/>
        </w:trPr>
        <w:tc>
          <w:tcPr>
            <w:tcW w:w="1080" w:type="dxa"/>
            <w:hideMark/>
          </w:tcPr>
          <w:p w14:paraId="6A2032CC" w14:textId="77777777" w:rsidR="00000000" w:rsidRDefault="002F725F">
            <w:pPr>
              <w:rPr>
                <w:sz w:val="20"/>
                <w:szCs w:val="20"/>
              </w:rPr>
            </w:pPr>
          </w:p>
        </w:tc>
        <w:tc>
          <w:tcPr>
            <w:tcW w:w="360" w:type="dxa"/>
            <w:hideMark/>
          </w:tcPr>
          <w:p w14:paraId="7049B797" w14:textId="77777777" w:rsidR="00000000" w:rsidRDefault="002F725F">
            <w:pPr>
              <w:rPr>
                <w:rFonts w:eastAsia="Times New Roman"/>
                <w:sz w:val="20"/>
                <w:szCs w:val="20"/>
              </w:rPr>
            </w:pPr>
            <w:r>
              <w:rPr>
                <w:rFonts w:eastAsia="Times New Roman"/>
                <w:sz w:val="20"/>
                <w:szCs w:val="20"/>
              </w:rPr>
              <w:t>●</w:t>
            </w:r>
          </w:p>
        </w:tc>
        <w:tc>
          <w:tcPr>
            <w:tcW w:w="0" w:type="auto"/>
            <w:hideMark/>
          </w:tcPr>
          <w:p w14:paraId="571502E1" w14:textId="77777777" w:rsidR="00000000" w:rsidRDefault="002F725F">
            <w:pPr>
              <w:jc w:val="both"/>
              <w:rPr>
                <w:rFonts w:eastAsia="Times New Roman"/>
                <w:sz w:val="20"/>
                <w:szCs w:val="20"/>
              </w:rPr>
            </w:pPr>
            <w:r>
              <w:rPr>
                <w:rFonts w:eastAsia="Times New Roman"/>
                <w:sz w:val="20"/>
                <w:szCs w:val="20"/>
              </w:rPr>
              <w:t>“SUMMARY TERM SHEET”</w:t>
            </w:r>
          </w:p>
        </w:tc>
      </w:tr>
    </w:tbl>
    <w:p w14:paraId="48E78C42"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8A404CC" w14:textId="77777777">
        <w:trPr>
          <w:divId w:val="305475121"/>
          <w:tblCellSpacing w:w="0" w:type="dxa"/>
        </w:trPr>
        <w:tc>
          <w:tcPr>
            <w:tcW w:w="1080" w:type="dxa"/>
            <w:hideMark/>
          </w:tcPr>
          <w:p w14:paraId="75FCA5A7" w14:textId="77777777" w:rsidR="00000000" w:rsidRDefault="002F725F">
            <w:pPr>
              <w:rPr>
                <w:sz w:val="20"/>
                <w:szCs w:val="20"/>
              </w:rPr>
            </w:pPr>
          </w:p>
        </w:tc>
        <w:tc>
          <w:tcPr>
            <w:tcW w:w="360" w:type="dxa"/>
            <w:hideMark/>
          </w:tcPr>
          <w:p w14:paraId="786BE429" w14:textId="77777777" w:rsidR="00000000" w:rsidRDefault="002F725F">
            <w:pPr>
              <w:rPr>
                <w:rFonts w:eastAsia="Times New Roman"/>
                <w:sz w:val="20"/>
                <w:szCs w:val="20"/>
              </w:rPr>
            </w:pPr>
            <w:r>
              <w:rPr>
                <w:rFonts w:eastAsia="Times New Roman"/>
                <w:sz w:val="20"/>
                <w:szCs w:val="20"/>
              </w:rPr>
              <w:t>●</w:t>
            </w:r>
          </w:p>
        </w:tc>
        <w:tc>
          <w:tcPr>
            <w:tcW w:w="0" w:type="auto"/>
            <w:hideMark/>
          </w:tcPr>
          <w:p w14:paraId="5E1CF9B2" w14:textId="77777777" w:rsidR="00000000" w:rsidRDefault="002F725F">
            <w:pPr>
              <w:jc w:val="both"/>
              <w:rPr>
                <w:rFonts w:eastAsia="Times New Roman"/>
                <w:sz w:val="20"/>
                <w:szCs w:val="20"/>
              </w:rPr>
            </w:pPr>
            <w:r>
              <w:rPr>
                <w:rFonts w:eastAsia="Times New Roman"/>
                <w:sz w:val="20"/>
                <w:szCs w:val="20"/>
              </w:rPr>
              <w:t>“</w:t>
            </w:r>
            <w:r>
              <w:rPr>
                <w:rFonts w:eastAsia="Times New Roman"/>
                <w:sz w:val="20"/>
                <w:szCs w:val="20"/>
              </w:rPr>
              <w:t>QUESTIONS AND ANSWERS ABOUT THE EXTRAORDINARY GENERAL MEETING AND THE MERGER”</w:t>
            </w:r>
          </w:p>
        </w:tc>
      </w:tr>
    </w:tbl>
    <w:p w14:paraId="6758C57F"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p w14:paraId="539D8C9A" w14:textId="77777777" w:rsidR="00000000" w:rsidRDefault="002F725F">
      <w:pPr>
        <w:pStyle w:val="NormalWeb"/>
        <w:spacing w:before="0" w:beforeAutospacing="0" w:after="0" w:afterAutospacing="0"/>
        <w:jc w:val="center"/>
        <w:divId w:val="895898127"/>
        <w:rPr>
          <w:sz w:val="20"/>
          <w:szCs w:val="20"/>
        </w:rPr>
      </w:pPr>
      <w:r>
        <w:rPr>
          <w:sz w:val="20"/>
          <w:szCs w:val="20"/>
        </w:rPr>
        <w:t>4</w:t>
      </w:r>
    </w:p>
    <w:p w14:paraId="5E27C643"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F186074" w14:textId="77777777">
        <w:trPr>
          <w:divId w:val="305475121"/>
          <w:tblCellSpacing w:w="0" w:type="dxa"/>
        </w:trPr>
        <w:tc>
          <w:tcPr>
            <w:tcW w:w="1080" w:type="dxa"/>
            <w:hideMark/>
          </w:tcPr>
          <w:p w14:paraId="36EDDBC5" w14:textId="77777777" w:rsidR="00000000" w:rsidRDefault="002F725F">
            <w:pPr>
              <w:rPr>
                <w:sz w:val="20"/>
                <w:szCs w:val="20"/>
              </w:rPr>
            </w:pPr>
          </w:p>
        </w:tc>
        <w:tc>
          <w:tcPr>
            <w:tcW w:w="360" w:type="dxa"/>
            <w:hideMark/>
          </w:tcPr>
          <w:p w14:paraId="5E14EFD4" w14:textId="77777777" w:rsidR="00000000" w:rsidRDefault="002F725F">
            <w:pPr>
              <w:rPr>
                <w:rFonts w:eastAsia="Times New Roman"/>
                <w:sz w:val="20"/>
                <w:szCs w:val="20"/>
              </w:rPr>
            </w:pPr>
            <w:r>
              <w:rPr>
                <w:rFonts w:eastAsia="Times New Roman"/>
                <w:sz w:val="20"/>
                <w:szCs w:val="20"/>
              </w:rPr>
              <w:t>●</w:t>
            </w:r>
          </w:p>
        </w:tc>
        <w:tc>
          <w:tcPr>
            <w:tcW w:w="0" w:type="auto"/>
            <w:hideMark/>
          </w:tcPr>
          <w:p w14:paraId="64417AFE" w14:textId="77777777" w:rsidR="00000000" w:rsidRDefault="002F725F">
            <w:pPr>
              <w:jc w:val="both"/>
              <w:rPr>
                <w:rFonts w:eastAsia="Times New Roman"/>
                <w:sz w:val="20"/>
                <w:szCs w:val="20"/>
              </w:rPr>
            </w:pPr>
            <w:r>
              <w:rPr>
                <w:rFonts w:eastAsia="Times New Roman"/>
                <w:sz w:val="20"/>
                <w:szCs w:val="20"/>
              </w:rPr>
              <w:t>“SPECIAL FACTORS—Background of the Merger”</w:t>
            </w:r>
          </w:p>
        </w:tc>
      </w:tr>
    </w:tbl>
    <w:p w14:paraId="2539177C"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563A979" w14:textId="77777777">
        <w:trPr>
          <w:divId w:val="305475121"/>
          <w:tblCellSpacing w:w="0" w:type="dxa"/>
        </w:trPr>
        <w:tc>
          <w:tcPr>
            <w:tcW w:w="1080" w:type="dxa"/>
            <w:hideMark/>
          </w:tcPr>
          <w:p w14:paraId="1A46C59E" w14:textId="77777777" w:rsidR="00000000" w:rsidRDefault="002F725F">
            <w:pPr>
              <w:rPr>
                <w:sz w:val="20"/>
                <w:szCs w:val="20"/>
              </w:rPr>
            </w:pPr>
          </w:p>
        </w:tc>
        <w:tc>
          <w:tcPr>
            <w:tcW w:w="360" w:type="dxa"/>
            <w:hideMark/>
          </w:tcPr>
          <w:p w14:paraId="28180283" w14:textId="77777777" w:rsidR="00000000" w:rsidRDefault="002F725F">
            <w:pPr>
              <w:rPr>
                <w:rFonts w:eastAsia="Times New Roman"/>
                <w:sz w:val="20"/>
                <w:szCs w:val="20"/>
              </w:rPr>
            </w:pPr>
            <w:r>
              <w:rPr>
                <w:rFonts w:eastAsia="Times New Roman"/>
                <w:sz w:val="20"/>
                <w:szCs w:val="20"/>
              </w:rPr>
              <w:t>●</w:t>
            </w:r>
          </w:p>
        </w:tc>
        <w:tc>
          <w:tcPr>
            <w:tcW w:w="0" w:type="auto"/>
            <w:hideMark/>
          </w:tcPr>
          <w:p w14:paraId="3C251356" w14:textId="77777777" w:rsidR="00000000" w:rsidRDefault="002F725F">
            <w:pPr>
              <w:jc w:val="both"/>
              <w:rPr>
                <w:rFonts w:eastAsia="Times New Roman"/>
                <w:sz w:val="20"/>
                <w:szCs w:val="20"/>
              </w:rPr>
            </w:pPr>
            <w:r>
              <w:rPr>
                <w:rFonts w:eastAsia="Times New Roman"/>
                <w:sz w:val="20"/>
                <w:szCs w:val="20"/>
              </w:rPr>
              <w:t>“SPECIAL FACTORS—Reasons for the Merger and Recommendation of the Special Committee and the Board”</w:t>
            </w:r>
          </w:p>
        </w:tc>
      </w:tr>
    </w:tbl>
    <w:p w14:paraId="0B6981FE"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5BBBA1D" w14:textId="77777777">
        <w:trPr>
          <w:divId w:val="305475121"/>
          <w:tblCellSpacing w:w="0" w:type="dxa"/>
        </w:trPr>
        <w:tc>
          <w:tcPr>
            <w:tcW w:w="1080" w:type="dxa"/>
            <w:hideMark/>
          </w:tcPr>
          <w:p w14:paraId="69ACAAA3" w14:textId="77777777" w:rsidR="00000000" w:rsidRDefault="002F725F">
            <w:pPr>
              <w:rPr>
                <w:sz w:val="20"/>
                <w:szCs w:val="20"/>
              </w:rPr>
            </w:pPr>
          </w:p>
        </w:tc>
        <w:tc>
          <w:tcPr>
            <w:tcW w:w="360" w:type="dxa"/>
            <w:hideMark/>
          </w:tcPr>
          <w:p w14:paraId="201B265A" w14:textId="77777777" w:rsidR="00000000" w:rsidRDefault="002F725F">
            <w:pPr>
              <w:rPr>
                <w:rFonts w:eastAsia="Times New Roman"/>
                <w:sz w:val="20"/>
                <w:szCs w:val="20"/>
              </w:rPr>
            </w:pPr>
            <w:r>
              <w:rPr>
                <w:rFonts w:eastAsia="Times New Roman"/>
                <w:sz w:val="20"/>
                <w:szCs w:val="20"/>
              </w:rPr>
              <w:t>●</w:t>
            </w:r>
          </w:p>
        </w:tc>
        <w:tc>
          <w:tcPr>
            <w:tcW w:w="0" w:type="auto"/>
            <w:hideMark/>
          </w:tcPr>
          <w:p w14:paraId="4C9B1D31" w14:textId="77777777" w:rsidR="00000000" w:rsidRDefault="002F725F">
            <w:pPr>
              <w:jc w:val="both"/>
              <w:rPr>
                <w:rFonts w:eastAsia="Times New Roman"/>
                <w:sz w:val="20"/>
                <w:szCs w:val="20"/>
              </w:rPr>
            </w:pPr>
            <w:r>
              <w:rPr>
                <w:rFonts w:eastAsia="Times New Roman"/>
                <w:sz w:val="20"/>
                <w:szCs w:val="20"/>
              </w:rPr>
              <w:t>“SPECIAL FACTO</w:t>
            </w:r>
            <w:r>
              <w:rPr>
                <w:rFonts w:eastAsia="Times New Roman"/>
                <w:sz w:val="20"/>
                <w:szCs w:val="20"/>
              </w:rPr>
              <w:t>RS—Purposes of and Reasons for the Merger”</w:t>
            </w:r>
          </w:p>
        </w:tc>
      </w:tr>
    </w:tbl>
    <w:p w14:paraId="3DDFD828"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130AAB1" w14:textId="77777777">
        <w:trPr>
          <w:divId w:val="305475121"/>
          <w:tblCellSpacing w:w="0" w:type="dxa"/>
        </w:trPr>
        <w:tc>
          <w:tcPr>
            <w:tcW w:w="1080" w:type="dxa"/>
            <w:hideMark/>
          </w:tcPr>
          <w:p w14:paraId="4F74467B" w14:textId="77777777" w:rsidR="00000000" w:rsidRDefault="002F725F">
            <w:pPr>
              <w:rPr>
                <w:sz w:val="20"/>
                <w:szCs w:val="20"/>
              </w:rPr>
            </w:pPr>
          </w:p>
        </w:tc>
        <w:tc>
          <w:tcPr>
            <w:tcW w:w="360" w:type="dxa"/>
            <w:hideMark/>
          </w:tcPr>
          <w:p w14:paraId="3AC0AF41" w14:textId="77777777" w:rsidR="00000000" w:rsidRDefault="002F725F">
            <w:pPr>
              <w:rPr>
                <w:rFonts w:eastAsia="Times New Roman"/>
                <w:sz w:val="20"/>
                <w:szCs w:val="20"/>
              </w:rPr>
            </w:pPr>
            <w:r>
              <w:rPr>
                <w:rFonts w:eastAsia="Times New Roman"/>
                <w:sz w:val="20"/>
                <w:szCs w:val="20"/>
              </w:rPr>
              <w:t>●</w:t>
            </w:r>
          </w:p>
        </w:tc>
        <w:tc>
          <w:tcPr>
            <w:tcW w:w="0" w:type="auto"/>
            <w:hideMark/>
          </w:tcPr>
          <w:p w14:paraId="0D1030E6" w14:textId="77777777" w:rsidR="00000000" w:rsidRDefault="002F725F">
            <w:pPr>
              <w:jc w:val="both"/>
              <w:rPr>
                <w:rFonts w:eastAsia="Times New Roman"/>
                <w:sz w:val="20"/>
                <w:szCs w:val="20"/>
              </w:rPr>
            </w:pPr>
            <w:r>
              <w:rPr>
                <w:rFonts w:eastAsia="Times New Roman"/>
                <w:sz w:val="20"/>
                <w:szCs w:val="20"/>
              </w:rPr>
              <w:t>“SPECIAL FACTORS—Limited Guarantee”</w:t>
            </w:r>
          </w:p>
        </w:tc>
      </w:tr>
    </w:tbl>
    <w:p w14:paraId="0311188E"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F94733A" w14:textId="77777777">
        <w:trPr>
          <w:divId w:val="305475121"/>
          <w:tblCellSpacing w:w="0" w:type="dxa"/>
        </w:trPr>
        <w:tc>
          <w:tcPr>
            <w:tcW w:w="1080" w:type="dxa"/>
            <w:hideMark/>
          </w:tcPr>
          <w:p w14:paraId="41E7A14E" w14:textId="77777777" w:rsidR="00000000" w:rsidRDefault="002F725F">
            <w:pPr>
              <w:rPr>
                <w:sz w:val="20"/>
                <w:szCs w:val="20"/>
              </w:rPr>
            </w:pPr>
          </w:p>
        </w:tc>
        <w:tc>
          <w:tcPr>
            <w:tcW w:w="360" w:type="dxa"/>
            <w:hideMark/>
          </w:tcPr>
          <w:p w14:paraId="6E23FD22" w14:textId="77777777" w:rsidR="00000000" w:rsidRDefault="002F725F">
            <w:pPr>
              <w:rPr>
                <w:rFonts w:eastAsia="Times New Roman"/>
                <w:sz w:val="20"/>
                <w:szCs w:val="20"/>
              </w:rPr>
            </w:pPr>
            <w:r>
              <w:rPr>
                <w:rFonts w:eastAsia="Times New Roman"/>
                <w:sz w:val="20"/>
                <w:szCs w:val="20"/>
              </w:rPr>
              <w:t>●</w:t>
            </w:r>
          </w:p>
        </w:tc>
        <w:tc>
          <w:tcPr>
            <w:tcW w:w="0" w:type="auto"/>
            <w:hideMark/>
          </w:tcPr>
          <w:p w14:paraId="75B30359" w14:textId="77777777" w:rsidR="00000000" w:rsidRDefault="002F725F">
            <w:pPr>
              <w:jc w:val="both"/>
              <w:rPr>
                <w:rFonts w:eastAsia="Times New Roman"/>
                <w:sz w:val="20"/>
                <w:szCs w:val="20"/>
              </w:rPr>
            </w:pPr>
            <w:r>
              <w:rPr>
                <w:rFonts w:eastAsia="Times New Roman"/>
                <w:sz w:val="20"/>
                <w:szCs w:val="20"/>
              </w:rPr>
              <w:t>“SPECIAL FACTORS—Support Agreement”</w:t>
            </w:r>
          </w:p>
        </w:tc>
      </w:tr>
    </w:tbl>
    <w:p w14:paraId="2D1568B0"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E9CFD4C" w14:textId="77777777">
        <w:trPr>
          <w:divId w:val="305475121"/>
          <w:tblCellSpacing w:w="0" w:type="dxa"/>
        </w:trPr>
        <w:tc>
          <w:tcPr>
            <w:tcW w:w="1080" w:type="dxa"/>
            <w:hideMark/>
          </w:tcPr>
          <w:p w14:paraId="295E0214" w14:textId="77777777" w:rsidR="00000000" w:rsidRDefault="002F725F">
            <w:pPr>
              <w:rPr>
                <w:sz w:val="20"/>
                <w:szCs w:val="20"/>
              </w:rPr>
            </w:pPr>
          </w:p>
        </w:tc>
        <w:tc>
          <w:tcPr>
            <w:tcW w:w="360" w:type="dxa"/>
            <w:hideMark/>
          </w:tcPr>
          <w:p w14:paraId="16828073" w14:textId="77777777" w:rsidR="00000000" w:rsidRDefault="002F725F">
            <w:pPr>
              <w:rPr>
                <w:rFonts w:eastAsia="Times New Roman"/>
                <w:sz w:val="20"/>
                <w:szCs w:val="20"/>
              </w:rPr>
            </w:pPr>
            <w:r>
              <w:rPr>
                <w:rFonts w:eastAsia="Times New Roman"/>
                <w:sz w:val="20"/>
                <w:szCs w:val="20"/>
              </w:rPr>
              <w:t>●</w:t>
            </w:r>
          </w:p>
        </w:tc>
        <w:tc>
          <w:tcPr>
            <w:tcW w:w="0" w:type="auto"/>
            <w:hideMark/>
          </w:tcPr>
          <w:p w14:paraId="278684AF" w14:textId="77777777" w:rsidR="00000000" w:rsidRDefault="002F725F">
            <w:pPr>
              <w:jc w:val="both"/>
              <w:rPr>
                <w:rFonts w:eastAsia="Times New Roman"/>
                <w:sz w:val="20"/>
                <w:szCs w:val="20"/>
              </w:rPr>
            </w:pPr>
            <w:r>
              <w:rPr>
                <w:rFonts w:eastAsia="Times New Roman"/>
                <w:sz w:val="20"/>
                <w:szCs w:val="20"/>
              </w:rPr>
              <w:t>“SPECIAL FACTORS—Interim Investors Agreement”</w:t>
            </w:r>
          </w:p>
        </w:tc>
      </w:tr>
    </w:tbl>
    <w:p w14:paraId="17AE30A4"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F98B1F8" w14:textId="77777777">
        <w:trPr>
          <w:divId w:val="305475121"/>
          <w:tblCellSpacing w:w="0" w:type="dxa"/>
        </w:trPr>
        <w:tc>
          <w:tcPr>
            <w:tcW w:w="1080" w:type="dxa"/>
            <w:hideMark/>
          </w:tcPr>
          <w:p w14:paraId="108CC9F0" w14:textId="77777777" w:rsidR="00000000" w:rsidRDefault="002F725F">
            <w:pPr>
              <w:rPr>
                <w:sz w:val="20"/>
                <w:szCs w:val="20"/>
              </w:rPr>
            </w:pPr>
          </w:p>
        </w:tc>
        <w:tc>
          <w:tcPr>
            <w:tcW w:w="360" w:type="dxa"/>
            <w:hideMark/>
          </w:tcPr>
          <w:p w14:paraId="042BC52C" w14:textId="77777777" w:rsidR="00000000" w:rsidRDefault="002F725F">
            <w:pPr>
              <w:rPr>
                <w:rFonts w:eastAsia="Times New Roman"/>
                <w:sz w:val="20"/>
                <w:szCs w:val="20"/>
              </w:rPr>
            </w:pPr>
            <w:r>
              <w:rPr>
                <w:rFonts w:eastAsia="Times New Roman"/>
                <w:sz w:val="20"/>
                <w:szCs w:val="20"/>
              </w:rPr>
              <w:t>●</w:t>
            </w:r>
          </w:p>
        </w:tc>
        <w:tc>
          <w:tcPr>
            <w:tcW w:w="0" w:type="auto"/>
            <w:hideMark/>
          </w:tcPr>
          <w:p w14:paraId="1E37D951" w14:textId="77777777" w:rsidR="00000000" w:rsidRDefault="002F725F">
            <w:pPr>
              <w:jc w:val="both"/>
              <w:rPr>
                <w:rFonts w:eastAsia="Times New Roman"/>
                <w:sz w:val="20"/>
                <w:szCs w:val="20"/>
              </w:rPr>
            </w:pPr>
            <w:r>
              <w:rPr>
                <w:rFonts w:eastAsia="Times New Roman"/>
                <w:sz w:val="20"/>
                <w:szCs w:val="20"/>
              </w:rPr>
              <w:t>“SPECIAL FACTORS—Financing of the Merger”</w:t>
            </w:r>
          </w:p>
        </w:tc>
      </w:tr>
    </w:tbl>
    <w:p w14:paraId="7FF0641C"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EDABD10" w14:textId="77777777">
        <w:trPr>
          <w:divId w:val="305475121"/>
          <w:tblCellSpacing w:w="0" w:type="dxa"/>
        </w:trPr>
        <w:tc>
          <w:tcPr>
            <w:tcW w:w="1080" w:type="dxa"/>
            <w:hideMark/>
          </w:tcPr>
          <w:p w14:paraId="443D9164" w14:textId="77777777" w:rsidR="00000000" w:rsidRDefault="002F725F">
            <w:pPr>
              <w:rPr>
                <w:sz w:val="20"/>
                <w:szCs w:val="20"/>
              </w:rPr>
            </w:pPr>
          </w:p>
        </w:tc>
        <w:tc>
          <w:tcPr>
            <w:tcW w:w="360" w:type="dxa"/>
            <w:hideMark/>
          </w:tcPr>
          <w:p w14:paraId="08FF6FB1" w14:textId="77777777" w:rsidR="00000000" w:rsidRDefault="002F725F">
            <w:pPr>
              <w:rPr>
                <w:rFonts w:eastAsia="Times New Roman"/>
                <w:sz w:val="20"/>
                <w:szCs w:val="20"/>
              </w:rPr>
            </w:pPr>
            <w:r>
              <w:rPr>
                <w:rFonts w:eastAsia="Times New Roman"/>
                <w:sz w:val="20"/>
                <w:szCs w:val="20"/>
              </w:rPr>
              <w:t>●</w:t>
            </w:r>
          </w:p>
        </w:tc>
        <w:tc>
          <w:tcPr>
            <w:tcW w:w="0" w:type="auto"/>
            <w:hideMark/>
          </w:tcPr>
          <w:p w14:paraId="4A6C7BEB" w14:textId="77777777" w:rsidR="00000000" w:rsidRDefault="002F725F">
            <w:pPr>
              <w:jc w:val="both"/>
              <w:rPr>
                <w:rFonts w:eastAsia="Times New Roman"/>
                <w:sz w:val="20"/>
                <w:szCs w:val="20"/>
              </w:rPr>
            </w:pPr>
            <w:r>
              <w:rPr>
                <w:rFonts w:eastAsia="Times New Roman"/>
                <w:sz w:val="20"/>
                <w:szCs w:val="20"/>
              </w:rPr>
              <w:t>“</w:t>
            </w:r>
            <w:r>
              <w:rPr>
                <w:rFonts w:eastAsia="Times New Roman"/>
                <w:sz w:val="20"/>
                <w:szCs w:val="20"/>
              </w:rPr>
              <w:t>SPECIAL FACTORS—Interests of Certain Persons in the Merger”</w:t>
            </w:r>
          </w:p>
        </w:tc>
      </w:tr>
    </w:tbl>
    <w:p w14:paraId="6893EEB8"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CF494EE" w14:textId="77777777">
        <w:trPr>
          <w:divId w:val="305475121"/>
          <w:tblCellSpacing w:w="0" w:type="dxa"/>
        </w:trPr>
        <w:tc>
          <w:tcPr>
            <w:tcW w:w="1080" w:type="dxa"/>
            <w:hideMark/>
          </w:tcPr>
          <w:p w14:paraId="0E39F5DE" w14:textId="77777777" w:rsidR="00000000" w:rsidRDefault="002F725F">
            <w:pPr>
              <w:rPr>
                <w:sz w:val="20"/>
                <w:szCs w:val="20"/>
              </w:rPr>
            </w:pPr>
          </w:p>
        </w:tc>
        <w:tc>
          <w:tcPr>
            <w:tcW w:w="360" w:type="dxa"/>
            <w:hideMark/>
          </w:tcPr>
          <w:p w14:paraId="609A0423" w14:textId="77777777" w:rsidR="00000000" w:rsidRDefault="002F725F">
            <w:pPr>
              <w:rPr>
                <w:rFonts w:eastAsia="Times New Roman"/>
                <w:sz w:val="20"/>
                <w:szCs w:val="20"/>
              </w:rPr>
            </w:pPr>
            <w:r>
              <w:rPr>
                <w:rFonts w:eastAsia="Times New Roman"/>
                <w:sz w:val="20"/>
                <w:szCs w:val="20"/>
              </w:rPr>
              <w:t>●</w:t>
            </w:r>
          </w:p>
        </w:tc>
        <w:tc>
          <w:tcPr>
            <w:tcW w:w="0" w:type="auto"/>
            <w:hideMark/>
          </w:tcPr>
          <w:p w14:paraId="0F9D9F4A" w14:textId="77777777" w:rsidR="00000000" w:rsidRDefault="002F725F">
            <w:pPr>
              <w:jc w:val="both"/>
              <w:rPr>
                <w:rFonts w:eastAsia="Times New Roman"/>
                <w:sz w:val="20"/>
                <w:szCs w:val="20"/>
              </w:rPr>
            </w:pPr>
            <w:r>
              <w:rPr>
                <w:rFonts w:eastAsia="Times New Roman"/>
                <w:sz w:val="20"/>
                <w:szCs w:val="20"/>
              </w:rPr>
              <w:t>“SPECIAL FACTORS—U.S. Federal Income Tax Consequences”</w:t>
            </w:r>
          </w:p>
        </w:tc>
      </w:tr>
    </w:tbl>
    <w:p w14:paraId="3E022708"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475A89A" w14:textId="77777777">
        <w:trPr>
          <w:divId w:val="305475121"/>
          <w:tblCellSpacing w:w="0" w:type="dxa"/>
        </w:trPr>
        <w:tc>
          <w:tcPr>
            <w:tcW w:w="1080" w:type="dxa"/>
            <w:hideMark/>
          </w:tcPr>
          <w:p w14:paraId="73A03D10" w14:textId="77777777" w:rsidR="00000000" w:rsidRDefault="002F725F">
            <w:pPr>
              <w:rPr>
                <w:sz w:val="20"/>
                <w:szCs w:val="20"/>
              </w:rPr>
            </w:pPr>
          </w:p>
        </w:tc>
        <w:tc>
          <w:tcPr>
            <w:tcW w:w="360" w:type="dxa"/>
            <w:hideMark/>
          </w:tcPr>
          <w:p w14:paraId="655382E0" w14:textId="77777777" w:rsidR="00000000" w:rsidRDefault="002F725F">
            <w:pPr>
              <w:rPr>
                <w:rFonts w:eastAsia="Times New Roman"/>
                <w:sz w:val="20"/>
                <w:szCs w:val="20"/>
              </w:rPr>
            </w:pPr>
            <w:r>
              <w:rPr>
                <w:rFonts w:eastAsia="Times New Roman"/>
                <w:sz w:val="20"/>
                <w:szCs w:val="20"/>
              </w:rPr>
              <w:t>●</w:t>
            </w:r>
          </w:p>
        </w:tc>
        <w:tc>
          <w:tcPr>
            <w:tcW w:w="0" w:type="auto"/>
            <w:hideMark/>
          </w:tcPr>
          <w:p w14:paraId="4FD0B326" w14:textId="77777777" w:rsidR="00000000" w:rsidRDefault="002F725F">
            <w:pPr>
              <w:jc w:val="both"/>
              <w:rPr>
                <w:rFonts w:eastAsia="Times New Roman"/>
                <w:sz w:val="20"/>
                <w:szCs w:val="20"/>
              </w:rPr>
            </w:pPr>
            <w:r>
              <w:rPr>
                <w:rFonts w:eastAsia="Times New Roman"/>
                <w:sz w:val="20"/>
                <w:szCs w:val="20"/>
              </w:rPr>
              <w:t>“SPECIAL FACTORS—PRC Income Tax Consequences”</w:t>
            </w:r>
          </w:p>
        </w:tc>
      </w:tr>
    </w:tbl>
    <w:p w14:paraId="00D1CFB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5CFB389" w14:textId="77777777">
        <w:trPr>
          <w:divId w:val="305475121"/>
          <w:tblCellSpacing w:w="0" w:type="dxa"/>
        </w:trPr>
        <w:tc>
          <w:tcPr>
            <w:tcW w:w="1080" w:type="dxa"/>
            <w:hideMark/>
          </w:tcPr>
          <w:p w14:paraId="0C1AB364" w14:textId="77777777" w:rsidR="00000000" w:rsidRDefault="002F725F">
            <w:pPr>
              <w:rPr>
                <w:sz w:val="20"/>
                <w:szCs w:val="20"/>
              </w:rPr>
            </w:pPr>
          </w:p>
        </w:tc>
        <w:tc>
          <w:tcPr>
            <w:tcW w:w="360" w:type="dxa"/>
            <w:hideMark/>
          </w:tcPr>
          <w:p w14:paraId="7760CC3B" w14:textId="77777777" w:rsidR="00000000" w:rsidRDefault="002F725F">
            <w:pPr>
              <w:rPr>
                <w:rFonts w:eastAsia="Times New Roman"/>
                <w:sz w:val="20"/>
                <w:szCs w:val="20"/>
              </w:rPr>
            </w:pPr>
            <w:r>
              <w:rPr>
                <w:rFonts w:eastAsia="Times New Roman"/>
                <w:sz w:val="20"/>
                <w:szCs w:val="20"/>
              </w:rPr>
              <w:t>●</w:t>
            </w:r>
          </w:p>
        </w:tc>
        <w:tc>
          <w:tcPr>
            <w:tcW w:w="0" w:type="auto"/>
            <w:hideMark/>
          </w:tcPr>
          <w:p w14:paraId="5787F505" w14:textId="77777777" w:rsidR="00000000" w:rsidRDefault="002F725F">
            <w:pPr>
              <w:jc w:val="both"/>
              <w:rPr>
                <w:rFonts w:eastAsia="Times New Roman"/>
                <w:sz w:val="20"/>
                <w:szCs w:val="20"/>
              </w:rPr>
            </w:pPr>
            <w:r>
              <w:rPr>
                <w:rFonts w:eastAsia="Times New Roman"/>
                <w:sz w:val="20"/>
                <w:szCs w:val="20"/>
              </w:rPr>
              <w:t>“SPECIAL FACTORS—Cayman Islands Tax Consequences”</w:t>
            </w:r>
          </w:p>
        </w:tc>
      </w:tr>
    </w:tbl>
    <w:p w14:paraId="5C2745C4"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EF0477A" w14:textId="77777777">
        <w:trPr>
          <w:divId w:val="305475121"/>
          <w:tblCellSpacing w:w="0" w:type="dxa"/>
        </w:trPr>
        <w:tc>
          <w:tcPr>
            <w:tcW w:w="1080" w:type="dxa"/>
            <w:hideMark/>
          </w:tcPr>
          <w:p w14:paraId="69AC567A" w14:textId="77777777" w:rsidR="00000000" w:rsidRDefault="002F725F">
            <w:pPr>
              <w:rPr>
                <w:sz w:val="20"/>
                <w:szCs w:val="20"/>
              </w:rPr>
            </w:pPr>
          </w:p>
        </w:tc>
        <w:tc>
          <w:tcPr>
            <w:tcW w:w="360" w:type="dxa"/>
            <w:hideMark/>
          </w:tcPr>
          <w:p w14:paraId="137E8434" w14:textId="77777777" w:rsidR="00000000" w:rsidRDefault="002F725F">
            <w:pPr>
              <w:rPr>
                <w:rFonts w:eastAsia="Times New Roman"/>
                <w:sz w:val="20"/>
                <w:szCs w:val="20"/>
              </w:rPr>
            </w:pPr>
            <w:r>
              <w:rPr>
                <w:rFonts w:eastAsia="Times New Roman"/>
                <w:sz w:val="20"/>
                <w:szCs w:val="20"/>
              </w:rPr>
              <w:t>●</w:t>
            </w:r>
          </w:p>
        </w:tc>
        <w:tc>
          <w:tcPr>
            <w:tcW w:w="0" w:type="auto"/>
            <w:hideMark/>
          </w:tcPr>
          <w:p w14:paraId="77A2785C" w14:textId="77777777" w:rsidR="00000000" w:rsidRDefault="002F725F">
            <w:pPr>
              <w:jc w:val="both"/>
              <w:rPr>
                <w:rFonts w:eastAsia="Times New Roman"/>
                <w:sz w:val="20"/>
                <w:szCs w:val="20"/>
              </w:rPr>
            </w:pPr>
            <w:r>
              <w:rPr>
                <w:rFonts w:eastAsia="Times New Roman"/>
                <w:sz w:val="20"/>
                <w:szCs w:val="20"/>
              </w:rPr>
              <w:t>“</w:t>
            </w:r>
            <w:r>
              <w:rPr>
                <w:rFonts w:eastAsia="Times New Roman"/>
                <w:sz w:val="20"/>
                <w:szCs w:val="20"/>
              </w:rPr>
              <w:t>THE EXTRAORDINARY GENERAL MEETING”</w:t>
            </w:r>
          </w:p>
        </w:tc>
      </w:tr>
    </w:tbl>
    <w:p w14:paraId="52F2D615"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E304E85" w14:textId="77777777">
        <w:trPr>
          <w:divId w:val="305475121"/>
          <w:tblCellSpacing w:w="0" w:type="dxa"/>
        </w:trPr>
        <w:tc>
          <w:tcPr>
            <w:tcW w:w="1080" w:type="dxa"/>
            <w:hideMark/>
          </w:tcPr>
          <w:p w14:paraId="490BB766" w14:textId="77777777" w:rsidR="00000000" w:rsidRDefault="002F725F">
            <w:pPr>
              <w:rPr>
                <w:sz w:val="20"/>
                <w:szCs w:val="20"/>
              </w:rPr>
            </w:pPr>
          </w:p>
        </w:tc>
        <w:tc>
          <w:tcPr>
            <w:tcW w:w="360" w:type="dxa"/>
            <w:hideMark/>
          </w:tcPr>
          <w:p w14:paraId="6187A0BD" w14:textId="77777777" w:rsidR="00000000" w:rsidRDefault="002F725F">
            <w:pPr>
              <w:rPr>
                <w:rFonts w:eastAsia="Times New Roman"/>
                <w:sz w:val="20"/>
                <w:szCs w:val="20"/>
              </w:rPr>
            </w:pPr>
            <w:r>
              <w:rPr>
                <w:rFonts w:eastAsia="Times New Roman"/>
                <w:sz w:val="20"/>
                <w:szCs w:val="20"/>
              </w:rPr>
              <w:t>●</w:t>
            </w:r>
          </w:p>
        </w:tc>
        <w:tc>
          <w:tcPr>
            <w:tcW w:w="0" w:type="auto"/>
            <w:hideMark/>
          </w:tcPr>
          <w:p w14:paraId="2B2E66F3" w14:textId="77777777" w:rsidR="00000000" w:rsidRDefault="002F725F">
            <w:pPr>
              <w:jc w:val="both"/>
              <w:rPr>
                <w:rFonts w:eastAsia="Times New Roman"/>
                <w:sz w:val="20"/>
                <w:szCs w:val="20"/>
              </w:rPr>
            </w:pPr>
            <w:r>
              <w:rPr>
                <w:rFonts w:eastAsia="Times New Roman"/>
                <w:sz w:val="20"/>
                <w:szCs w:val="20"/>
              </w:rPr>
              <w:t>“THE MERGER AGREEMENT”</w:t>
            </w:r>
          </w:p>
        </w:tc>
      </w:tr>
    </w:tbl>
    <w:p w14:paraId="0E4120C8"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79D7757" w14:textId="77777777">
        <w:trPr>
          <w:divId w:val="305475121"/>
          <w:tblCellSpacing w:w="0" w:type="dxa"/>
        </w:trPr>
        <w:tc>
          <w:tcPr>
            <w:tcW w:w="1080" w:type="dxa"/>
            <w:hideMark/>
          </w:tcPr>
          <w:p w14:paraId="739351AD" w14:textId="77777777" w:rsidR="00000000" w:rsidRDefault="002F725F">
            <w:pPr>
              <w:rPr>
                <w:sz w:val="20"/>
                <w:szCs w:val="20"/>
              </w:rPr>
            </w:pPr>
          </w:p>
        </w:tc>
        <w:tc>
          <w:tcPr>
            <w:tcW w:w="360" w:type="dxa"/>
            <w:hideMark/>
          </w:tcPr>
          <w:p w14:paraId="75B13C73" w14:textId="77777777" w:rsidR="00000000" w:rsidRDefault="002F725F">
            <w:pPr>
              <w:rPr>
                <w:rFonts w:eastAsia="Times New Roman"/>
                <w:sz w:val="20"/>
                <w:szCs w:val="20"/>
              </w:rPr>
            </w:pPr>
            <w:r>
              <w:rPr>
                <w:rFonts w:eastAsia="Times New Roman"/>
                <w:sz w:val="20"/>
                <w:szCs w:val="20"/>
              </w:rPr>
              <w:t>●</w:t>
            </w:r>
          </w:p>
        </w:tc>
        <w:tc>
          <w:tcPr>
            <w:tcW w:w="0" w:type="auto"/>
            <w:hideMark/>
          </w:tcPr>
          <w:p w14:paraId="2B69097B" w14:textId="77777777" w:rsidR="00000000" w:rsidRDefault="002F725F">
            <w:pPr>
              <w:jc w:val="both"/>
              <w:rPr>
                <w:rFonts w:eastAsia="Times New Roman"/>
                <w:sz w:val="20"/>
                <w:szCs w:val="20"/>
              </w:rPr>
            </w:pPr>
            <w:r>
              <w:rPr>
                <w:rFonts w:eastAsia="Times New Roman"/>
                <w:sz w:val="20"/>
                <w:szCs w:val="20"/>
              </w:rPr>
              <w:t>“ANNEX A—AGREEMENT AND PLAN OF MERGER AND AMENDMENT NO. 1 TO AGREEMENT AND PLAN OF MERGER”</w:t>
            </w:r>
          </w:p>
        </w:tc>
      </w:tr>
    </w:tbl>
    <w:p w14:paraId="6EF845A1"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3DC100D" w14:textId="77777777">
        <w:trPr>
          <w:divId w:val="305475121"/>
          <w:tblCellSpacing w:w="0" w:type="dxa"/>
        </w:trPr>
        <w:tc>
          <w:tcPr>
            <w:tcW w:w="1080" w:type="dxa"/>
            <w:hideMark/>
          </w:tcPr>
          <w:p w14:paraId="45942999" w14:textId="77777777" w:rsidR="00000000" w:rsidRDefault="002F725F">
            <w:pPr>
              <w:rPr>
                <w:sz w:val="20"/>
                <w:szCs w:val="20"/>
              </w:rPr>
            </w:pPr>
          </w:p>
        </w:tc>
        <w:tc>
          <w:tcPr>
            <w:tcW w:w="360" w:type="dxa"/>
            <w:hideMark/>
          </w:tcPr>
          <w:p w14:paraId="600CB303" w14:textId="77777777" w:rsidR="00000000" w:rsidRDefault="002F725F">
            <w:pPr>
              <w:rPr>
                <w:rFonts w:eastAsia="Times New Roman"/>
                <w:sz w:val="20"/>
                <w:szCs w:val="20"/>
              </w:rPr>
            </w:pPr>
            <w:r>
              <w:rPr>
                <w:rFonts w:eastAsia="Times New Roman"/>
                <w:sz w:val="20"/>
                <w:szCs w:val="20"/>
              </w:rPr>
              <w:t>●</w:t>
            </w:r>
          </w:p>
        </w:tc>
        <w:tc>
          <w:tcPr>
            <w:tcW w:w="0" w:type="auto"/>
            <w:hideMark/>
          </w:tcPr>
          <w:p w14:paraId="623C7186" w14:textId="77777777" w:rsidR="00000000" w:rsidRDefault="002F725F">
            <w:pPr>
              <w:jc w:val="both"/>
              <w:rPr>
                <w:rFonts w:eastAsia="Times New Roman"/>
                <w:sz w:val="20"/>
                <w:szCs w:val="20"/>
              </w:rPr>
            </w:pPr>
            <w:r>
              <w:rPr>
                <w:rFonts w:eastAsia="Times New Roman"/>
                <w:sz w:val="20"/>
                <w:szCs w:val="20"/>
              </w:rPr>
              <w:t>“ANNEX B—PLAN OF MERGER”</w:t>
            </w:r>
          </w:p>
        </w:tc>
      </w:tr>
    </w:tbl>
    <w:p w14:paraId="6C608B8D"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61D98163" w14:textId="77777777">
        <w:trPr>
          <w:divId w:val="305475121"/>
          <w:tblCellSpacing w:w="0" w:type="dxa"/>
        </w:trPr>
        <w:tc>
          <w:tcPr>
            <w:tcW w:w="6" w:type="dxa"/>
            <w:hideMark/>
          </w:tcPr>
          <w:p w14:paraId="4ED68F57" w14:textId="77777777" w:rsidR="00000000" w:rsidRDefault="002F725F">
            <w:pPr>
              <w:rPr>
                <w:sz w:val="20"/>
                <w:szCs w:val="20"/>
              </w:rPr>
            </w:pPr>
          </w:p>
        </w:tc>
        <w:tc>
          <w:tcPr>
            <w:tcW w:w="1080" w:type="dxa"/>
            <w:hideMark/>
          </w:tcPr>
          <w:p w14:paraId="1845E4D5" w14:textId="77777777" w:rsidR="00000000" w:rsidRDefault="002F725F">
            <w:pPr>
              <w:rPr>
                <w:rFonts w:eastAsia="Times New Roman"/>
                <w:sz w:val="20"/>
                <w:szCs w:val="20"/>
              </w:rPr>
            </w:pPr>
            <w:r>
              <w:rPr>
                <w:rFonts w:eastAsia="Times New Roman"/>
                <w:sz w:val="20"/>
                <w:szCs w:val="20"/>
              </w:rPr>
              <w:t>(c)</w:t>
            </w:r>
          </w:p>
        </w:tc>
        <w:tc>
          <w:tcPr>
            <w:tcW w:w="0" w:type="auto"/>
            <w:hideMark/>
          </w:tcPr>
          <w:p w14:paraId="4C688C41" w14:textId="77777777" w:rsidR="00000000" w:rsidRDefault="002F725F">
            <w:pPr>
              <w:jc w:val="both"/>
              <w:rPr>
                <w:rFonts w:eastAsia="Times New Roman"/>
                <w:sz w:val="20"/>
                <w:szCs w:val="20"/>
              </w:rPr>
            </w:pPr>
            <w:r>
              <w:rPr>
                <w:rFonts w:eastAsia="Times New Roman"/>
                <w:sz w:val="20"/>
                <w:szCs w:val="20"/>
              </w:rPr>
              <w:t>Different Terms. </w:t>
            </w:r>
            <w:r>
              <w:rPr>
                <w:rFonts w:eastAsia="Times New Roman"/>
                <w:sz w:val="20"/>
                <w:szCs w:val="20"/>
              </w:rPr>
              <w:t>The information set forth in the Proxy Statement under the following captions is incorporated herein by reference:</w:t>
            </w:r>
          </w:p>
        </w:tc>
      </w:tr>
    </w:tbl>
    <w:p w14:paraId="7045A2C1"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9E00DE3" w14:textId="77777777">
        <w:trPr>
          <w:divId w:val="305475121"/>
          <w:tblCellSpacing w:w="0" w:type="dxa"/>
        </w:trPr>
        <w:tc>
          <w:tcPr>
            <w:tcW w:w="1080" w:type="dxa"/>
            <w:hideMark/>
          </w:tcPr>
          <w:p w14:paraId="3A81C69E" w14:textId="77777777" w:rsidR="00000000" w:rsidRDefault="002F725F">
            <w:pPr>
              <w:rPr>
                <w:sz w:val="20"/>
                <w:szCs w:val="20"/>
              </w:rPr>
            </w:pPr>
          </w:p>
        </w:tc>
        <w:tc>
          <w:tcPr>
            <w:tcW w:w="360" w:type="dxa"/>
            <w:hideMark/>
          </w:tcPr>
          <w:p w14:paraId="1FAD62A8" w14:textId="77777777" w:rsidR="00000000" w:rsidRDefault="002F725F">
            <w:pPr>
              <w:rPr>
                <w:rFonts w:eastAsia="Times New Roman"/>
                <w:sz w:val="20"/>
                <w:szCs w:val="20"/>
              </w:rPr>
            </w:pPr>
            <w:r>
              <w:rPr>
                <w:rFonts w:eastAsia="Times New Roman"/>
                <w:sz w:val="20"/>
                <w:szCs w:val="20"/>
              </w:rPr>
              <w:t>●</w:t>
            </w:r>
          </w:p>
        </w:tc>
        <w:tc>
          <w:tcPr>
            <w:tcW w:w="0" w:type="auto"/>
            <w:hideMark/>
          </w:tcPr>
          <w:p w14:paraId="59AE96E7" w14:textId="77777777" w:rsidR="00000000" w:rsidRDefault="002F725F">
            <w:pPr>
              <w:jc w:val="both"/>
              <w:rPr>
                <w:rFonts w:eastAsia="Times New Roman"/>
                <w:sz w:val="20"/>
                <w:szCs w:val="20"/>
              </w:rPr>
            </w:pPr>
            <w:r>
              <w:rPr>
                <w:rFonts w:eastAsia="Times New Roman"/>
                <w:sz w:val="20"/>
                <w:szCs w:val="20"/>
              </w:rPr>
              <w:t>“SPECIAL FACTORS—Interests of Certain Persons in the Merger”</w:t>
            </w:r>
          </w:p>
        </w:tc>
      </w:tr>
    </w:tbl>
    <w:p w14:paraId="43817B81"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6A9197B" w14:textId="77777777">
        <w:trPr>
          <w:divId w:val="305475121"/>
          <w:tblCellSpacing w:w="0" w:type="dxa"/>
        </w:trPr>
        <w:tc>
          <w:tcPr>
            <w:tcW w:w="1080" w:type="dxa"/>
            <w:hideMark/>
          </w:tcPr>
          <w:p w14:paraId="596BECFD" w14:textId="77777777" w:rsidR="00000000" w:rsidRDefault="002F725F">
            <w:pPr>
              <w:rPr>
                <w:sz w:val="20"/>
                <w:szCs w:val="20"/>
              </w:rPr>
            </w:pPr>
          </w:p>
        </w:tc>
        <w:tc>
          <w:tcPr>
            <w:tcW w:w="360" w:type="dxa"/>
            <w:hideMark/>
          </w:tcPr>
          <w:p w14:paraId="1C6F79AF" w14:textId="77777777" w:rsidR="00000000" w:rsidRDefault="002F725F">
            <w:pPr>
              <w:rPr>
                <w:rFonts w:eastAsia="Times New Roman"/>
                <w:sz w:val="20"/>
                <w:szCs w:val="20"/>
              </w:rPr>
            </w:pPr>
            <w:r>
              <w:rPr>
                <w:rFonts w:eastAsia="Times New Roman"/>
                <w:sz w:val="20"/>
                <w:szCs w:val="20"/>
              </w:rPr>
              <w:t>●</w:t>
            </w:r>
          </w:p>
        </w:tc>
        <w:tc>
          <w:tcPr>
            <w:tcW w:w="0" w:type="auto"/>
            <w:hideMark/>
          </w:tcPr>
          <w:p w14:paraId="7B9BE4E5" w14:textId="77777777" w:rsidR="00000000" w:rsidRDefault="002F725F">
            <w:pPr>
              <w:jc w:val="both"/>
              <w:rPr>
                <w:rFonts w:eastAsia="Times New Roman"/>
                <w:sz w:val="20"/>
                <w:szCs w:val="20"/>
              </w:rPr>
            </w:pPr>
            <w:r>
              <w:rPr>
                <w:rFonts w:eastAsia="Times New Roman"/>
                <w:sz w:val="20"/>
                <w:szCs w:val="20"/>
              </w:rPr>
              <w:t>“THE EXTRAORDINARY GENERAL MEETING—Proposals to be Considered at the</w:t>
            </w:r>
            <w:r>
              <w:rPr>
                <w:rFonts w:eastAsia="Times New Roman"/>
                <w:sz w:val="20"/>
                <w:szCs w:val="20"/>
              </w:rPr>
              <w:t xml:space="preserve"> Extraordinary General Meeting”</w:t>
            </w:r>
          </w:p>
        </w:tc>
      </w:tr>
    </w:tbl>
    <w:p w14:paraId="404359ED"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78F1141" w14:textId="77777777">
        <w:trPr>
          <w:divId w:val="305475121"/>
          <w:tblCellSpacing w:w="0" w:type="dxa"/>
        </w:trPr>
        <w:tc>
          <w:tcPr>
            <w:tcW w:w="1080" w:type="dxa"/>
            <w:hideMark/>
          </w:tcPr>
          <w:p w14:paraId="72DDB58E" w14:textId="77777777" w:rsidR="00000000" w:rsidRDefault="002F725F">
            <w:pPr>
              <w:rPr>
                <w:sz w:val="20"/>
                <w:szCs w:val="20"/>
              </w:rPr>
            </w:pPr>
          </w:p>
        </w:tc>
        <w:tc>
          <w:tcPr>
            <w:tcW w:w="360" w:type="dxa"/>
            <w:hideMark/>
          </w:tcPr>
          <w:p w14:paraId="3E8B0E55" w14:textId="77777777" w:rsidR="00000000" w:rsidRDefault="002F725F">
            <w:pPr>
              <w:rPr>
                <w:rFonts w:eastAsia="Times New Roman"/>
                <w:sz w:val="20"/>
                <w:szCs w:val="20"/>
              </w:rPr>
            </w:pPr>
            <w:r>
              <w:rPr>
                <w:rFonts w:eastAsia="Times New Roman"/>
                <w:sz w:val="20"/>
                <w:szCs w:val="20"/>
              </w:rPr>
              <w:t>●</w:t>
            </w:r>
          </w:p>
        </w:tc>
        <w:tc>
          <w:tcPr>
            <w:tcW w:w="0" w:type="auto"/>
            <w:hideMark/>
          </w:tcPr>
          <w:p w14:paraId="77B1B58E" w14:textId="77777777" w:rsidR="00000000" w:rsidRDefault="002F725F">
            <w:pPr>
              <w:jc w:val="both"/>
              <w:rPr>
                <w:rFonts w:eastAsia="Times New Roman"/>
                <w:sz w:val="20"/>
                <w:szCs w:val="20"/>
              </w:rPr>
            </w:pPr>
            <w:r>
              <w:rPr>
                <w:rFonts w:eastAsia="Times New Roman"/>
                <w:sz w:val="20"/>
                <w:szCs w:val="20"/>
              </w:rPr>
              <w:t>“THE MERGER AGREEMENT”</w:t>
            </w:r>
          </w:p>
        </w:tc>
      </w:tr>
    </w:tbl>
    <w:p w14:paraId="4695D071"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2FD0862" w14:textId="77777777">
        <w:trPr>
          <w:divId w:val="305475121"/>
          <w:tblCellSpacing w:w="0" w:type="dxa"/>
        </w:trPr>
        <w:tc>
          <w:tcPr>
            <w:tcW w:w="1080" w:type="dxa"/>
            <w:hideMark/>
          </w:tcPr>
          <w:p w14:paraId="7C6A5331" w14:textId="77777777" w:rsidR="00000000" w:rsidRDefault="002F725F">
            <w:pPr>
              <w:rPr>
                <w:sz w:val="20"/>
                <w:szCs w:val="20"/>
              </w:rPr>
            </w:pPr>
          </w:p>
        </w:tc>
        <w:tc>
          <w:tcPr>
            <w:tcW w:w="360" w:type="dxa"/>
            <w:hideMark/>
          </w:tcPr>
          <w:p w14:paraId="16067E55" w14:textId="77777777" w:rsidR="00000000" w:rsidRDefault="002F725F">
            <w:pPr>
              <w:rPr>
                <w:rFonts w:eastAsia="Times New Roman"/>
                <w:sz w:val="20"/>
                <w:szCs w:val="20"/>
              </w:rPr>
            </w:pPr>
            <w:r>
              <w:rPr>
                <w:rFonts w:eastAsia="Times New Roman"/>
                <w:sz w:val="20"/>
                <w:szCs w:val="20"/>
              </w:rPr>
              <w:t>●</w:t>
            </w:r>
          </w:p>
        </w:tc>
        <w:tc>
          <w:tcPr>
            <w:tcW w:w="0" w:type="auto"/>
            <w:hideMark/>
          </w:tcPr>
          <w:p w14:paraId="12293C5A" w14:textId="77777777" w:rsidR="00000000" w:rsidRDefault="002F725F">
            <w:pPr>
              <w:jc w:val="both"/>
              <w:rPr>
                <w:rFonts w:eastAsia="Times New Roman"/>
                <w:sz w:val="20"/>
                <w:szCs w:val="20"/>
              </w:rPr>
            </w:pPr>
            <w:r>
              <w:rPr>
                <w:rFonts w:eastAsia="Times New Roman"/>
                <w:sz w:val="20"/>
                <w:szCs w:val="20"/>
              </w:rPr>
              <w:t>“ANNEX A—AGREEMENT AND PLAN OF MERGER AND AMENDMENT NO. 1 TO AGREEMENT AND PLAN OF MERGER”</w:t>
            </w:r>
          </w:p>
        </w:tc>
      </w:tr>
    </w:tbl>
    <w:p w14:paraId="50378093"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5C9335D" w14:textId="77777777">
        <w:trPr>
          <w:divId w:val="305475121"/>
          <w:tblCellSpacing w:w="0" w:type="dxa"/>
        </w:trPr>
        <w:tc>
          <w:tcPr>
            <w:tcW w:w="1080" w:type="dxa"/>
            <w:hideMark/>
          </w:tcPr>
          <w:p w14:paraId="7C4C7398" w14:textId="77777777" w:rsidR="00000000" w:rsidRDefault="002F725F">
            <w:pPr>
              <w:rPr>
                <w:sz w:val="20"/>
                <w:szCs w:val="20"/>
              </w:rPr>
            </w:pPr>
          </w:p>
        </w:tc>
        <w:tc>
          <w:tcPr>
            <w:tcW w:w="360" w:type="dxa"/>
            <w:hideMark/>
          </w:tcPr>
          <w:p w14:paraId="1BFB9983" w14:textId="77777777" w:rsidR="00000000" w:rsidRDefault="002F725F">
            <w:pPr>
              <w:rPr>
                <w:rFonts w:eastAsia="Times New Roman"/>
                <w:sz w:val="20"/>
                <w:szCs w:val="20"/>
              </w:rPr>
            </w:pPr>
            <w:r>
              <w:rPr>
                <w:rFonts w:eastAsia="Times New Roman"/>
                <w:sz w:val="20"/>
                <w:szCs w:val="20"/>
              </w:rPr>
              <w:t>●</w:t>
            </w:r>
          </w:p>
        </w:tc>
        <w:tc>
          <w:tcPr>
            <w:tcW w:w="0" w:type="auto"/>
            <w:hideMark/>
          </w:tcPr>
          <w:p w14:paraId="1E3D03D8" w14:textId="77777777" w:rsidR="00000000" w:rsidRDefault="002F725F">
            <w:pPr>
              <w:jc w:val="both"/>
              <w:rPr>
                <w:rFonts w:eastAsia="Times New Roman"/>
                <w:sz w:val="20"/>
                <w:szCs w:val="20"/>
              </w:rPr>
            </w:pPr>
            <w:r>
              <w:rPr>
                <w:rFonts w:eastAsia="Times New Roman"/>
                <w:sz w:val="20"/>
                <w:szCs w:val="20"/>
              </w:rPr>
              <w:t>“ANNEX B—PLAN OF MERGER”</w:t>
            </w:r>
          </w:p>
        </w:tc>
      </w:tr>
    </w:tbl>
    <w:p w14:paraId="32C42B9C"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8AAE90A" w14:textId="77777777">
        <w:trPr>
          <w:divId w:val="305475121"/>
          <w:tblCellSpacing w:w="0" w:type="dxa"/>
        </w:trPr>
        <w:tc>
          <w:tcPr>
            <w:tcW w:w="1080" w:type="dxa"/>
            <w:hideMark/>
          </w:tcPr>
          <w:p w14:paraId="2AC9DBAF" w14:textId="77777777" w:rsidR="00000000" w:rsidRDefault="002F725F">
            <w:pPr>
              <w:rPr>
                <w:sz w:val="20"/>
                <w:szCs w:val="20"/>
              </w:rPr>
            </w:pPr>
          </w:p>
        </w:tc>
        <w:tc>
          <w:tcPr>
            <w:tcW w:w="360" w:type="dxa"/>
            <w:hideMark/>
          </w:tcPr>
          <w:p w14:paraId="1CFDA484" w14:textId="77777777" w:rsidR="00000000" w:rsidRDefault="002F725F">
            <w:pPr>
              <w:rPr>
                <w:rFonts w:eastAsia="Times New Roman"/>
                <w:sz w:val="20"/>
                <w:szCs w:val="20"/>
              </w:rPr>
            </w:pPr>
            <w:r>
              <w:rPr>
                <w:rFonts w:eastAsia="Times New Roman"/>
                <w:sz w:val="20"/>
                <w:szCs w:val="20"/>
              </w:rPr>
              <w:t>●</w:t>
            </w:r>
          </w:p>
        </w:tc>
        <w:tc>
          <w:tcPr>
            <w:tcW w:w="0" w:type="auto"/>
            <w:hideMark/>
          </w:tcPr>
          <w:p w14:paraId="499D0A8F" w14:textId="77777777" w:rsidR="00000000" w:rsidRDefault="002F725F">
            <w:pPr>
              <w:jc w:val="both"/>
              <w:rPr>
                <w:rFonts w:eastAsia="Times New Roman"/>
                <w:sz w:val="20"/>
                <w:szCs w:val="20"/>
              </w:rPr>
            </w:pPr>
            <w:r>
              <w:rPr>
                <w:rFonts w:eastAsia="Times New Roman"/>
                <w:sz w:val="20"/>
                <w:szCs w:val="20"/>
              </w:rPr>
              <w:t xml:space="preserve">“SPECIAL FACTORS — </w:t>
            </w:r>
            <w:r>
              <w:rPr>
                <w:rFonts w:eastAsia="Times New Roman"/>
                <w:sz w:val="20"/>
                <w:szCs w:val="20"/>
              </w:rPr>
              <w:t>Financing of the Merger”</w:t>
            </w:r>
          </w:p>
        </w:tc>
      </w:tr>
    </w:tbl>
    <w:p w14:paraId="3FBAFD59" w14:textId="77777777" w:rsidR="00000000" w:rsidRDefault="002F725F">
      <w:pPr>
        <w:pStyle w:val="NormalWeb"/>
        <w:spacing w:before="0" w:beforeAutospacing="0" w:after="0" w:afterAutospacing="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4941FF2" w14:textId="77777777">
        <w:trPr>
          <w:divId w:val="305475121"/>
          <w:tblCellSpacing w:w="0" w:type="dxa"/>
        </w:trPr>
        <w:tc>
          <w:tcPr>
            <w:tcW w:w="1080" w:type="dxa"/>
            <w:hideMark/>
          </w:tcPr>
          <w:p w14:paraId="03961B93" w14:textId="77777777" w:rsidR="00000000" w:rsidRDefault="002F725F">
            <w:pPr>
              <w:rPr>
                <w:sz w:val="20"/>
                <w:szCs w:val="20"/>
              </w:rPr>
            </w:pPr>
          </w:p>
        </w:tc>
        <w:tc>
          <w:tcPr>
            <w:tcW w:w="360" w:type="dxa"/>
            <w:hideMark/>
          </w:tcPr>
          <w:p w14:paraId="30AC7A85" w14:textId="77777777" w:rsidR="00000000" w:rsidRDefault="002F725F">
            <w:pPr>
              <w:rPr>
                <w:rFonts w:eastAsia="Times New Roman"/>
                <w:sz w:val="20"/>
                <w:szCs w:val="20"/>
              </w:rPr>
            </w:pPr>
            <w:r>
              <w:rPr>
                <w:rFonts w:eastAsia="Times New Roman"/>
                <w:sz w:val="20"/>
                <w:szCs w:val="20"/>
              </w:rPr>
              <w:t>●</w:t>
            </w:r>
          </w:p>
        </w:tc>
        <w:tc>
          <w:tcPr>
            <w:tcW w:w="0" w:type="auto"/>
            <w:hideMark/>
          </w:tcPr>
          <w:p w14:paraId="63E508EC" w14:textId="77777777" w:rsidR="00000000" w:rsidRDefault="002F725F">
            <w:pPr>
              <w:jc w:val="both"/>
              <w:rPr>
                <w:rFonts w:eastAsia="Times New Roman"/>
                <w:sz w:val="20"/>
                <w:szCs w:val="20"/>
              </w:rPr>
            </w:pPr>
            <w:r>
              <w:rPr>
                <w:rFonts w:eastAsia="Times New Roman"/>
                <w:sz w:val="20"/>
                <w:szCs w:val="20"/>
              </w:rPr>
              <w:t>“SPECIAL FACTORS — Support Agreement”</w:t>
            </w:r>
          </w:p>
        </w:tc>
      </w:tr>
    </w:tbl>
    <w:p w14:paraId="219A7B6E" w14:textId="77777777" w:rsidR="00000000" w:rsidRDefault="002F725F">
      <w:pPr>
        <w:pStyle w:val="NormalWeb"/>
        <w:spacing w:before="0" w:beforeAutospacing="0" w:after="0" w:afterAutospacing="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49672A0" w14:textId="77777777">
        <w:trPr>
          <w:divId w:val="305475121"/>
          <w:tblCellSpacing w:w="0" w:type="dxa"/>
        </w:trPr>
        <w:tc>
          <w:tcPr>
            <w:tcW w:w="1080" w:type="dxa"/>
            <w:hideMark/>
          </w:tcPr>
          <w:p w14:paraId="3E7DEFBF" w14:textId="77777777" w:rsidR="00000000" w:rsidRDefault="002F725F">
            <w:pPr>
              <w:rPr>
                <w:sz w:val="20"/>
                <w:szCs w:val="20"/>
              </w:rPr>
            </w:pPr>
          </w:p>
        </w:tc>
        <w:tc>
          <w:tcPr>
            <w:tcW w:w="360" w:type="dxa"/>
            <w:hideMark/>
          </w:tcPr>
          <w:p w14:paraId="0063427D" w14:textId="77777777" w:rsidR="00000000" w:rsidRDefault="002F725F">
            <w:pPr>
              <w:rPr>
                <w:rFonts w:eastAsia="Times New Roman"/>
                <w:sz w:val="20"/>
                <w:szCs w:val="20"/>
              </w:rPr>
            </w:pPr>
            <w:r>
              <w:rPr>
                <w:rFonts w:eastAsia="Times New Roman"/>
                <w:sz w:val="20"/>
                <w:szCs w:val="20"/>
              </w:rPr>
              <w:t>●</w:t>
            </w:r>
          </w:p>
        </w:tc>
        <w:tc>
          <w:tcPr>
            <w:tcW w:w="0" w:type="auto"/>
            <w:hideMark/>
          </w:tcPr>
          <w:p w14:paraId="7AFA6F8D" w14:textId="77777777" w:rsidR="00000000" w:rsidRDefault="002F725F">
            <w:pPr>
              <w:jc w:val="both"/>
              <w:rPr>
                <w:rFonts w:eastAsia="Times New Roman"/>
                <w:sz w:val="20"/>
                <w:szCs w:val="20"/>
              </w:rPr>
            </w:pPr>
            <w:r>
              <w:rPr>
                <w:rFonts w:eastAsia="Times New Roman"/>
                <w:sz w:val="20"/>
                <w:szCs w:val="20"/>
              </w:rPr>
              <w:t>“SPECIAL FACTORS — Interim Investors Agreement”</w:t>
            </w:r>
          </w:p>
        </w:tc>
      </w:tr>
    </w:tbl>
    <w:p w14:paraId="4AB85CD6"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52343294" w14:textId="77777777">
        <w:trPr>
          <w:divId w:val="305475121"/>
          <w:tblCellSpacing w:w="0" w:type="dxa"/>
        </w:trPr>
        <w:tc>
          <w:tcPr>
            <w:tcW w:w="6" w:type="dxa"/>
            <w:hideMark/>
          </w:tcPr>
          <w:p w14:paraId="1DCE4933" w14:textId="77777777" w:rsidR="00000000" w:rsidRDefault="002F725F">
            <w:pPr>
              <w:rPr>
                <w:sz w:val="20"/>
                <w:szCs w:val="20"/>
              </w:rPr>
            </w:pPr>
          </w:p>
        </w:tc>
        <w:tc>
          <w:tcPr>
            <w:tcW w:w="1080" w:type="dxa"/>
            <w:hideMark/>
          </w:tcPr>
          <w:p w14:paraId="0DDAD9A2" w14:textId="77777777" w:rsidR="00000000" w:rsidRDefault="002F725F">
            <w:pPr>
              <w:rPr>
                <w:rFonts w:eastAsia="Times New Roman"/>
                <w:sz w:val="20"/>
                <w:szCs w:val="20"/>
              </w:rPr>
            </w:pPr>
            <w:r>
              <w:rPr>
                <w:rFonts w:eastAsia="Times New Roman"/>
                <w:sz w:val="20"/>
                <w:szCs w:val="20"/>
              </w:rPr>
              <w:t>(d)</w:t>
            </w:r>
          </w:p>
        </w:tc>
        <w:tc>
          <w:tcPr>
            <w:tcW w:w="0" w:type="auto"/>
            <w:hideMark/>
          </w:tcPr>
          <w:p w14:paraId="1FDBE6DB" w14:textId="77777777" w:rsidR="00000000" w:rsidRDefault="002F725F">
            <w:pPr>
              <w:jc w:val="both"/>
              <w:rPr>
                <w:rFonts w:eastAsia="Times New Roman"/>
                <w:sz w:val="20"/>
                <w:szCs w:val="20"/>
              </w:rPr>
            </w:pPr>
            <w:r>
              <w:rPr>
                <w:rFonts w:eastAsia="Times New Roman"/>
                <w:sz w:val="20"/>
                <w:szCs w:val="20"/>
              </w:rPr>
              <w:t>Appraisal Rights. </w:t>
            </w:r>
            <w:r>
              <w:rPr>
                <w:rFonts w:eastAsia="Times New Roman"/>
                <w:sz w:val="20"/>
                <w:szCs w:val="20"/>
              </w:rPr>
              <w:t>The information set forth in the Proxy Statement under the following captions is incorporated herein by reference:</w:t>
            </w:r>
          </w:p>
        </w:tc>
      </w:tr>
    </w:tbl>
    <w:p w14:paraId="37853B7F"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ED637F2" w14:textId="77777777">
        <w:trPr>
          <w:divId w:val="305475121"/>
          <w:tblCellSpacing w:w="0" w:type="dxa"/>
        </w:trPr>
        <w:tc>
          <w:tcPr>
            <w:tcW w:w="1080" w:type="dxa"/>
            <w:hideMark/>
          </w:tcPr>
          <w:p w14:paraId="0D4847EA" w14:textId="77777777" w:rsidR="00000000" w:rsidRDefault="002F725F">
            <w:pPr>
              <w:rPr>
                <w:sz w:val="20"/>
                <w:szCs w:val="20"/>
              </w:rPr>
            </w:pPr>
          </w:p>
        </w:tc>
        <w:tc>
          <w:tcPr>
            <w:tcW w:w="360" w:type="dxa"/>
            <w:hideMark/>
          </w:tcPr>
          <w:p w14:paraId="28FB8824" w14:textId="77777777" w:rsidR="00000000" w:rsidRDefault="002F725F">
            <w:pPr>
              <w:rPr>
                <w:rFonts w:eastAsia="Times New Roman"/>
                <w:sz w:val="20"/>
                <w:szCs w:val="20"/>
              </w:rPr>
            </w:pPr>
            <w:r>
              <w:rPr>
                <w:rFonts w:eastAsia="Times New Roman"/>
                <w:sz w:val="20"/>
                <w:szCs w:val="20"/>
              </w:rPr>
              <w:t>●</w:t>
            </w:r>
          </w:p>
        </w:tc>
        <w:tc>
          <w:tcPr>
            <w:tcW w:w="0" w:type="auto"/>
            <w:hideMark/>
          </w:tcPr>
          <w:p w14:paraId="54A2A664" w14:textId="77777777" w:rsidR="00000000" w:rsidRDefault="002F725F">
            <w:pPr>
              <w:jc w:val="both"/>
              <w:rPr>
                <w:rFonts w:eastAsia="Times New Roman"/>
                <w:sz w:val="20"/>
                <w:szCs w:val="20"/>
              </w:rPr>
            </w:pPr>
            <w:r>
              <w:rPr>
                <w:rFonts w:eastAsia="Times New Roman"/>
                <w:sz w:val="20"/>
                <w:szCs w:val="20"/>
              </w:rPr>
              <w:t>“QUESTIONS AND ANSWERS ABOUT THE EXTRAORDINARY GENERAL MEETING AND THE MERGER”</w:t>
            </w:r>
          </w:p>
        </w:tc>
      </w:tr>
    </w:tbl>
    <w:p w14:paraId="7B2D3526"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AB90E69" w14:textId="77777777">
        <w:trPr>
          <w:divId w:val="305475121"/>
          <w:tblCellSpacing w:w="0" w:type="dxa"/>
        </w:trPr>
        <w:tc>
          <w:tcPr>
            <w:tcW w:w="1080" w:type="dxa"/>
            <w:hideMark/>
          </w:tcPr>
          <w:p w14:paraId="105CE4EC" w14:textId="77777777" w:rsidR="00000000" w:rsidRDefault="002F725F">
            <w:pPr>
              <w:rPr>
                <w:sz w:val="20"/>
                <w:szCs w:val="20"/>
              </w:rPr>
            </w:pPr>
          </w:p>
        </w:tc>
        <w:tc>
          <w:tcPr>
            <w:tcW w:w="360" w:type="dxa"/>
            <w:hideMark/>
          </w:tcPr>
          <w:p w14:paraId="56C6FDC9" w14:textId="77777777" w:rsidR="00000000" w:rsidRDefault="002F725F">
            <w:pPr>
              <w:rPr>
                <w:rFonts w:eastAsia="Times New Roman"/>
                <w:sz w:val="20"/>
                <w:szCs w:val="20"/>
              </w:rPr>
            </w:pPr>
            <w:r>
              <w:rPr>
                <w:rFonts w:eastAsia="Times New Roman"/>
                <w:sz w:val="20"/>
                <w:szCs w:val="20"/>
              </w:rPr>
              <w:t>●</w:t>
            </w:r>
          </w:p>
        </w:tc>
        <w:tc>
          <w:tcPr>
            <w:tcW w:w="0" w:type="auto"/>
            <w:hideMark/>
          </w:tcPr>
          <w:p w14:paraId="2B02EFDF" w14:textId="77777777" w:rsidR="00000000" w:rsidRDefault="002F725F">
            <w:pPr>
              <w:jc w:val="both"/>
              <w:rPr>
                <w:rFonts w:eastAsia="Times New Roman"/>
                <w:sz w:val="20"/>
                <w:szCs w:val="20"/>
              </w:rPr>
            </w:pPr>
            <w:r>
              <w:rPr>
                <w:rFonts w:eastAsia="Times New Roman"/>
                <w:sz w:val="20"/>
                <w:szCs w:val="20"/>
              </w:rPr>
              <w:t>“DISSENTERS’ RIGHTS”</w:t>
            </w:r>
          </w:p>
        </w:tc>
      </w:tr>
    </w:tbl>
    <w:p w14:paraId="186AA82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612339D" w14:textId="77777777">
        <w:trPr>
          <w:divId w:val="305475121"/>
          <w:tblCellSpacing w:w="0" w:type="dxa"/>
        </w:trPr>
        <w:tc>
          <w:tcPr>
            <w:tcW w:w="1080" w:type="dxa"/>
            <w:hideMark/>
          </w:tcPr>
          <w:p w14:paraId="4EC21AD0" w14:textId="77777777" w:rsidR="00000000" w:rsidRDefault="002F725F">
            <w:pPr>
              <w:rPr>
                <w:sz w:val="20"/>
                <w:szCs w:val="20"/>
              </w:rPr>
            </w:pPr>
          </w:p>
        </w:tc>
        <w:tc>
          <w:tcPr>
            <w:tcW w:w="360" w:type="dxa"/>
            <w:hideMark/>
          </w:tcPr>
          <w:p w14:paraId="078B8950" w14:textId="77777777" w:rsidR="00000000" w:rsidRDefault="002F725F">
            <w:pPr>
              <w:rPr>
                <w:rFonts w:eastAsia="Times New Roman"/>
                <w:sz w:val="20"/>
                <w:szCs w:val="20"/>
              </w:rPr>
            </w:pPr>
            <w:r>
              <w:rPr>
                <w:rFonts w:eastAsia="Times New Roman"/>
                <w:sz w:val="20"/>
                <w:szCs w:val="20"/>
              </w:rPr>
              <w:t>●</w:t>
            </w:r>
          </w:p>
        </w:tc>
        <w:tc>
          <w:tcPr>
            <w:tcW w:w="0" w:type="auto"/>
            <w:hideMark/>
          </w:tcPr>
          <w:p w14:paraId="0F1F7D2F" w14:textId="77777777" w:rsidR="00000000" w:rsidRDefault="002F725F">
            <w:pPr>
              <w:jc w:val="both"/>
              <w:rPr>
                <w:rFonts w:eastAsia="Times New Roman"/>
                <w:sz w:val="20"/>
                <w:szCs w:val="20"/>
              </w:rPr>
            </w:pPr>
            <w:r>
              <w:rPr>
                <w:rFonts w:eastAsia="Times New Roman"/>
                <w:sz w:val="20"/>
                <w:szCs w:val="20"/>
              </w:rPr>
              <w:t>“ANNEX D—</w:t>
            </w:r>
            <w:r>
              <w:rPr>
                <w:rFonts w:eastAsia="Times New Roman"/>
                <w:sz w:val="20"/>
                <w:szCs w:val="20"/>
              </w:rPr>
              <w:t>CAYMAN ISLANDS COMPANIES ACT—SECTION 238”</w:t>
            </w:r>
          </w:p>
        </w:tc>
      </w:tr>
    </w:tbl>
    <w:p w14:paraId="4352E913"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485C327A" w14:textId="77777777">
        <w:trPr>
          <w:divId w:val="305475121"/>
          <w:tblCellSpacing w:w="0" w:type="dxa"/>
        </w:trPr>
        <w:tc>
          <w:tcPr>
            <w:tcW w:w="6" w:type="dxa"/>
            <w:hideMark/>
          </w:tcPr>
          <w:p w14:paraId="5EC44BFA" w14:textId="77777777" w:rsidR="00000000" w:rsidRDefault="002F725F">
            <w:pPr>
              <w:rPr>
                <w:sz w:val="20"/>
                <w:szCs w:val="20"/>
              </w:rPr>
            </w:pPr>
          </w:p>
        </w:tc>
        <w:tc>
          <w:tcPr>
            <w:tcW w:w="1080" w:type="dxa"/>
            <w:hideMark/>
          </w:tcPr>
          <w:p w14:paraId="2BA39A00" w14:textId="77777777" w:rsidR="00000000" w:rsidRDefault="002F725F">
            <w:pPr>
              <w:rPr>
                <w:rFonts w:eastAsia="Times New Roman"/>
                <w:sz w:val="20"/>
                <w:szCs w:val="20"/>
              </w:rPr>
            </w:pPr>
            <w:r>
              <w:rPr>
                <w:rFonts w:eastAsia="Times New Roman"/>
                <w:sz w:val="20"/>
                <w:szCs w:val="20"/>
              </w:rPr>
              <w:t>(e)</w:t>
            </w:r>
          </w:p>
        </w:tc>
        <w:tc>
          <w:tcPr>
            <w:tcW w:w="0" w:type="auto"/>
            <w:hideMark/>
          </w:tcPr>
          <w:p w14:paraId="3E57C638" w14:textId="77777777" w:rsidR="00000000" w:rsidRDefault="002F725F">
            <w:pPr>
              <w:jc w:val="both"/>
              <w:rPr>
                <w:rFonts w:eastAsia="Times New Roman"/>
                <w:sz w:val="20"/>
                <w:szCs w:val="20"/>
              </w:rPr>
            </w:pPr>
            <w:r>
              <w:rPr>
                <w:rFonts w:eastAsia="Times New Roman"/>
                <w:sz w:val="20"/>
                <w:szCs w:val="20"/>
              </w:rPr>
              <w:t>Provisions for Unaffiliated Security Holders. The information set forth in the Proxy Statement under the following caption is incorporated herein by reference:</w:t>
            </w:r>
          </w:p>
        </w:tc>
      </w:tr>
    </w:tbl>
    <w:p w14:paraId="14094DE3"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3A354BB" w14:textId="77777777">
        <w:trPr>
          <w:divId w:val="305475121"/>
          <w:tblCellSpacing w:w="0" w:type="dxa"/>
        </w:trPr>
        <w:tc>
          <w:tcPr>
            <w:tcW w:w="1080" w:type="dxa"/>
            <w:hideMark/>
          </w:tcPr>
          <w:p w14:paraId="43FDAF98" w14:textId="77777777" w:rsidR="00000000" w:rsidRDefault="002F725F">
            <w:pPr>
              <w:rPr>
                <w:sz w:val="20"/>
                <w:szCs w:val="20"/>
              </w:rPr>
            </w:pPr>
          </w:p>
        </w:tc>
        <w:tc>
          <w:tcPr>
            <w:tcW w:w="360" w:type="dxa"/>
            <w:hideMark/>
          </w:tcPr>
          <w:p w14:paraId="7646218C" w14:textId="77777777" w:rsidR="00000000" w:rsidRDefault="002F725F">
            <w:pPr>
              <w:rPr>
                <w:rFonts w:eastAsia="Times New Roman"/>
                <w:sz w:val="20"/>
                <w:szCs w:val="20"/>
              </w:rPr>
            </w:pPr>
            <w:r>
              <w:rPr>
                <w:rFonts w:eastAsia="Times New Roman"/>
                <w:sz w:val="20"/>
                <w:szCs w:val="20"/>
              </w:rPr>
              <w:t>●</w:t>
            </w:r>
          </w:p>
        </w:tc>
        <w:tc>
          <w:tcPr>
            <w:tcW w:w="0" w:type="auto"/>
            <w:hideMark/>
          </w:tcPr>
          <w:p w14:paraId="7B81F510" w14:textId="77777777" w:rsidR="00000000" w:rsidRDefault="002F725F">
            <w:pPr>
              <w:jc w:val="both"/>
              <w:rPr>
                <w:rFonts w:eastAsia="Times New Roman"/>
                <w:sz w:val="20"/>
                <w:szCs w:val="20"/>
              </w:rPr>
            </w:pPr>
            <w:r>
              <w:rPr>
                <w:rFonts w:eastAsia="Times New Roman"/>
                <w:sz w:val="20"/>
                <w:szCs w:val="20"/>
              </w:rPr>
              <w:t>“PROVISIONS FOR UNAFFILIATED SECURITY HO</w:t>
            </w:r>
            <w:r>
              <w:rPr>
                <w:rFonts w:eastAsia="Times New Roman"/>
                <w:sz w:val="20"/>
                <w:szCs w:val="20"/>
              </w:rPr>
              <w:t>LDERS”</w:t>
            </w:r>
          </w:p>
        </w:tc>
      </w:tr>
    </w:tbl>
    <w:p w14:paraId="6BF675C1"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p w14:paraId="69105590" w14:textId="77777777" w:rsidR="00000000" w:rsidRDefault="002F725F">
      <w:pPr>
        <w:pStyle w:val="NormalWeb"/>
        <w:spacing w:before="0" w:beforeAutospacing="0" w:after="0" w:afterAutospacing="0"/>
        <w:jc w:val="center"/>
        <w:divId w:val="1435901653"/>
        <w:rPr>
          <w:sz w:val="20"/>
          <w:szCs w:val="20"/>
        </w:rPr>
      </w:pPr>
      <w:r>
        <w:rPr>
          <w:sz w:val="20"/>
          <w:szCs w:val="20"/>
        </w:rPr>
        <w:t>5</w:t>
      </w:r>
    </w:p>
    <w:p w14:paraId="32AF573F"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76877A63" w14:textId="77777777">
        <w:trPr>
          <w:divId w:val="305475121"/>
          <w:tblCellSpacing w:w="0" w:type="dxa"/>
        </w:trPr>
        <w:tc>
          <w:tcPr>
            <w:tcW w:w="6" w:type="dxa"/>
            <w:hideMark/>
          </w:tcPr>
          <w:p w14:paraId="0BB2CEE0" w14:textId="77777777" w:rsidR="00000000" w:rsidRDefault="002F725F">
            <w:pPr>
              <w:rPr>
                <w:sz w:val="20"/>
                <w:szCs w:val="20"/>
              </w:rPr>
            </w:pPr>
          </w:p>
        </w:tc>
        <w:tc>
          <w:tcPr>
            <w:tcW w:w="1080" w:type="dxa"/>
            <w:hideMark/>
          </w:tcPr>
          <w:p w14:paraId="65B729AF" w14:textId="77777777" w:rsidR="00000000" w:rsidRDefault="002F725F">
            <w:pPr>
              <w:rPr>
                <w:rFonts w:eastAsia="Times New Roman"/>
                <w:sz w:val="20"/>
                <w:szCs w:val="20"/>
              </w:rPr>
            </w:pPr>
            <w:r>
              <w:rPr>
                <w:rFonts w:eastAsia="Times New Roman"/>
                <w:sz w:val="20"/>
                <w:szCs w:val="20"/>
              </w:rPr>
              <w:t>(f)</w:t>
            </w:r>
          </w:p>
        </w:tc>
        <w:tc>
          <w:tcPr>
            <w:tcW w:w="0" w:type="auto"/>
            <w:hideMark/>
          </w:tcPr>
          <w:p w14:paraId="3EC71543" w14:textId="77777777" w:rsidR="00000000" w:rsidRDefault="002F725F">
            <w:pPr>
              <w:jc w:val="both"/>
              <w:rPr>
                <w:rFonts w:eastAsia="Times New Roman"/>
                <w:sz w:val="20"/>
                <w:szCs w:val="20"/>
              </w:rPr>
            </w:pPr>
            <w:r>
              <w:rPr>
                <w:rFonts w:eastAsia="Times New Roman"/>
                <w:sz w:val="20"/>
                <w:szCs w:val="20"/>
              </w:rPr>
              <w:t>Eligibility of Listing or Trading.  Not applicable.</w:t>
            </w:r>
          </w:p>
        </w:tc>
      </w:tr>
    </w:tbl>
    <w:p w14:paraId="466F1A01"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1EF70679" w14:textId="77777777">
        <w:trPr>
          <w:divId w:val="305475121"/>
          <w:tblCellSpacing w:w="0" w:type="dxa"/>
        </w:trPr>
        <w:tc>
          <w:tcPr>
            <w:tcW w:w="0" w:type="pct"/>
            <w:hideMark/>
          </w:tcPr>
          <w:p w14:paraId="2F4583E3" w14:textId="77777777" w:rsidR="00000000" w:rsidRDefault="002F725F">
            <w:pPr>
              <w:rPr>
                <w:sz w:val="20"/>
                <w:szCs w:val="20"/>
              </w:rPr>
            </w:pPr>
            <w:bookmarkStart w:id="5" w:name="gfpea0289617-sc13e3a6_lake.htma_005"/>
            <w:bookmarkEnd w:id="5"/>
          </w:p>
        </w:tc>
        <w:tc>
          <w:tcPr>
            <w:tcW w:w="720" w:type="dxa"/>
            <w:hideMark/>
          </w:tcPr>
          <w:p w14:paraId="18E1680B" w14:textId="77777777" w:rsidR="00000000" w:rsidRDefault="002F725F">
            <w:pPr>
              <w:rPr>
                <w:rFonts w:eastAsia="Times New Roman"/>
                <w:sz w:val="20"/>
                <w:szCs w:val="20"/>
              </w:rPr>
            </w:pPr>
            <w:r>
              <w:rPr>
                <w:rFonts w:eastAsia="Times New Roman"/>
                <w:b/>
                <w:bCs/>
                <w:sz w:val="20"/>
                <w:szCs w:val="20"/>
              </w:rPr>
              <w:t>Item 5</w:t>
            </w:r>
          </w:p>
        </w:tc>
        <w:tc>
          <w:tcPr>
            <w:tcW w:w="0" w:type="auto"/>
            <w:hideMark/>
          </w:tcPr>
          <w:p w14:paraId="1A6139E7" w14:textId="77777777" w:rsidR="00000000" w:rsidRDefault="002F725F">
            <w:pPr>
              <w:jc w:val="both"/>
              <w:rPr>
                <w:rFonts w:eastAsia="Times New Roman"/>
                <w:sz w:val="20"/>
                <w:szCs w:val="20"/>
              </w:rPr>
            </w:pPr>
            <w:r>
              <w:rPr>
                <w:rFonts w:eastAsia="Times New Roman"/>
                <w:b/>
                <w:bCs/>
                <w:sz w:val="20"/>
                <w:szCs w:val="20"/>
              </w:rPr>
              <w:t>Past Contracts, Transactions, Negotiations and Agreements</w:t>
            </w:r>
          </w:p>
        </w:tc>
      </w:tr>
    </w:tbl>
    <w:p w14:paraId="05C0023D"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36CB4F6A" w14:textId="77777777">
        <w:trPr>
          <w:divId w:val="305475121"/>
          <w:tblCellSpacing w:w="0" w:type="dxa"/>
        </w:trPr>
        <w:tc>
          <w:tcPr>
            <w:tcW w:w="6" w:type="dxa"/>
            <w:hideMark/>
          </w:tcPr>
          <w:p w14:paraId="32228D11" w14:textId="77777777" w:rsidR="00000000" w:rsidRDefault="002F725F">
            <w:pPr>
              <w:rPr>
                <w:sz w:val="20"/>
                <w:szCs w:val="20"/>
              </w:rPr>
            </w:pPr>
          </w:p>
        </w:tc>
        <w:tc>
          <w:tcPr>
            <w:tcW w:w="1080" w:type="dxa"/>
            <w:hideMark/>
          </w:tcPr>
          <w:p w14:paraId="728A93C6" w14:textId="77777777" w:rsidR="00000000" w:rsidRDefault="002F725F">
            <w:pPr>
              <w:rPr>
                <w:rFonts w:eastAsia="Times New Roman"/>
                <w:sz w:val="20"/>
                <w:szCs w:val="20"/>
              </w:rPr>
            </w:pPr>
            <w:r>
              <w:rPr>
                <w:rFonts w:eastAsia="Times New Roman"/>
                <w:sz w:val="20"/>
                <w:szCs w:val="20"/>
              </w:rPr>
              <w:t>(a)</w:t>
            </w:r>
          </w:p>
        </w:tc>
        <w:tc>
          <w:tcPr>
            <w:tcW w:w="0" w:type="auto"/>
            <w:hideMark/>
          </w:tcPr>
          <w:p w14:paraId="49540186" w14:textId="77777777" w:rsidR="00000000" w:rsidRDefault="002F725F">
            <w:pPr>
              <w:jc w:val="both"/>
              <w:rPr>
                <w:rFonts w:eastAsia="Times New Roman"/>
                <w:sz w:val="20"/>
                <w:szCs w:val="20"/>
              </w:rPr>
            </w:pPr>
            <w:r>
              <w:rPr>
                <w:rFonts w:eastAsia="Times New Roman"/>
                <w:sz w:val="20"/>
                <w:szCs w:val="20"/>
              </w:rPr>
              <w:t>Transactions. </w:t>
            </w:r>
            <w:r>
              <w:rPr>
                <w:rFonts w:eastAsia="Times New Roman"/>
                <w:sz w:val="20"/>
                <w:szCs w:val="20"/>
              </w:rPr>
              <w:t>The information set forth in the Proxy Statement under the following captions is incorporated herein by reference:</w:t>
            </w:r>
          </w:p>
        </w:tc>
      </w:tr>
    </w:tbl>
    <w:p w14:paraId="30B27844"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1322245" w14:textId="77777777">
        <w:trPr>
          <w:divId w:val="305475121"/>
          <w:tblCellSpacing w:w="0" w:type="dxa"/>
        </w:trPr>
        <w:tc>
          <w:tcPr>
            <w:tcW w:w="1080" w:type="dxa"/>
            <w:hideMark/>
          </w:tcPr>
          <w:p w14:paraId="49BC8B9D" w14:textId="77777777" w:rsidR="00000000" w:rsidRDefault="002F725F">
            <w:pPr>
              <w:rPr>
                <w:sz w:val="20"/>
                <w:szCs w:val="20"/>
              </w:rPr>
            </w:pPr>
          </w:p>
        </w:tc>
        <w:tc>
          <w:tcPr>
            <w:tcW w:w="360" w:type="dxa"/>
            <w:hideMark/>
          </w:tcPr>
          <w:p w14:paraId="6144E7BD" w14:textId="77777777" w:rsidR="00000000" w:rsidRDefault="002F725F">
            <w:pPr>
              <w:rPr>
                <w:rFonts w:eastAsia="Times New Roman"/>
                <w:sz w:val="20"/>
                <w:szCs w:val="20"/>
              </w:rPr>
            </w:pPr>
            <w:r>
              <w:rPr>
                <w:rFonts w:eastAsia="Times New Roman"/>
                <w:sz w:val="20"/>
                <w:szCs w:val="20"/>
              </w:rPr>
              <w:t>●</w:t>
            </w:r>
          </w:p>
        </w:tc>
        <w:tc>
          <w:tcPr>
            <w:tcW w:w="0" w:type="auto"/>
            <w:hideMark/>
          </w:tcPr>
          <w:p w14:paraId="2B7B3878" w14:textId="77777777" w:rsidR="00000000" w:rsidRDefault="002F725F">
            <w:pPr>
              <w:jc w:val="both"/>
              <w:rPr>
                <w:rFonts w:eastAsia="Times New Roman"/>
                <w:sz w:val="20"/>
                <w:szCs w:val="20"/>
              </w:rPr>
            </w:pPr>
            <w:r>
              <w:rPr>
                <w:rFonts w:eastAsia="Times New Roman"/>
                <w:sz w:val="20"/>
                <w:szCs w:val="20"/>
              </w:rPr>
              <w:t>“SPECIAL FACTORS—Interests of Certain Persons in the Merger”</w:t>
            </w:r>
          </w:p>
        </w:tc>
      </w:tr>
    </w:tbl>
    <w:p w14:paraId="6B598043"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F1A97B5" w14:textId="77777777">
        <w:trPr>
          <w:divId w:val="305475121"/>
          <w:tblCellSpacing w:w="0" w:type="dxa"/>
        </w:trPr>
        <w:tc>
          <w:tcPr>
            <w:tcW w:w="1080" w:type="dxa"/>
            <w:hideMark/>
          </w:tcPr>
          <w:p w14:paraId="639A8A51" w14:textId="77777777" w:rsidR="00000000" w:rsidRDefault="002F725F">
            <w:pPr>
              <w:rPr>
                <w:sz w:val="20"/>
                <w:szCs w:val="20"/>
              </w:rPr>
            </w:pPr>
          </w:p>
        </w:tc>
        <w:tc>
          <w:tcPr>
            <w:tcW w:w="360" w:type="dxa"/>
            <w:hideMark/>
          </w:tcPr>
          <w:p w14:paraId="3AB9288E" w14:textId="77777777" w:rsidR="00000000" w:rsidRDefault="002F725F">
            <w:pPr>
              <w:rPr>
                <w:rFonts w:eastAsia="Times New Roman"/>
                <w:sz w:val="20"/>
                <w:szCs w:val="20"/>
              </w:rPr>
            </w:pPr>
            <w:r>
              <w:rPr>
                <w:rFonts w:eastAsia="Times New Roman"/>
                <w:sz w:val="20"/>
                <w:szCs w:val="20"/>
              </w:rPr>
              <w:t>●</w:t>
            </w:r>
          </w:p>
        </w:tc>
        <w:tc>
          <w:tcPr>
            <w:tcW w:w="0" w:type="auto"/>
            <w:hideMark/>
          </w:tcPr>
          <w:p w14:paraId="6C55B556" w14:textId="77777777" w:rsidR="00000000" w:rsidRDefault="002F725F">
            <w:pPr>
              <w:jc w:val="both"/>
              <w:rPr>
                <w:rFonts w:eastAsia="Times New Roman"/>
                <w:sz w:val="20"/>
                <w:szCs w:val="20"/>
              </w:rPr>
            </w:pPr>
            <w:r>
              <w:rPr>
                <w:rFonts w:eastAsia="Times New Roman"/>
                <w:sz w:val="20"/>
                <w:szCs w:val="20"/>
              </w:rPr>
              <w:t>“SPECIAL FACTORS—</w:t>
            </w:r>
            <w:r>
              <w:rPr>
                <w:rFonts w:eastAsia="Times New Roman"/>
                <w:sz w:val="20"/>
                <w:szCs w:val="20"/>
              </w:rPr>
              <w:t>Related Party Transactions”</w:t>
            </w:r>
          </w:p>
        </w:tc>
      </w:tr>
    </w:tbl>
    <w:p w14:paraId="2A3AD126"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3FE53D2" w14:textId="77777777">
        <w:trPr>
          <w:divId w:val="305475121"/>
          <w:tblCellSpacing w:w="0" w:type="dxa"/>
        </w:trPr>
        <w:tc>
          <w:tcPr>
            <w:tcW w:w="1080" w:type="dxa"/>
            <w:hideMark/>
          </w:tcPr>
          <w:p w14:paraId="2D7662D7" w14:textId="77777777" w:rsidR="00000000" w:rsidRDefault="002F725F">
            <w:pPr>
              <w:rPr>
                <w:sz w:val="20"/>
                <w:szCs w:val="20"/>
              </w:rPr>
            </w:pPr>
          </w:p>
        </w:tc>
        <w:tc>
          <w:tcPr>
            <w:tcW w:w="360" w:type="dxa"/>
            <w:hideMark/>
          </w:tcPr>
          <w:p w14:paraId="31BAA940" w14:textId="77777777" w:rsidR="00000000" w:rsidRDefault="002F725F">
            <w:pPr>
              <w:rPr>
                <w:rFonts w:eastAsia="Times New Roman"/>
                <w:sz w:val="20"/>
                <w:szCs w:val="20"/>
              </w:rPr>
            </w:pPr>
            <w:r>
              <w:rPr>
                <w:rFonts w:eastAsia="Times New Roman"/>
                <w:sz w:val="20"/>
                <w:szCs w:val="20"/>
              </w:rPr>
              <w:t>●</w:t>
            </w:r>
          </w:p>
        </w:tc>
        <w:tc>
          <w:tcPr>
            <w:tcW w:w="0" w:type="auto"/>
            <w:hideMark/>
          </w:tcPr>
          <w:p w14:paraId="60FBB93D" w14:textId="77777777" w:rsidR="00000000" w:rsidRDefault="002F725F">
            <w:pPr>
              <w:jc w:val="both"/>
              <w:rPr>
                <w:rFonts w:eastAsia="Times New Roman"/>
                <w:sz w:val="20"/>
                <w:szCs w:val="20"/>
              </w:rPr>
            </w:pPr>
            <w:r>
              <w:rPr>
                <w:rFonts w:eastAsia="Times New Roman"/>
                <w:sz w:val="20"/>
                <w:szCs w:val="20"/>
              </w:rPr>
              <w:t>“TRANSACTIONS IN THE SHARES AND WARRANTS”</w:t>
            </w:r>
          </w:p>
        </w:tc>
      </w:tr>
    </w:tbl>
    <w:p w14:paraId="3EE26007"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361BA507" w14:textId="77777777">
        <w:trPr>
          <w:divId w:val="305475121"/>
          <w:tblCellSpacing w:w="0" w:type="dxa"/>
        </w:trPr>
        <w:tc>
          <w:tcPr>
            <w:tcW w:w="6" w:type="dxa"/>
            <w:hideMark/>
          </w:tcPr>
          <w:p w14:paraId="0D8AC3FD" w14:textId="77777777" w:rsidR="00000000" w:rsidRDefault="002F725F">
            <w:pPr>
              <w:rPr>
                <w:sz w:val="20"/>
                <w:szCs w:val="20"/>
              </w:rPr>
            </w:pPr>
          </w:p>
        </w:tc>
        <w:tc>
          <w:tcPr>
            <w:tcW w:w="1080" w:type="dxa"/>
            <w:hideMark/>
          </w:tcPr>
          <w:p w14:paraId="1F8D736A" w14:textId="77777777" w:rsidR="00000000" w:rsidRDefault="002F725F">
            <w:pPr>
              <w:rPr>
                <w:rFonts w:eastAsia="Times New Roman"/>
                <w:sz w:val="20"/>
                <w:szCs w:val="20"/>
              </w:rPr>
            </w:pPr>
            <w:r>
              <w:rPr>
                <w:rFonts w:eastAsia="Times New Roman"/>
                <w:sz w:val="20"/>
                <w:szCs w:val="20"/>
              </w:rPr>
              <w:t>(b)</w:t>
            </w:r>
          </w:p>
        </w:tc>
        <w:tc>
          <w:tcPr>
            <w:tcW w:w="0" w:type="auto"/>
            <w:hideMark/>
          </w:tcPr>
          <w:p w14:paraId="10916D52" w14:textId="77777777" w:rsidR="00000000" w:rsidRDefault="002F725F">
            <w:pPr>
              <w:jc w:val="both"/>
              <w:rPr>
                <w:rFonts w:eastAsia="Times New Roman"/>
                <w:sz w:val="20"/>
                <w:szCs w:val="20"/>
              </w:rPr>
            </w:pPr>
            <w:r>
              <w:rPr>
                <w:rFonts w:eastAsia="Times New Roman"/>
                <w:sz w:val="20"/>
                <w:szCs w:val="20"/>
              </w:rPr>
              <w:t>Significant Corporate Events. The information set forth in the Proxy Statement under the following captions is incorporated herein by reference:</w:t>
            </w:r>
          </w:p>
        </w:tc>
      </w:tr>
    </w:tbl>
    <w:p w14:paraId="5D96C6E5"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42C5E65" w14:textId="77777777">
        <w:trPr>
          <w:divId w:val="305475121"/>
          <w:tblCellSpacing w:w="0" w:type="dxa"/>
        </w:trPr>
        <w:tc>
          <w:tcPr>
            <w:tcW w:w="1080" w:type="dxa"/>
            <w:hideMark/>
          </w:tcPr>
          <w:p w14:paraId="7C5938B9" w14:textId="77777777" w:rsidR="00000000" w:rsidRDefault="002F725F">
            <w:pPr>
              <w:rPr>
                <w:sz w:val="20"/>
                <w:szCs w:val="20"/>
              </w:rPr>
            </w:pPr>
          </w:p>
        </w:tc>
        <w:tc>
          <w:tcPr>
            <w:tcW w:w="360" w:type="dxa"/>
            <w:hideMark/>
          </w:tcPr>
          <w:p w14:paraId="05E202E1" w14:textId="77777777" w:rsidR="00000000" w:rsidRDefault="002F725F">
            <w:pPr>
              <w:rPr>
                <w:rFonts w:eastAsia="Times New Roman"/>
                <w:sz w:val="20"/>
                <w:szCs w:val="20"/>
              </w:rPr>
            </w:pPr>
            <w:r>
              <w:rPr>
                <w:rFonts w:eastAsia="Times New Roman"/>
                <w:sz w:val="20"/>
                <w:szCs w:val="20"/>
              </w:rPr>
              <w:t>●</w:t>
            </w:r>
          </w:p>
        </w:tc>
        <w:tc>
          <w:tcPr>
            <w:tcW w:w="0" w:type="auto"/>
            <w:hideMark/>
          </w:tcPr>
          <w:p w14:paraId="4A9513FB" w14:textId="77777777" w:rsidR="00000000" w:rsidRDefault="002F725F">
            <w:pPr>
              <w:jc w:val="both"/>
              <w:rPr>
                <w:rFonts w:eastAsia="Times New Roman"/>
                <w:sz w:val="20"/>
                <w:szCs w:val="20"/>
              </w:rPr>
            </w:pPr>
            <w:r>
              <w:rPr>
                <w:rFonts w:eastAsia="Times New Roman"/>
                <w:sz w:val="20"/>
                <w:szCs w:val="20"/>
              </w:rPr>
              <w:t>“</w:t>
            </w:r>
            <w:r>
              <w:rPr>
                <w:rFonts w:eastAsia="Times New Roman"/>
                <w:sz w:val="20"/>
                <w:szCs w:val="20"/>
              </w:rPr>
              <w:t>SPECIAL FACTORS—Background of the Merger”</w:t>
            </w:r>
          </w:p>
        </w:tc>
      </w:tr>
    </w:tbl>
    <w:p w14:paraId="452E3D34"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78EB718" w14:textId="77777777">
        <w:trPr>
          <w:divId w:val="305475121"/>
          <w:tblCellSpacing w:w="0" w:type="dxa"/>
        </w:trPr>
        <w:tc>
          <w:tcPr>
            <w:tcW w:w="1080" w:type="dxa"/>
            <w:hideMark/>
          </w:tcPr>
          <w:p w14:paraId="19EEDF0A" w14:textId="77777777" w:rsidR="00000000" w:rsidRDefault="002F725F">
            <w:pPr>
              <w:rPr>
                <w:sz w:val="20"/>
                <w:szCs w:val="20"/>
              </w:rPr>
            </w:pPr>
          </w:p>
        </w:tc>
        <w:tc>
          <w:tcPr>
            <w:tcW w:w="360" w:type="dxa"/>
            <w:hideMark/>
          </w:tcPr>
          <w:p w14:paraId="7BEF52BA" w14:textId="77777777" w:rsidR="00000000" w:rsidRDefault="002F725F">
            <w:pPr>
              <w:rPr>
                <w:rFonts w:eastAsia="Times New Roman"/>
                <w:sz w:val="20"/>
                <w:szCs w:val="20"/>
              </w:rPr>
            </w:pPr>
            <w:r>
              <w:rPr>
                <w:rFonts w:eastAsia="Times New Roman"/>
                <w:sz w:val="20"/>
                <w:szCs w:val="20"/>
              </w:rPr>
              <w:t>●</w:t>
            </w:r>
          </w:p>
        </w:tc>
        <w:tc>
          <w:tcPr>
            <w:tcW w:w="0" w:type="auto"/>
            <w:hideMark/>
          </w:tcPr>
          <w:p w14:paraId="2745B071" w14:textId="77777777" w:rsidR="00000000" w:rsidRDefault="002F725F">
            <w:pPr>
              <w:jc w:val="both"/>
              <w:rPr>
                <w:rFonts w:eastAsia="Times New Roman"/>
                <w:sz w:val="20"/>
                <w:szCs w:val="20"/>
              </w:rPr>
            </w:pPr>
            <w:r>
              <w:rPr>
                <w:rFonts w:eastAsia="Times New Roman"/>
                <w:sz w:val="20"/>
                <w:szCs w:val="20"/>
              </w:rPr>
              <w:t>“SPECIAL FACTORS—Reasons for the Merger and Recommendation of the Special Committee and the Board”</w:t>
            </w:r>
          </w:p>
        </w:tc>
      </w:tr>
    </w:tbl>
    <w:p w14:paraId="7912D79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FECB438" w14:textId="77777777">
        <w:trPr>
          <w:divId w:val="305475121"/>
          <w:tblCellSpacing w:w="0" w:type="dxa"/>
        </w:trPr>
        <w:tc>
          <w:tcPr>
            <w:tcW w:w="1080" w:type="dxa"/>
            <w:hideMark/>
          </w:tcPr>
          <w:p w14:paraId="62E61E83" w14:textId="77777777" w:rsidR="00000000" w:rsidRDefault="002F725F">
            <w:pPr>
              <w:rPr>
                <w:sz w:val="20"/>
                <w:szCs w:val="20"/>
              </w:rPr>
            </w:pPr>
          </w:p>
        </w:tc>
        <w:tc>
          <w:tcPr>
            <w:tcW w:w="360" w:type="dxa"/>
            <w:hideMark/>
          </w:tcPr>
          <w:p w14:paraId="312D7343" w14:textId="77777777" w:rsidR="00000000" w:rsidRDefault="002F725F">
            <w:pPr>
              <w:rPr>
                <w:rFonts w:eastAsia="Times New Roman"/>
                <w:sz w:val="20"/>
                <w:szCs w:val="20"/>
              </w:rPr>
            </w:pPr>
            <w:r>
              <w:rPr>
                <w:rFonts w:eastAsia="Times New Roman"/>
                <w:sz w:val="20"/>
                <w:szCs w:val="20"/>
              </w:rPr>
              <w:t>●</w:t>
            </w:r>
          </w:p>
        </w:tc>
        <w:tc>
          <w:tcPr>
            <w:tcW w:w="0" w:type="auto"/>
            <w:hideMark/>
          </w:tcPr>
          <w:p w14:paraId="37ABABDB" w14:textId="77777777" w:rsidR="00000000" w:rsidRDefault="002F725F">
            <w:pPr>
              <w:jc w:val="both"/>
              <w:rPr>
                <w:rFonts w:eastAsia="Times New Roman"/>
                <w:sz w:val="20"/>
                <w:szCs w:val="20"/>
              </w:rPr>
            </w:pPr>
            <w:r>
              <w:rPr>
                <w:rFonts w:eastAsia="Times New Roman"/>
                <w:sz w:val="20"/>
                <w:szCs w:val="20"/>
              </w:rPr>
              <w:t>“SPECIAL FACTORS—Purposes of and Reasons for the Merger”</w:t>
            </w:r>
          </w:p>
        </w:tc>
      </w:tr>
    </w:tbl>
    <w:p w14:paraId="46CAA302"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14CE122" w14:textId="77777777">
        <w:trPr>
          <w:divId w:val="305475121"/>
          <w:tblCellSpacing w:w="0" w:type="dxa"/>
        </w:trPr>
        <w:tc>
          <w:tcPr>
            <w:tcW w:w="1080" w:type="dxa"/>
            <w:hideMark/>
          </w:tcPr>
          <w:p w14:paraId="66DC5552" w14:textId="77777777" w:rsidR="00000000" w:rsidRDefault="002F725F">
            <w:pPr>
              <w:rPr>
                <w:sz w:val="20"/>
                <w:szCs w:val="20"/>
              </w:rPr>
            </w:pPr>
          </w:p>
        </w:tc>
        <w:tc>
          <w:tcPr>
            <w:tcW w:w="360" w:type="dxa"/>
            <w:hideMark/>
          </w:tcPr>
          <w:p w14:paraId="2DC22393" w14:textId="77777777" w:rsidR="00000000" w:rsidRDefault="002F725F">
            <w:pPr>
              <w:rPr>
                <w:rFonts w:eastAsia="Times New Roman"/>
                <w:sz w:val="20"/>
                <w:szCs w:val="20"/>
              </w:rPr>
            </w:pPr>
            <w:r>
              <w:rPr>
                <w:rFonts w:eastAsia="Times New Roman"/>
                <w:sz w:val="20"/>
                <w:szCs w:val="20"/>
              </w:rPr>
              <w:t>●</w:t>
            </w:r>
          </w:p>
        </w:tc>
        <w:tc>
          <w:tcPr>
            <w:tcW w:w="0" w:type="auto"/>
            <w:hideMark/>
          </w:tcPr>
          <w:p w14:paraId="0BDB90C1" w14:textId="77777777" w:rsidR="00000000" w:rsidRDefault="002F725F">
            <w:pPr>
              <w:jc w:val="both"/>
              <w:rPr>
                <w:rFonts w:eastAsia="Times New Roman"/>
                <w:sz w:val="20"/>
                <w:szCs w:val="20"/>
              </w:rPr>
            </w:pPr>
            <w:r>
              <w:rPr>
                <w:rFonts w:eastAsia="Times New Roman"/>
                <w:sz w:val="20"/>
                <w:szCs w:val="20"/>
              </w:rPr>
              <w:t>“SPECIAL FACTORS—Interests of Certain Pe</w:t>
            </w:r>
            <w:r>
              <w:rPr>
                <w:rFonts w:eastAsia="Times New Roman"/>
                <w:sz w:val="20"/>
                <w:szCs w:val="20"/>
              </w:rPr>
              <w:t>rsons in the Merger”</w:t>
            </w:r>
          </w:p>
        </w:tc>
      </w:tr>
    </w:tbl>
    <w:p w14:paraId="7D657E7C"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26DEA05" w14:textId="77777777">
        <w:trPr>
          <w:divId w:val="305475121"/>
          <w:tblCellSpacing w:w="0" w:type="dxa"/>
        </w:trPr>
        <w:tc>
          <w:tcPr>
            <w:tcW w:w="1080" w:type="dxa"/>
            <w:hideMark/>
          </w:tcPr>
          <w:p w14:paraId="39B25089" w14:textId="77777777" w:rsidR="00000000" w:rsidRDefault="002F725F">
            <w:pPr>
              <w:rPr>
                <w:sz w:val="20"/>
                <w:szCs w:val="20"/>
              </w:rPr>
            </w:pPr>
          </w:p>
        </w:tc>
        <w:tc>
          <w:tcPr>
            <w:tcW w:w="360" w:type="dxa"/>
            <w:hideMark/>
          </w:tcPr>
          <w:p w14:paraId="08C875F5" w14:textId="77777777" w:rsidR="00000000" w:rsidRDefault="002F725F">
            <w:pPr>
              <w:rPr>
                <w:rFonts w:eastAsia="Times New Roman"/>
                <w:sz w:val="20"/>
                <w:szCs w:val="20"/>
              </w:rPr>
            </w:pPr>
            <w:r>
              <w:rPr>
                <w:rFonts w:eastAsia="Times New Roman"/>
                <w:sz w:val="20"/>
                <w:szCs w:val="20"/>
              </w:rPr>
              <w:t>●</w:t>
            </w:r>
          </w:p>
        </w:tc>
        <w:tc>
          <w:tcPr>
            <w:tcW w:w="0" w:type="auto"/>
            <w:hideMark/>
          </w:tcPr>
          <w:p w14:paraId="0D61F7D9" w14:textId="77777777" w:rsidR="00000000" w:rsidRDefault="002F725F">
            <w:pPr>
              <w:jc w:val="both"/>
              <w:rPr>
                <w:rFonts w:eastAsia="Times New Roman"/>
                <w:sz w:val="20"/>
                <w:szCs w:val="20"/>
              </w:rPr>
            </w:pPr>
            <w:r>
              <w:rPr>
                <w:rFonts w:eastAsia="Times New Roman"/>
                <w:sz w:val="20"/>
                <w:szCs w:val="20"/>
              </w:rPr>
              <w:t>“THE MERGER AGREEMENT”</w:t>
            </w:r>
          </w:p>
        </w:tc>
      </w:tr>
    </w:tbl>
    <w:p w14:paraId="4DB77F68"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76ECD53" w14:textId="77777777">
        <w:trPr>
          <w:divId w:val="305475121"/>
          <w:tblCellSpacing w:w="0" w:type="dxa"/>
        </w:trPr>
        <w:tc>
          <w:tcPr>
            <w:tcW w:w="1080" w:type="dxa"/>
            <w:hideMark/>
          </w:tcPr>
          <w:p w14:paraId="139F9E77" w14:textId="77777777" w:rsidR="00000000" w:rsidRDefault="002F725F">
            <w:pPr>
              <w:rPr>
                <w:sz w:val="20"/>
                <w:szCs w:val="20"/>
              </w:rPr>
            </w:pPr>
          </w:p>
        </w:tc>
        <w:tc>
          <w:tcPr>
            <w:tcW w:w="360" w:type="dxa"/>
            <w:hideMark/>
          </w:tcPr>
          <w:p w14:paraId="6D8EF200" w14:textId="77777777" w:rsidR="00000000" w:rsidRDefault="002F725F">
            <w:pPr>
              <w:rPr>
                <w:rFonts w:eastAsia="Times New Roman"/>
                <w:sz w:val="20"/>
                <w:szCs w:val="20"/>
              </w:rPr>
            </w:pPr>
            <w:r>
              <w:rPr>
                <w:rFonts w:eastAsia="Times New Roman"/>
                <w:sz w:val="20"/>
                <w:szCs w:val="20"/>
              </w:rPr>
              <w:t>●</w:t>
            </w:r>
          </w:p>
        </w:tc>
        <w:tc>
          <w:tcPr>
            <w:tcW w:w="0" w:type="auto"/>
            <w:hideMark/>
          </w:tcPr>
          <w:p w14:paraId="1FE6E1BD" w14:textId="77777777" w:rsidR="00000000" w:rsidRDefault="002F725F">
            <w:pPr>
              <w:jc w:val="both"/>
              <w:rPr>
                <w:rFonts w:eastAsia="Times New Roman"/>
                <w:sz w:val="20"/>
                <w:szCs w:val="20"/>
              </w:rPr>
            </w:pPr>
            <w:r>
              <w:rPr>
                <w:rFonts w:eastAsia="Times New Roman"/>
                <w:sz w:val="20"/>
                <w:szCs w:val="20"/>
              </w:rPr>
              <w:t>“ANNEX A—AGREEMENT AND PLAN OF MERGER AND AMENDMENT NO. 1 TO AGREEMENT AND PLAN OF MERGER”</w:t>
            </w:r>
          </w:p>
        </w:tc>
      </w:tr>
    </w:tbl>
    <w:p w14:paraId="70C7D5CC"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630E621" w14:textId="77777777">
        <w:trPr>
          <w:divId w:val="305475121"/>
          <w:tblCellSpacing w:w="0" w:type="dxa"/>
        </w:trPr>
        <w:tc>
          <w:tcPr>
            <w:tcW w:w="1080" w:type="dxa"/>
            <w:hideMark/>
          </w:tcPr>
          <w:p w14:paraId="3D61DBA3" w14:textId="77777777" w:rsidR="00000000" w:rsidRDefault="002F725F">
            <w:pPr>
              <w:rPr>
                <w:sz w:val="20"/>
                <w:szCs w:val="20"/>
              </w:rPr>
            </w:pPr>
          </w:p>
        </w:tc>
        <w:tc>
          <w:tcPr>
            <w:tcW w:w="360" w:type="dxa"/>
            <w:hideMark/>
          </w:tcPr>
          <w:p w14:paraId="6E33BEAC" w14:textId="77777777" w:rsidR="00000000" w:rsidRDefault="002F725F">
            <w:pPr>
              <w:rPr>
                <w:rFonts w:eastAsia="Times New Roman"/>
                <w:sz w:val="20"/>
                <w:szCs w:val="20"/>
              </w:rPr>
            </w:pPr>
            <w:r>
              <w:rPr>
                <w:rFonts w:eastAsia="Times New Roman"/>
                <w:sz w:val="20"/>
                <w:szCs w:val="20"/>
              </w:rPr>
              <w:t>●</w:t>
            </w:r>
          </w:p>
        </w:tc>
        <w:tc>
          <w:tcPr>
            <w:tcW w:w="0" w:type="auto"/>
            <w:hideMark/>
          </w:tcPr>
          <w:p w14:paraId="5226D11B" w14:textId="77777777" w:rsidR="00000000" w:rsidRDefault="002F725F">
            <w:pPr>
              <w:jc w:val="both"/>
              <w:rPr>
                <w:rFonts w:eastAsia="Times New Roman"/>
                <w:sz w:val="20"/>
                <w:szCs w:val="20"/>
              </w:rPr>
            </w:pPr>
            <w:r>
              <w:rPr>
                <w:rFonts w:eastAsia="Times New Roman"/>
                <w:sz w:val="20"/>
                <w:szCs w:val="20"/>
              </w:rPr>
              <w:t>“ANNEX B—PLAN OF MERGER”</w:t>
            </w:r>
          </w:p>
        </w:tc>
      </w:tr>
    </w:tbl>
    <w:p w14:paraId="0CF95A5B"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3DF0D45C" w14:textId="77777777">
        <w:trPr>
          <w:divId w:val="305475121"/>
          <w:tblCellSpacing w:w="0" w:type="dxa"/>
        </w:trPr>
        <w:tc>
          <w:tcPr>
            <w:tcW w:w="6" w:type="dxa"/>
            <w:hideMark/>
          </w:tcPr>
          <w:p w14:paraId="550C0AC8" w14:textId="77777777" w:rsidR="00000000" w:rsidRDefault="002F725F">
            <w:pPr>
              <w:rPr>
                <w:sz w:val="20"/>
                <w:szCs w:val="20"/>
              </w:rPr>
            </w:pPr>
          </w:p>
        </w:tc>
        <w:tc>
          <w:tcPr>
            <w:tcW w:w="1080" w:type="dxa"/>
            <w:hideMark/>
          </w:tcPr>
          <w:p w14:paraId="4A067D90" w14:textId="77777777" w:rsidR="00000000" w:rsidRDefault="002F725F">
            <w:pPr>
              <w:rPr>
                <w:rFonts w:eastAsia="Times New Roman"/>
                <w:sz w:val="20"/>
                <w:szCs w:val="20"/>
              </w:rPr>
            </w:pPr>
            <w:r>
              <w:rPr>
                <w:rFonts w:eastAsia="Times New Roman"/>
                <w:sz w:val="20"/>
                <w:szCs w:val="20"/>
              </w:rPr>
              <w:t>(c)</w:t>
            </w:r>
          </w:p>
        </w:tc>
        <w:tc>
          <w:tcPr>
            <w:tcW w:w="0" w:type="auto"/>
            <w:hideMark/>
          </w:tcPr>
          <w:p w14:paraId="760BCE28" w14:textId="77777777" w:rsidR="00000000" w:rsidRDefault="002F725F">
            <w:pPr>
              <w:jc w:val="both"/>
              <w:rPr>
                <w:rFonts w:eastAsia="Times New Roman"/>
                <w:sz w:val="20"/>
                <w:szCs w:val="20"/>
              </w:rPr>
            </w:pPr>
            <w:r>
              <w:rPr>
                <w:rFonts w:eastAsia="Times New Roman"/>
                <w:sz w:val="20"/>
                <w:szCs w:val="20"/>
              </w:rPr>
              <w:t>Negotiations or Contacts. </w:t>
            </w:r>
            <w:r>
              <w:rPr>
                <w:rFonts w:eastAsia="Times New Roman"/>
                <w:sz w:val="20"/>
                <w:szCs w:val="20"/>
              </w:rPr>
              <w:t>The information set forth in the Proxy Statement under the following captions is incorporated herein by reference:</w:t>
            </w:r>
          </w:p>
        </w:tc>
      </w:tr>
    </w:tbl>
    <w:p w14:paraId="5B0FA2C4"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8956E44" w14:textId="77777777">
        <w:trPr>
          <w:divId w:val="305475121"/>
          <w:tblCellSpacing w:w="0" w:type="dxa"/>
        </w:trPr>
        <w:tc>
          <w:tcPr>
            <w:tcW w:w="1080" w:type="dxa"/>
            <w:hideMark/>
          </w:tcPr>
          <w:p w14:paraId="01E40EC6" w14:textId="77777777" w:rsidR="00000000" w:rsidRDefault="002F725F">
            <w:pPr>
              <w:rPr>
                <w:sz w:val="20"/>
                <w:szCs w:val="20"/>
              </w:rPr>
            </w:pPr>
          </w:p>
        </w:tc>
        <w:tc>
          <w:tcPr>
            <w:tcW w:w="360" w:type="dxa"/>
            <w:hideMark/>
          </w:tcPr>
          <w:p w14:paraId="2517860B" w14:textId="77777777" w:rsidR="00000000" w:rsidRDefault="002F725F">
            <w:pPr>
              <w:rPr>
                <w:rFonts w:eastAsia="Times New Roman"/>
                <w:sz w:val="20"/>
                <w:szCs w:val="20"/>
              </w:rPr>
            </w:pPr>
            <w:r>
              <w:rPr>
                <w:rFonts w:eastAsia="Times New Roman"/>
                <w:sz w:val="20"/>
                <w:szCs w:val="20"/>
              </w:rPr>
              <w:t>●</w:t>
            </w:r>
          </w:p>
        </w:tc>
        <w:tc>
          <w:tcPr>
            <w:tcW w:w="0" w:type="auto"/>
            <w:hideMark/>
          </w:tcPr>
          <w:p w14:paraId="127E0BC0" w14:textId="77777777" w:rsidR="00000000" w:rsidRDefault="002F725F">
            <w:pPr>
              <w:jc w:val="both"/>
              <w:rPr>
                <w:rFonts w:eastAsia="Times New Roman"/>
                <w:sz w:val="20"/>
                <w:szCs w:val="20"/>
              </w:rPr>
            </w:pPr>
            <w:r>
              <w:rPr>
                <w:rFonts w:eastAsia="Times New Roman"/>
                <w:sz w:val="20"/>
                <w:szCs w:val="20"/>
              </w:rPr>
              <w:t>“SUMMARY TERM SHEET”</w:t>
            </w:r>
          </w:p>
        </w:tc>
      </w:tr>
    </w:tbl>
    <w:p w14:paraId="67B3CBF1"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854F803" w14:textId="77777777">
        <w:trPr>
          <w:divId w:val="305475121"/>
          <w:tblCellSpacing w:w="0" w:type="dxa"/>
        </w:trPr>
        <w:tc>
          <w:tcPr>
            <w:tcW w:w="1080" w:type="dxa"/>
            <w:hideMark/>
          </w:tcPr>
          <w:p w14:paraId="77A3C0F4" w14:textId="77777777" w:rsidR="00000000" w:rsidRDefault="002F725F">
            <w:pPr>
              <w:rPr>
                <w:sz w:val="20"/>
                <w:szCs w:val="20"/>
              </w:rPr>
            </w:pPr>
          </w:p>
        </w:tc>
        <w:tc>
          <w:tcPr>
            <w:tcW w:w="360" w:type="dxa"/>
            <w:hideMark/>
          </w:tcPr>
          <w:p w14:paraId="602E39C3" w14:textId="77777777" w:rsidR="00000000" w:rsidRDefault="002F725F">
            <w:pPr>
              <w:rPr>
                <w:rFonts w:eastAsia="Times New Roman"/>
                <w:sz w:val="20"/>
                <w:szCs w:val="20"/>
              </w:rPr>
            </w:pPr>
            <w:r>
              <w:rPr>
                <w:rFonts w:eastAsia="Times New Roman"/>
                <w:sz w:val="20"/>
                <w:szCs w:val="20"/>
              </w:rPr>
              <w:t>●</w:t>
            </w:r>
          </w:p>
        </w:tc>
        <w:tc>
          <w:tcPr>
            <w:tcW w:w="0" w:type="auto"/>
            <w:hideMark/>
          </w:tcPr>
          <w:p w14:paraId="686AE80C" w14:textId="77777777" w:rsidR="00000000" w:rsidRDefault="002F725F">
            <w:pPr>
              <w:jc w:val="both"/>
              <w:rPr>
                <w:rFonts w:eastAsia="Times New Roman"/>
                <w:sz w:val="20"/>
                <w:szCs w:val="20"/>
              </w:rPr>
            </w:pPr>
            <w:r>
              <w:rPr>
                <w:rFonts w:eastAsia="Times New Roman"/>
                <w:sz w:val="20"/>
                <w:szCs w:val="20"/>
              </w:rPr>
              <w:t>“SPECIAL FACTORS—Background of the Merger”</w:t>
            </w:r>
          </w:p>
        </w:tc>
      </w:tr>
    </w:tbl>
    <w:p w14:paraId="1EBB7B43"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8E82AF7" w14:textId="77777777">
        <w:trPr>
          <w:divId w:val="305475121"/>
          <w:tblCellSpacing w:w="0" w:type="dxa"/>
        </w:trPr>
        <w:tc>
          <w:tcPr>
            <w:tcW w:w="1080" w:type="dxa"/>
            <w:hideMark/>
          </w:tcPr>
          <w:p w14:paraId="19746999" w14:textId="77777777" w:rsidR="00000000" w:rsidRDefault="002F725F">
            <w:pPr>
              <w:rPr>
                <w:sz w:val="20"/>
                <w:szCs w:val="20"/>
              </w:rPr>
            </w:pPr>
          </w:p>
        </w:tc>
        <w:tc>
          <w:tcPr>
            <w:tcW w:w="360" w:type="dxa"/>
            <w:hideMark/>
          </w:tcPr>
          <w:p w14:paraId="2203C529" w14:textId="77777777" w:rsidR="00000000" w:rsidRDefault="002F725F">
            <w:pPr>
              <w:rPr>
                <w:rFonts w:eastAsia="Times New Roman"/>
                <w:sz w:val="20"/>
                <w:szCs w:val="20"/>
              </w:rPr>
            </w:pPr>
            <w:r>
              <w:rPr>
                <w:rFonts w:eastAsia="Times New Roman"/>
                <w:sz w:val="20"/>
                <w:szCs w:val="20"/>
              </w:rPr>
              <w:t>●</w:t>
            </w:r>
          </w:p>
        </w:tc>
        <w:tc>
          <w:tcPr>
            <w:tcW w:w="0" w:type="auto"/>
            <w:hideMark/>
          </w:tcPr>
          <w:p w14:paraId="05AF80AD" w14:textId="77777777" w:rsidR="00000000" w:rsidRDefault="002F725F">
            <w:pPr>
              <w:jc w:val="both"/>
              <w:rPr>
                <w:rFonts w:eastAsia="Times New Roman"/>
                <w:sz w:val="20"/>
                <w:szCs w:val="20"/>
              </w:rPr>
            </w:pPr>
            <w:r>
              <w:rPr>
                <w:rFonts w:eastAsia="Times New Roman"/>
                <w:sz w:val="20"/>
                <w:szCs w:val="20"/>
              </w:rPr>
              <w:t>“SPECIAL FACTORS—</w:t>
            </w:r>
            <w:r>
              <w:rPr>
                <w:rFonts w:eastAsia="Times New Roman"/>
                <w:sz w:val="20"/>
                <w:szCs w:val="20"/>
              </w:rPr>
              <w:t>Interests of Certain Persons in the Merger”</w:t>
            </w:r>
          </w:p>
        </w:tc>
      </w:tr>
    </w:tbl>
    <w:p w14:paraId="3DC50F76"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821F28F" w14:textId="77777777">
        <w:trPr>
          <w:divId w:val="305475121"/>
          <w:tblCellSpacing w:w="0" w:type="dxa"/>
        </w:trPr>
        <w:tc>
          <w:tcPr>
            <w:tcW w:w="1080" w:type="dxa"/>
            <w:hideMark/>
          </w:tcPr>
          <w:p w14:paraId="4BEEF184" w14:textId="77777777" w:rsidR="00000000" w:rsidRDefault="002F725F">
            <w:pPr>
              <w:rPr>
                <w:sz w:val="20"/>
                <w:szCs w:val="20"/>
              </w:rPr>
            </w:pPr>
          </w:p>
        </w:tc>
        <w:tc>
          <w:tcPr>
            <w:tcW w:w="360" w:type="dxa"/>
            <w:hideMark/>
          </w:tcPr>
          <w:p w14:paraId="28B43204" w14:textId="77777777" w:rsidR="00000000" w:rsidRDefault="002F725F">
            <w:pPr>
              <w:rPr>
                <w:rFonts w:eastAsia="Times New Roman"/>
                <w:sz w:val="20"/>
                <w:szCs w:val="20"/>
              </w:rPr>
            </w:pPr>
            <w:r>
              <w:rPr>
                <w:rFonts w:eastAsia="Times New Roman"/>
                <w:sz w:val="20"/>
                <w:szCs w:val="20"/>
              </w:rPr>
              <w:t>●</w:t>
            </w:r>
          </w:p>
        </w:tc>
        <w:tc>
          <w:tcPr>
            <w:tcW w:w="0" w:type="auto"/>
            <w:hideMark/>
          </w:tcPr>
          <w:p w14:paraId="23EF8DDC" w14:textId="77777777" w:rsidR="00000000" w:rsidRDefault="002F725F">
            <w:pPr>
              <w:jc w:val="both"/>
              <w:rPr>
                <w:rFonts w:eastAsia="Times New Roman"/>
                <w:sz w:val="20"/>
                <w:szCs w:val="20"/>
              </w:rPr>
            </w:pPr>
            <w:r>
              <w:rPr>
                <w:rFonts w:eastAsia="Times New Roman"/>
                <w:sz w:val="20"/>
                <w:szCs w:val="20"/>
              </w:rPr>
              <w:t>“THE MERGER AGREEMENT”</w:t>
            </w:r>
          </w:p>
        </w:tc>
      </w:tr>
    </w:tbl>
    <w:p w14:paraId="0963364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F4AB4C0" w14:textId="77777777">
        <w:trPr>
          <w:divId w:val="305475121"/>
          <w:tblCellSpacing w:w="0" w:type="dxa"/>
        </w:trPr>
        <w:tc>
          <w:tcPr>
            <w:tcW w:w="1080" w:type="dxa"/>
            <w:hideMark/>
          </w:tcPr>
          <w:p w14:paraId="3E265C4C" w14:textId="77777777" w:rsidR="00000000" w:rsidRDefault="002F725F">
            <w:pPr>
              <w:rPr>
                <w:sz w:val="20"/>
                <w:szCs w:val="20"/>
              </w:rPr>
            </w:pPr>
          </w:p>
        </w:tc>
        <w:tc>
          <w:tcPr>
            <w:tcW w:w="360" w:type="dxa"/>
            <w:hideMark/>
          </w:tcPr>
          <w:p w14:paraId="60AF97EA" w14:textId="77777777" w:rsidR="00000000" w:rsidRDefault="002F725F">
            <w:pPr>
              <w:rPr>
                <w:rFonts w:eastAsia="Times New Roman"/>
                <w:sz w:val="20"/>
                <w:szCs w:val="20"/>
              </w:rPr>
            </w:pPr>
            <w:r>
              <w:rPr>
                <w:rFonts w:eastAsia="Times New Roman"/>
                <w:sz w:val="20"/>
                <w:szCs w:val="20"/>
              </w:rPr>
              <w:t>●</w:t>
            </w:r>
          </w:p>
        </w:tc>
        <w:tc>
          <w:tcPr>
            <w:tcW w:w="0" w:type="auto"/>
            <w:hideMark/>
          </w:tcPr>
          <w:p w14:paraId="4B63D0B6" w14:textId="77777777" w:rsidR="00000000" w:rsidRDefault="002F725F">
            <w:pPr>
              <w:jc w:val="both"/>
              <w:rPr>
                <w:rFonts w:eastAsia="Times New Roman"/>
                <w:sz w:val="20"/>
                <w:szCs w:val="20"/>
              </w:rPr>
            </w:pPr>
            <w:r>
              <w:rPr>
                <w:rFonts w:eastAsia="Times New Roman"/>
                <w:sz w:val="20"/>
                <w:szCs w:val="20"/>
              </w:rPr>
              <w:t>“ANNEX A—AGREEMENT AND PLAN OF MERGER AND AMENDMENT NO. 1 TO AGREEMENT AND PLAN OF MERGER”</w:t>
            </w:r>
          </w:p>
        </w:tc>
      </w:tr>
    </w:tbl>
    <w:p w14:paraId="00051367"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7E348E9" w14:textId="77777777">
        <w:trPr>
          <w:divId w:val="305475121"/>
          <w:tblCellSpacing w:w="0" w:type="dxa"/>
        </w:trPr>
        <w:tc>
          <w:tcPr>
            <w:tcW w:w="1080" w:type="dxa"/>
            <w:hideMark/>
          </w:tcPr>
          <w:p w14:paraId="5DC60E3D" w14:textId="77777777" w:rsidR="00000000" w:rsidRDefault="002F725F">
            <w:pPr>
              <w:rPr>
                <w:sz w:val="20"/>
                <w:szCs w:val="20"/>
              </w:rPr>
            </w:pPr>
          </w:p>
        </w:tc>
        <w:tc>
          <w:tcPr>
            <w:tcW w:w="360" w:type="dxa"/>
            <w:hideMark/>
          </w:tcPr>
          <w:p w14:paraId="121D205E" w14:textId="77777777" w:rsidR="00000000" w:rsidRDefault="002F725F">
            <w:pPr>
              <w:rPr>
                <w:rFonts w:eastAsia="Times New Roman"/>
                <w:sz w:val="20"/>
                <w:szCs w:val="20"/>
              </w:rPr>
            </w:pPr>
            <w:r>
              <w:rPr>
                <w:rFonts w:eastAsia="Times New Roman"/>
                <w:sz w:val="20"/>
                <w:szCs w:val="20"/>
              </w:rPr>
              <w:t>●</w:t>
            </w:r>
          </w:p>
        </w:tc>
        <w:tc>
          <w:tcPr>
            <w:tcW w:w="0" w:type="auto"/>
            <w:hideMark/>
          </w:tcPr>
          <w:p w14:paraId="026F6E33" w14:textId="77777777" w:rsidR="00000000" w:rsidRDefault="002F725F">
            <w:pPr>
              <w:jc w:val="both"/>
              <w:rPr>
                <w:rFonts w:eastAsia="Times New Roman"/>
                <w:sz w:val="20"/>
                <w:szCs w:val="20"/>
              </w:rPr>
            </w:pPr>
            <w:r>
              <w:rPr>
                <w:rFonts w:eastAsia="Times New Roman"/>
                <w:sz w:val="20"/>
                <w:szCs w:val="20"/>
              </w:rPr>
              <w:t>“ANNEX B—PLAN OF MERGER”</w:t>
            </w:r>
          </w:p>
        </w:tc>
      </w:tr>
    </w:tbl>
    <w:p w14:paraId="3570D6D5"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1D585ECF" w14:textId="77777777">
        <w:trPr>
          <w:divId w:val="305475121"/>
          <w:tblCellSpacing w:w="0" w:type="dxa"/>
        </w:trPr>
        <w:tc>
          <w:tcPr>
            <w:tcW w:w="6" w:type="dxa"/>
            <w:hideMark/>
          </w:tcPr>
          <w:p w14:paraId="44EE7F16" w14:textId="77777777" w:rsidR="00000000" w:rsidRDefault="002F725F">
            <w:pPr>
              <w:rPr>
                <w:sz w:val="20"/>
                <w:szCs w:val="20"/>
              </w:rPr>
            </w:pPr>
          </w:p>
        </w:tc>
        <w:tc>
          <w:tcPr>
            <w:tcW w:w="1080" w:type="dxa"/>
            <w:hideMark/>
          </w:tcPr>
          <w:p w14:paraId="0C8E581F" w14:textId="77777777" w:rsidR="00000000" w:rsidRDefault="002F725F">
            <w:pPr>
              <w:rPr>
                <w:rFonts w:eastAsia="Times New Roman"/>
                <w:sz w:val="20"/>
                <w:szCs w:val="20"/>
              </w:rPr>
            </w:pPr>
            <w:r>
              <w:rPr>
                <w:rFonts w:eastAsia="Times New Roman"/>
                <w:sz w:val="20"/>
                <w:szCs w:val="20"/>
              </w:rPr>
              <w:t>(e)</w:t>
            </w:r>
          </w:p>
        </w:tc>
        <w:tc>
          <w:tcPr>
            <w:tcW w:w="0" w:type="auto"/>
            <w:hideMark/>
          </w:tcPr>
          <w:p w14:paraId="4BD74AAB" w14:textId="77777777" w:rsidR="00000000" w:rsidRDefault="002F725F">
            <w:pPr>
              <w:jc w:val="both"/>
              <w:rPr>
                <w:rFonts w:eastAsia="Times New Roman"/>
                <w:sz w:val="20"/>
                <w:szCs w:val="20"/>
              </w:rPr>
            </w:pPr>
            <w:r>
              <w:rPr>
                <w:rFonts w:eastAsia="Times New Roman"/>
                <w:sz w:val="20"/>
                <w:szCs w:val="20"/>
              </w:rPr>
              <w:t>Agreements Involving the Subject Company’s Securities. The information set forth in the Proxy Statement under the following captions is incorporated herein by reference:</w:t>
            </w:r>
          </w:p>
        </w:tc>
      </w:tr>
    </w:tbl>
    <w:p w14:paraId="6239F91F"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213AE32" w14:textId="77777777">
        <w:trPr>
          <w:divId w:val="305475121"/>
          <w:tblCellSpacing w:w="0" w:type="dxa"/>
        </w:trPr>
        <w:tc>
          <w:tcPr>
            <w:tcW w:w="1080" w:type="dxa"/>
            <w:hideMark/>
          </w:tcPr>
          <w:p w14:paraId="651716DE" w14:textId="77777777" w:rsidR="00000000" w:rsidRDefault="002F725F">
            <w:pPr>
              <w:rPr>
                <w:sz w:val="20"/>
                <w:szCs w:val="20"/>
              </w:rPr>
            </w:pPr>
          </w:p>
        </w:tc>
        <w:tc>
          <w:tcPr>
            <w:tcW w:w="360" w:type="dxa"/>
            <w:hideMark/>
          </w:tcPr>
          <w:p w14:paraId="41D51F1C" w14:textId="77777777" w:rsidR="00000000" w:rsidRDefault="002F725F">
            <w:pPr>
              <w:rPr>
                <w:rFonts w:eastAsia="Times New Roman"/>
                <w:sz w:val="20"/>
                <w:szCs w:val="20"/>
              </w:rPr>
            </w:pPr>
            <w:r>
              <w:rPr>
                <w:rFonts w:eastAsia="Times New Roman"/>
                <w:sz w:val="20"/>
                <w:szCs w:val="20"/>
              </w:rPr>
              <w:t>●</w:t>
            </w:r>
          </w:p>
        </w:tc>
        <w:tc>
          <w:tcPr>
            <w:tcW w:w="0" w:type="auto"/>
            <w:hideMark/>
          </w:tcPr>
          <w:p w14:paraId="2817548F" w14:textId="77777777" w:rsidR="00000000" w:rsidRDefault="002F725F">
            <w:pPr>
              <w:jc w:val="both"/>
              <w:rPr>
                <w:rFonts w:eastAsia="Times New Roman"/>
                <w:sz w:val="20"/>
                <w:szCs w:val="20"/>
              </w:rPr>
            </w:pPr>
            <w:r>
              <w:rPr>
                <w:rFonts w:eastAsia="Times New Roman"/>
                <w:sz w:val="20"/>
                <w:szCs w:val="20"/>
              </w:rPr>
              <w:t>“SUMMARY TERM SHEET—Financing of the Merger”</w:t>
            </w:r>
          </w:p>
        </w:tc>
      </w:tr>
    </w:tbl>
    <w:p w14:paraId="680E6923"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ADABAF9" w14:textId="77777777">
        <w:trPr>
          <w:divId w:val="305475121"/>
          <w:tblCellSpacing w:w="0" w:type="dxa"/>
        </w:trPr>
        <w:tc>
          <w:tcPr>
            <w:tcW w:w="1080" w:type="dxa"/>
            <w:hideMark/>
          </w:tcPr>
          <w:p w14:paraId="0BE44DAB" w14:textId="77777777" w:rsidR="00000000" w:rsidRDefault="002F725F">
            <w:pPr>
              <w:rPr>
                <w:sz w:val="20"/>
                <w:szCs w:val="20"/>
              </w:rPr>
            </w:pPr>
          </w:p>
        </w:tc>
        <w:tc>
          <w:tcPr>
            <w:tcW w:w="360" w:type="dxa"/>
            <w:hideMark/>
          </w:tcPr>
          <w:p w14:paraId="50844674" w14:textId="77777777" w:rsidR="00000000" w:rsidRDefault="002F725F">
            <w:pPr>
              <w:rPr>
                <w:rFonts w:eastAsia="Times New Roman"/>
                <w:sz w:val="20"/>
                <w:szCs w:val="20"/>
              </w:rPr>
            </w:pPr>
            <w:r>
              <w:rPr>
                <w:rFonts w:eastAsia="Times New Roman"/>
                <w:sz w:val="20"/>
                <w:szCs w:val="20"/>
              </w:rPr>
              <w:t>●</w:t>
            </w:r>
          </w:p>
        </w:tc>
        <w:tc>
          <w:tcPr>
            <w:tcW w:w="0" w:type="auto"/>
            <w:hideMark/>
          </w:tcPr>
          <w:p w14:paraId="7D8FA5DB" w14:textId="77777777" w:rsidR="00000000" w:rsidRDefault="002F725F">
            <w:pPr>
              <w:jc w:val="both"/>
              <w:rPr>
                <w:rFonts w:eastAsia="Times New Roman"/>
                <w:sz w:val="20"/>
                <w:szCs w:val="20"/>
              </w:rPr>
            </w:pPr>
            <w:r>
              <w:rPr>
                <w:rFonts w:eastAsia="Times New Roman"/>
                <w:sz w:val="20"/>
                <w:szCs w:val="20"/>
              </w:rPr>
              <w:t>“</w:t>
            </w:r>
            <w:r>
              <w:rPr>
                <w:rFonts w:eastAsia="Times New Roman"/>
                <w:sz w:val="20"/>
                <w:szCs w:val="20"/>
              </w:rPr>
              <w:t>SUMMARY TERM SHEET—Plans for the Company after the Merger”</w:t>
            </w:r>
          </w:p>
        </w:tc>
      </w:tr>
    </w:tbl>
    <w:p w14:paraId="0443920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18920A2" w14:textId="77777777">
        <w:trPr>
          <w:divId w:val="305475121"/>
          <w:tblCellSpacing w:w="0" w:type="dxa"/>
        </w:trPr>
        <w:tc>
          <w:tcPr>
            <w:tcW w:w="1080" w:type="dxa"/>
            <w:hideMark/>
          </w:tcPr>
          <w:p w14:paraId="2F464A39" w14:textId="77777777" w:rsidR="00000000" w:rsidRDefault="002F725F">
            <w:pPr>
              <w:rPr>
                <w:sz w:val="20"/>
                <w:szCs w:val="20"/>
              </w:rPr>
            </w:pPr>
          </w:p>
        </w:tc>
        <w:tc>
          <w:tcPr>
            <w:tcW w:w="360" w:type="dxa"/>
            <w:hideMark/>
          </w:tcPr>
          <w:p w14:paraId="369A3636" w14:textId="77777777" w:rsidR="00000000" w:rsidRDefault="002F725F">
            <w:pPr>
              <w:rPr>
                <w:rFonts w:eastAsia="Times New Roman"/>
                <w:sz w:val="20"/>
                <w:szCs w:val="20"/>
              </w:rPr>
            </w:pPr>
            <w:r>
              <w:rPr>
                <w:rFonts w:eastAsia="Times New Roman"/>
                <w:sz w:val="20"/>
                <w:szCs w:val="20"/>
              </w:rPr>
              <w:t>●</w:t>
            </w:r>
          </w:p>
        </w:tc>
        <w:tc>
          <w:tcPr>
            <w:tcW w:w="0" w:type="auto"/>
            <w:hideMark/>
          </w:tcPr>
          <w:p w14:paraId="551E96B9" w14:textId="77777777" w:rsidR="00000000" w:rsidRDefault="002F725F">
            <w:pPr>
              <w:jc w:val="both"/>
              <w:rPr>
                <w:rFonts w:eastAsia="Times New Roman"/>
                <w:sz w:val="20"/>
                <w:szCs w:val="20"/>
              </w:rPr>
            </w:pPr>
            <w:r>
              <w:rPr>
                <w:rFonts w:eastAsia="Times New Roman"/>
                <w:sz w:val="20"/>
                <w:szCs w:val="20"/>
              </w:rPr>
              <w:t>“SUMMARY TERM SHEET—Support Agreement”</w:t>
            </w:r>
          </w:p>
        </w:tc>
      </w:tr>
    </w:tbl>
    <w:p w14:paraId="54B5B021"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703E9A8" w14:textId="77777777">
        <w:trPr>
          <w:divId w:val="305475121"/>
          <w:tblCellSpacing w:w="0" w:type="dxa"/>
        </w:trPr>
        <w:tc>
          <w:tcPr>
            <w:tcW w:w="1080" w:type="dxa"/>
            <w:hideMark/>
          </w:tcPr>
          <w:p w14:paraId="5932D48D" w14:textId="77777777" w:rsidR="00000000" w:rsidRDefault="002F725F">
            <w:pPr>
              <w:rPr>
                <w:sz w:val="20"/>
                <w:szCs w:val="20"/>
              </w:rPr>
            </w:pPr>
          </w:p>
        </w:tc>
        <w:tc>
          <w:tcPr>
            <w:tcW w:w="360" w:type="dxa"/>
            <w:hideMark/>
          </w:tcPr>
          <w:p w14:paraId="0E111B03" w14:textId="77777777" w:rsidR="00000000" w:rsidRDefault="002F725F">
            <w:pPr>
              <w:rPr>
                <w:rFonts w:eastAsia="Times New Roman"/>
                <w:sz w:val="20"/>
                <w:szCs w:val="20"/>
              </w:rPr>
            </w:pPr>
            <w:r>
              <w:rPr>
                <w:rFonts w:eastAsia="Times New Roman"/>
                <w:sz w:val="20"/>
                <w:szCs w:val="20"/>
              </w:rPr>
              <w:t>●</w:t>
            </w:r>
          </w:p>
        </w:tc>
        <w:tc>
          <w:tcPr>
            <w:tcW w:w="0" w:type="auto"/>
            <w:hideMark/>
          </w:tcPr>
          <w:p w14:paraId="41460A3F" w14:textId="77777777" w:rsidR="00000000" w:rsidRDefault="002F725F">
            <w:pPr>
              <w:jc w:val="both"/>
              <w:rPr>
                <w:rFonts w:eastAsia="Times New Roman"/>
                <w:sz w:val="20"/>
                <w:szCs w:val="20"/>
              </w:rPr>
            </w:pPr>
            <w:r>
              <w:rPr>
                <w:rFonts w:eastAsia="Times New Roman"/>
                <w:sz w:val="20"/>
                <w:szCs w:val="20"/>
              </w:rPr>
              <w:t>“SPECIAL FACTORS—Background of the Merger”</w:t>
            </w:r>
          </w:p>
        </w:tc>
      </w:tr>
    </w:tbl>
    <w:p w14:paraId="2C27928C"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p w14:paraId="052DC766" w14:textId="77777777" w:rsidR="00000000" w:rsidRDefault="002F725F">
      <w:pPr>
        <w:pStyle w:val="NormalWeb"/>
        <w:spacing w:before="0" w:beforeAutospacing="0" w:after="0" w:afterAutospacing="0"/>
        <w:jc w:val="center"/>
        <w:divId w:val="2067870410"/>
        <w:rPr>
          <w:sz w:val="20"/>
          <w:szCs w:val="20"/>
        </w:rPr>
      </w:pPr>
      <w:r>
        <w:rPr>
          <w:sz w:val="20"/>
          <w:szCs w:val="20"/>
        </w:rPr>
        <w:t>6</w:t>
      </w:r>
    </w:p>
    <w:p w14:paraId="484752EB"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4D02CB0" w14:textId="77777777">
        <w:trPr>
          <w:divId w:val="305475121"/>
          <w:tblCellSpacing w:w="0" w:type="dxa"/>
        </w:trPr>
        <w:tc>
          <w:tcPr>
            <w:tcW w:w="1080" w:type="dxa"/>
            <w:hideMark/>
          </w:tcPr>
          <w:p w14:paraId="7344EA6B" w14:textId="77777777" w:rsidR="00000000" w:rsidRDefault="002F725F">
            <w:pPr>
              <w:rPr>
                <w:sz w:val="20"/>
                <w:szCs w:val="20"/>
              </w:rPr>
            </w:pPr>
          </w:p>
        </w:tc>
        <w:tc>
          <w:tcPr>
            <w:tcW w:w="360" w:type="dxa"/>
            <w:hideMark/>
          </w:tcPr>
          <w:p w14:paraId="35E1FE09" w14:textId="77777777" w:rsidR="00000000" w:rsidRDefault="002F725F">
            <w:pPr>
              <w:rPr>
                <w:rFonts w:eastAsia="Times New Roman"/>
                <w:sz w:val="20"/>
                <w:szCs w:val="20"/>
              </w:rPr>
            </w:pPr>
            <w:r>
              <w:rPr>
                <w:rFonts w:eastAsia="Times New Roman"/>
                <w:sz w:val="20"/>
                <w:szCs w:val="20"/>
              </w:rPr>
              <w:t>●</w:t>
            </w:r>
          </w:p>
        </w:tc>
        <w:tc>
          <w:tcPr>
            <w:tcW w:w="0" w:type="auto"/>
            <w:hideMark/>
          </w:tcPr>
          <w:p w14:paraId="39DB8027" w14:textId="77777777" w:rsidR="00000000" w:rsidRDefault="002F725F">
            <w:pPr>
              <w:jc w:val="both"/>
              <w:rPr>
                <w:rFonts w:eastAsia="Times New Roman"/>
                <w:sz w:val="20"/>
                <w:szCs w:val="20"/>
              </w:rPr>
            </w:pPr>
            <w:r>
              <w:rPr>
                <w:rFonts w:eastAsia="Times New Roman"/>
                <w:sz w:val="20"/>
                <w:szCs w:val="20"/>
              </w:rPr>
              <w:t>“SPECIAL FACTORS—Financing of the Merger”</w:t>
            </w:r>
          </w:p>
        </w:tc>
      </w:tr>
    </w:tbl>
    <w:p w14:paraId="314F3195"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1D32A81" w14:textId="77777777">
        <w:trPr>
          <w:divId w:val="305475121"/>
          <w:tblCellSpacing w:w="0" w:type="dxa"/>
        </w:trPr>
        <w:tc>
          <w:tcPr>
            <w:tcW w:w="1080" w:type="dxa"/>
            <w:hideMark/>
          </w:tcPr>
          <w:p w14:paraId="462DEC35" w14:textId="77777777" w:rsidR="00000000" w:rsidRDefault="002F725F">
            <w:pPr>
              <w:rPr>
                <w:sz w:val="20"/>
                <w:szCs w:val="20"/>
              </w:rPr>
            </w:pPr>
          </w:p>
        </w:tc>
        <w:tc>
          <w:tcPr>
            <w:tcW w:w="360" w:type="dxa"/>
            <w:hideMark/>
          </w:tcPr>
          <w:p w14:paraId="6ACB873E" w14:textId="77777777" w:rsidR="00000000" w:rsidRDefault="002F725F">
            <w:pPr>
              <w:rPr>
                <w:rFonts w:eastAsia="Times New Roman"/>
                <w:sz w:val="20"/>
                <w:szCs w:val="20"/>
              </w:rPr>
            </w:pPr>
            <w:r>
              <w:rPr>
                <w:rFonts w:eastAsia="Times New Roman"/>
                <w:sz w:val="20"/>
                <w:szCs w:val="20"/>
              </w:rPr>
              <w:t>●</w:t>
            </w:r>
          </w:p>
        </w:tc>
        <w:tc>
          <w:tcPr>
            <w:tcW w:w="0" w:type="auto"/>
            <w:hideMark/>
          </w:tcPr>
          <w:p w14:paraId="1D103522" w14:textId="77777777" w:rsidR="00000000" w:rsidRDefault="002F725F">
            <w:pPr>
              <w:jc w:val="both"/>
              <w:rPr>
                <w:rFonts w:eastAsia="Times New Roman"/>
                <w:sz w:val="20"/>
                <w:szCs w:val="20"/>
              </w:rPr>
            </w:pPr>
            <w:r>
              <w:rPr>
                <w:rFonts w:eastAsia="Times New Roman"/>
                <w:sz w:val="20"/>
                <w:szCs w:val="20"/>
              </w:rPr>
              <w:t>“SPECIAL FACTORS—</w:t>
            </w:r>
            <w:r>
              <w:rPr>
                <w:rFonts w:eastAsia="Times New Roman"/>
                <w:sz w:val="20"/>
                <w:szCs w:val="20"/>
              </w:rPr>
              <w:t>Plans for the Company after the Merger”</w:t>
            </w:r>
          </w:p>
        </w:tc>
      </w:tr>
    </w:tbl>
    <w:p w14:paraId="6D123F79"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3BB4DFB" w14:textId="77777777">
        <w:trPr>
          <w:divId w:val="305475121"/>
          <w:tblCellSpacing w:w="0" w:type="dxa"/>
        </w:trPr>
        <w:tc>
          <w:tcPr>
            <w:tcW w:w="1080" w:type="dxa"/>
            <w:hideMark/>
          </w:tcPr>
          <w:p w14:paraId="7019F007" w14:textId="77777777" w:rsidR="00000000" w:rsidRDefault="002F725F">
            <w:pPr>
              <w:rPr>
                <w:sz w:val="20"/>
                <w:szCs w:val="20"/>
              </w:rPr>
            </w:pPr>
          </w:p>
        </w:tc>
        <w:tc>
          <w:tcPr>
            <w:tcW w:w="360" w:type="dxa"/>
            <w:hideMark/>
          </w:tcPr>
          <w:p w14:paraId="2E1A2C1D" w14:textId="77777777" w:rsidR="00000000" w:rsidRDefault="002F725F">
            <w:pPr>
              <w:rPr>
                <w:rFonts w:eastAsia="Times New Roman"/>
                <w:sz w:val="20"/>
                <w:szCs w:val="20"/>
              </w:rPr>
            </w:pPr>
            <w:r>
              <w:rPr>
                <w:rFonts w:eastAsia="Times New Roman"/>
                <w:sz w:val="20"/>
                <w:szCs w:val="20"/>
              </w:rPr>
              <w:t>●</w:t>
            </w:r>
          </w:p>
        </w:tc>
        <w:tc>
          <w:tcPr>
            <w:tcW w:w="0" w:type="auto"/>
            <w:hideMark/>
          </w:tcPr>
          <w:p w14:paraId="3D1B19D8" w14:textId="77777777" w:rsidR="00000000" w:rsidRDefault="002F725F">
            <w:pPr>
              <w:jc w:val="both"/>
              <w:rPr>
                <w:rFonts w:eastAsia="Times New Roman"/>
                <w:sz w:val="20"/>
                <w:szCs w:val="20"/>
              </w:rPr>
            </w:pPr>
            <w:r>
              <w:rPr>
                <w:rFonts w:eastAsia="Times New Roman"/>
                <w:sz w:val="20"/>
                <w:szCs w:val="20"/>
              </w:rPr>
              <w:t>“SPECIAL FACTORS—Support Agreement”</w:t>
            </w:r>
          </w:p>
        </w:tc>
      </w:tr>
    </w:tbl>
    <w:p w14:paraId="53AB8035"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4D5C52C" w14:textId="77777777">
        <w:trPr>
          <w:divId w:val="305475121"/>
          <w:tblCellSpacing w:w="0" w:type="dxa"/>
        </w:trPr>
        <w:tc>
          <w:tcPr>
            <w:tcW w:w="1080" w:type="dxa"/>
            <w:hideMark/>
          </w:tcPr>
          <w:p w14:paraId="75624BEA" w14:textId="77777777" w:rsidR="00000000" w:rsidRDefault="002F725F">
            <w:pPr>
              <w:rPr>
                <w:sz w:val="20"/>
                <w:szCs w:val="20"/>
              </w:rPr>
            </w:pPr>
          </w:p>
        </w:tc>
        <w:tc>
          <w:tcPr>
            <w:tcW w:w="360" w:type="dxa"/>
            <w:hideMark/>
          </w:tcPr>
          <w:p w14:paraId="570747F8" w14:textId="77777777" w:rsidR="00000000" w:rsidRDefault="002F725F">
            <w:pPr>
              <w:rPr>
                <w:rFonts w:eastAsia="Times New Roman"/>
                <w:sz w:val="20"/>
                <w:szCs w:val="20"/>
              </w:rPr>
            </w:pPr>
            <w:r>
              <w:rPr>
                <w:rFonts w:eastAsia="Times New Roman"/>
                <w:sz w:val="20"/>
                <w:szCs w:val="20"/>
              </w:rPr>
              <w:t>●</w:t>
            </w:r>
          </w:p>
        </w:tc>
        <w:tc>
          <w:tcPr>
            <w:tcW w:w="0" w:type="auto"/>
            <w:hideMark/>
          </w:tcPr>
          <w:p w14:paraId="4D60C797" w14:textId="77777777" w:rsidR="00000000" w:rsidRDefault="002F725F">
            <w:pPr>
              <w:jc w:val="both"/>
              <w:rPr>
                <w:rFonts w:eastAsia="Times New Roman"/>
                <w:sz w:val="20"/>
                <w:szCs w:val="20"/>
              </w:rPr>
            </w:pPr>
            <w:r>
              <w:rPr>
                <w:rFonts w:eastAsia="Times New Roman"/>
                <w:sz w:val="20"/>
                <w:szCs w:val="20"/>
              </w:rPr>
              <w:t>“SPECIAL FACTORS—Interests of Certain Persons in the Merger”</w:t>
            </w:r>
          </w:p>
        </w:tc>
      </w:tr>
    </w:tbl>
    <w:p w14:paraId="67F9F03D"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AA5BE65" w14:textId="77777777">
        <w:trPr>
          <w:divId w:val="305475121"/>
          <w:tblCellSpacing w:w="0" w:type="dxa"/>
        </w:trPr>
        <w:tc>
          <w:tcPr>
            <w:tcW w:w="1080" w:type="dxa"/>
            <w:hideMark/>
          </w:tcPr>
          <w:p w14:paraId="7A824A65" w14:textId="77777777" w:rsidR="00000000" w:rsidRDefault="002F725F">
            <w:pPr>
              <w:rPr>
                <w:sz w:val="20"/>
                <w:szCs w:val="20"/>
              </w:rPr>
            </w:pPr>
          </w:p>
        </w:tc>
        <w:tc>
          <w:tcPr>
            <w:tcW w:w="360" w:type="dxa"/>
            <w:hideMark/>
          </w:tcPr>
          <w:p w14:paraId="736CF6A8" w14:textId="77777777" w:rsidR="00000000" w:rsidRDefault="002F725F">
            <w:pPr>
              <w:rPr>
                <w:rFonts w:eastAsia="Times New Roman"/>
                <w:sz w:val="20"/>
                <w:szCs w:val="20"/>
              </w:rPr>
            </w:pPr>
            <w:r>
              <w:rPr>
                <w:rFonts w:eastAsia="Times New Roman"/>
                <w:sz w:val="20"/>
                <w:szCs w:val="20"/>
              </w:rPr>
              <w:t>●</w:t>
            </w:r>
          </w:p>
        </w:tc>
        <w:tc>
          <w:tcPr>
            <w:tcW w:w="0" w:type="auto"/>
            <w:hideMark/>
          </w:tcPr>
          <w:p w14:paraId="363F6F83" w14:textId="77777777" w:rsidR="00000000" w:rsidRDefault="002F725F">
            <w:pPr>
              <w:jc w:val="both"/>
              <w:rPr>
                <w:rFonts w:eastAsia="Times New Roman"/>
                <w:sz w:val="20"/>
                <w:szCs w:val="20"/>
              </w:rPr>
            </w:pPr>
            <w:r>
              <w:rPr>
                <w:rFonts w:eastAsia="Times New Roman"/>
                <w:sz w:val="20"/>
                <w:szCs w:val="20"/>
              </w:rPr>
              <w:t>“SPECIAL FACTORS—Voting by the Buyer Group at the Extraordinary General Meeting”</w:t>
            </w:r>
          </w:p>
        </w:tc>
      </w:tr>
    </w:tbl>
    <w:p w14:paraId="0385FF50"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3BCEADD" w14:textId="77777777">
        <w:trPr>
          <w:divId w:val="305475121"/>
          <w:tblCellSpacing w:w="0" w:type="dxa"/>
        </w:trPr>
        <w:tc>
          <w:tcPr>
            <w:tcW w:w="1080" w:type="dxa"/>
            <w:hideMark/>
          </w:tcPr>
          <w:p w14:paraId="46A052A4" w14:textId="77777777" w:rsidR="00000000" w:rsidRDefault="002F725F">
            <w:pPr>
              <w:rPr>
                <w:sz w:val="20"/>
                <w:szCs w:val="20"/>
              </w:rPr>
            </w:pPr>
          </w:p>
        </w:tc>
        <w:tc>
          <w:tcPr>
            <w:tcW w:w="360" w:type="dxa"/>
            <w:hideMark/>
          </w:tcPr>
          <w:p w14:paraId="0F8F285C" w14:textId="77777777" w:rsidR="00000000" w:rsidRDefault="002F725F">
            <w:pPr>
              <w:rPr>
                <w:rFonts w:eastAsia="Times New Roman"/>
                <w:sz w:val="20"/>
                <w:szCs w:val="20"/>
              </w:rPr>
            </w:pPr>
            <w:r>
              <w:rPr>
                <w:rFonts w:eastAsia="Times New Roman"/>
                <w:sz w:val="20"/>
                <w:szCs w:val="20"/>
              </w:rPr>
              <w:t>●</w:t>
            </w:r>
          </w:p>
        </w:tc>
        <w:tc>
          <w:tcPr>
            <w:tcW w:w="0" w:type="auto"/>
            <w:hideMark/>
          </w:tcPr>
          <w:p w14:paraId="020C0F8B" w14:textId="77777777" w:rsidR="00000000" w:rsidRDefault="002F725F">
            <w:pPr>
              <w:jc w:val="both"/>
              <w:rPr>
                <w:rFonts w:eastAsia="Times New Roman"/>
                <w:sz w:val="20"/>
                <w:szCs w:val="20"/>
              </w:rPr>
            </w:pPr>
            <w:r>
              <w:rPr>
                <w:rFonts w:eastAsia="Times New Roman"/>
                <w:sz w:val="20"/>
                <w:szCs w:val="20"/>
              </w:rPr>
              <w:t>“</w:t>
            </w:r>
            <w:r>
              <w:rPr>
                <w:rFonts w:eastAsia="Times New Roman"/>
                <w:sz w:val="20"/>
                <w:szCs w:val="20"/>
              </w:rPr>
              <w:t>THE MERGER AGREEMENT”</w:t>
            </w:r>
          </w:p>
        </w:tc>
      </w:tr>
    </w:tbl>
    <w:p w14:paraId="218AEFF0"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07F26F7" w14:textId="77777777">
        <w:trPr>
          <w:divId w:val="305475121"/>
          <w:tblCellSpacing w:w="0" w:type="dxa"/>
        </w:trPr>
        <w:tc>
          <w:tcPr>
            <w:tcW w:w="1080" w:type="dxa"/>
            <w:hideMark/>
          </w:tcPr>
          <w:p w14:paraId="6A2397E3" w14:textId="77777777" w:rsidR="00000000" w:rsidRDefault="002F725F">
            <w:pPr>
              <w:rPr>
                <w:sz w:val="20"/>
                <w:szCs w:val="20"/>
              </w:rPr>
            </w:pPr>
          </w:p>
        </w:tc>
        <w:tc>
          <w:tcPr>
            <w:tcW w:w="360" w:type="dxa"/>
            <w:hideMark/>
          </w:tcPr>
          <w:p w14:paraId="7286C72A" w14:textId="77777777" w:rsidR="00000000" w:rsidRDefault="002F725F">
            <w:pPr>
              <w:rPr>
                <w:rFonts w:eastAsia="Times New Roman"/>
                <w:sz w:val="20"/>
                <w:szCs w:val="20"/>
              </w:rPr>
            </w:pPr>
            <w:r>
              <w:rPr>
                <w:rFonts w:eastAsia="Times New Roman"/>
                <w:sz w:val="20"/>
                <w:szCs w:val="20"/>
              </w:rPr>
              <w:t>●</w:t>
            </w:r>
          </w:p>
        </w:tc>
        <w:tc>
          <w:tcPr>
            <w:tcW w:w="0" w:type="auto"/>
            <w:hideMark/>
          </w:tcPr>
          <w:p w14:paraId="37937F15" w14:textId="77777777" w:rsidR="00000000" w:rsidRDefault="002F725F">
            <w:pPr>
              <w:jc w:val="both"/>
              <w:rPr>
                <w:rFonts w:eastAsia="Times New Roman"/>
                <w:sz w:val="20"/>
                <w:szCs w:val="20"/>
              </w:rPr>
            </w:pPr>
            <w:r>
              <w:rPr>
                <w:rFonts w:eastAsia="Times New Roman"/>
                <w:sz w:val="20"/>
                <w:szCs w:val="20"/>
              </w:rPr>
              <w:t>“TRANSACTIONS IN THE SHARES AND WARRANTS”</w:t>
            </w:r>
          </w:p>
        </w:tc>
      </w:tr>
    </w:tbl>
    <w:p w14:paraId="19069F82"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DE6AC7B" w14:textId="77777777">
        <w:trPr>
          <w:divId w:val="305475121"/>
          <w:tblCellSpacing w:w="0" w:type="dxa"/>
        </w:trPr>
        <w:tc>
          <w:tcPr>
            <w:tcW w:w="1080" w:type="dxa"/>
            <w:hideMark/>
          </w:tcPr>
          <w:p w14:paraId="2E220689" w14:textId="77777777" w:rsidR="00000000" w:rsidRDefault="002F725F">
            <w:pPr>
              <w:rPr>
                <w:sz w:val="20"/>
                <w:szCs w:val="20"/>
              </w:rPr>
            </w:pPr>
          </w:p>
        </w:tc>
        <w:tc>
          <w:tcPr>
            <w:tcW w:w="360" w:type="dxa"/>
            <w:hideMark/>
          </w:tcPr>
          <w:p w14:paraId="6A61741C" w14:textId="77777777" w:rsidR="00000000" w:rsidRDefault="002F725F">
            <w:pPr>
              <w:rPr>
                <w:rFonts w:eastAsia="Times New Roman"/>
                <w:sz w:val="20"/>
                <w:szCs w:val="20"/>
              </w:rPr>
            </w:pPr>
            <w:r>
              <w:rPr>
                <w:rFonts w:eastAsia="Times New Roman"/>
                <w:sz w:val="20"/>
                <w:szCs w:val="20"/>
              </w:rPr>
              <w:t>●</w:t>
            </w:r>
          </w:p>
        </w:tc>
        <w:tc>
          <w:tcPr>
            <w:tcW w:w="0" w:type="auto"/>
            <w:hideMark/>
          </w:tcPr>
          <w:p w14:paraId="37B034CF" w14:textId="77777777" w:rsidR="00000000" w:rsidRDefault="002F725F">
            <w:pPr>
              <w:jc w:val="both"/>
              <w:rPr>
                <w:rFonts w:eastAsia="Times New Roman"/>
                <w:sz w:val="20"/>
                <w:szCs w:val="20"/>
              </w:rPr>
            </w:pPr>
            <w:r>
              <w:rPr>
                <w:rFonts w:eastAsia="Times New Roman"/>
                <w:sz w:val="20"/>
                <w:szCs w:val="20"/>
              </w:rPr>
              <w:t>“ANNEX A—AGREEMENT AND PLAN OF MERGER AND AMENDMENT NO. 1 TO AGREEMENT AND PLAN OF MERGER”</w:t>
            </w:r>
          </w:p>
        </w:tc>
      </w:tr>
    </w:tbl>
    <w:p w14:paraId="1573EF3C"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11582B3" w14:textId="77777777">
        <w:trPr>
          <w:divId w:val="305475121"/>
          <w:tblCellSpacing w:w="0" w:type="dxa"/>
        </w:trPr>
        <w:tc>
          <w:tcPr>
            <w:tcW w:w="1080" w:type="dxa"/>
            <w:hideMark/>
          </w:tcPr>
          <w:p w14:paraId="1BAD90B7" w14:textId="77777777" w:rsidR="00000000" w:rsidRDefault="002F725F">
            <w:pPr>
              <w:rPr>
                <w:sz w:val="20"/>
                <w:szCs w:val="20"/>
              </w:rPr>
            </w:pPr>
          </w:p>
        </w:tc>
        <w:tc>
          <w:tcPr>
            <w:tcW w:w="360" w:type="dxa"/>
            <w:hideMark/>
          </w:tcPr>
          <w:p w14:paraId="6C956DA2" w14:textId="77777777" w:rsidR="00000000" w:rsidRDefault="002F725F">
            <w:pPr>
              <w:rPr>
                <w:rFonts w:eastAsia="Times New Roman"/>
                <w:sz w:val="20"/>
                <w:szCs w:val="20"/>
              </w:rPr>
            </w:pPr>
            <w:r>
              <w:rPr>
                <w:rFonts w:eastAsia="Times New Roman"/>
                <w:sz w:val="20"/>
                <w:szCs w:val="20"/>
              </w:rPr>
              <w:t>●</w:t>
            </w:r>
          </w:p>
        </w:tc>
        <w:tc>
          <w:tcPr>
            <w:tcW w:w="0" w:type="auto"/>
            <w:hideMark/>
          </w:tcPr>
          <w:p w14:paraId="3B9BBFAF" w14:textId="77777777" w:rsidR="00000000" w:rsidRDefault="002F725F">
            <w:pPr>
              <w:jc w:val="both"/>
              <w:rPr>
                <w:rFonts w:eastAsia="Times New Roman"/>
                <w:sz w:val="20"/>
                <w:szCs w:val="20"/>
              </w:rPr>
            </w:pPr>
            <w:r>
              <w:rPr>
                <w:rFonts w:eastAsia="Times New Roman"/>
                <w:sz w:val="20"/>
                <w:szCs w:val="20"/>
              </w:rPr>
              <w:t>“ANNEX B—PLAN OF MERGER”</w:t>
            </w:r>
          </w:p>
        </w:tc>
      </w:tr>
    </w:tbl>
    <w:p w14:paraId="1143FCF9"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48BF49CB" w14:textId="77777777">
        <w:trPr>
          <w:divId w:val="305475121"/>
          <w:tblCellSpacing w:w="0" w:type="dxa"/>
        </w:trPr>
        <w:tc>
          <w:tcPr>
            <w:tcW w:w="0" w:type="pct"/>
            <w:hideMark/>
          </w:tcPr>
          <w:p w14:paraId="784C9E2B" w14:textId="77777777" w:rsidR="00000000" w:rsidRDefault="002F725F">
            <w:pPr>
              <w:rPr>
                <w:sz w:val="20"/>
                <w:szCs w:val="20"/>
              </w:rPr>
            </w:pPr>
            <w:bookmarkStart w:id="6" w:name="gfpea0289617-sc13e3a6_lake.htma_006"/>
            <w:bookmarkEnd w:id="6"/>
          </w:p>
        </w:tc>
        <w:tc>
          <w:tcPr>
            <w:tcW w:w="720" w:type="dxa"/>
            <w:hideMark/>
          </w:tcPr>
          <w:p w14:paraId="2E5CBCED" w14:textId="77777777" w:rsidR="00000000" w:rsidRDefault="002F725F">
            <w:pPr>
              <w:rPr>
                <w:rFonts w:eastAsia="Times New Roman"/>
                <w:sz w:val="20"/>
                <w:szCs w:val="20"/>
              </w:rPr>
            </w:pPr>
            <w:r>
              <w:rPr>
                <w:rFonts w:eastAsia="Times New Roman"/>
                <w:b/>
                <w:bCs/>
                <w:sz w:val="20"/>
                <w:szCs w:val="20"/>
              </w:rPr>
              <w:t>Item 6</w:t>
            </w:r>
          </w:p>
        </w:tc>
        <w:tc>
          <w:tcPr>
            <w:tcW w:w="0" w:type="auto"/>
            <w:hideMark/>
          </w:tcPr>
          <w:p w14:paraId="36C899C1" w14:textId="77777777" w:rsidR="00000000" w:rsidRDefault="002F725F">
            <w:pPr>
              <w:jc w:val="both"/>
              <w:rPr>
                <w:rFonts w:eastAsia="Times New Roman"/>
                <w:sz w:val="20"/>
                <w:szCs w:val="20"/>
              </w:rPr>
            </w:pPr>
            <w:r>
              <w:rPr>
                <w:rFonts w:eastAsia="Times New Roman"/>
                <w:b/>
                <w:bCs/>
                <w:sz w:val="20"/>
                <w:szCs w:val="20"/>
              </w:rPr>
              <w:t>Purposes of the Transaction and Plans or Proposals</w:t>
            </w:r>
          </w:p>
        </w:tc>
      </w:tr>
    </w:tbl>
    <w:p w14:paraId="6D7ED1ED"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3FAC7F52" w14:textId="77777777">
        <w:trPr>
          <w:divId w:val="305475121"/>
          <w:tblCellSpacing w:w="0" w:type="dxa"/>
        </w:trPr>
        <w:tc>
          <w:tcPr>
            <w:tcW w:w="6" w:type="dxa"/>
            <w:hideMark/>
          </w:tcPr>
          <w:p w14:paraId="3548617E" w14:textId="77777777" w:rsidR="00000000" w:rsidRDefault="002F725F">
            <w:pPr>
              <w:rPr>
                <w:sz w:val="20"/>
                <w:szCs w:val="20"/>
              </w:rPr>
            </w:pPr>
          </w:p>
        </w:tc>
        <w:tc>
          <w:tcPr>
            <w:tcW w:w="1080" w:type="dxa"/>
            <w:hideMark/>
          </w:tcPr>
          <w:p w14:paraId="34D0E3EF" w14:textId="77777777" w:rsidR="00000000" w:rsidRDefault="002F725F">
            <w:pPr>
              <w:rPr>
                <w:rFonts w:eastAsia="Times New Roman"/>
                <w:sz w:val="20"/>
                <w:szCs w:val="20"/>
              </w:rPr>
            </w:pPr>
            <w:r>
              <w:rPr>
                <w:rFonts w:eastAsia="Times New Roman"/>
                <w:sz w:val="20"/>
                <w:szCs w:val="20"/>
              </w:rPr>
              <w:t>(b)</w:t>
            </w:r>
          </w:p>
        </w:tc>
        <w:tc>
          <w:tcPr>
            <w:tcW w:w="0" w:type="auto"/>
            <w:hideMark/>
          </w:tcPr>
          <w:p w14:paraId="4CC51467" w14:textId="77777777" w:rsidR="00000000" w:rsidRDefault="002F725F">
            <w:pPr>
              <w:jc w:val="both"/>
              <w:rPr>
                <w:rFonts w:eastAsia="Times New Roman"/>
                <w:sz w:val="20"/>
                <w:szCs w:val="20"/>
              </w:rPr>
            </w:pPr>
            <w:r>
              <w:rPr>
                <w:rFonts w:eastAsia="Times New Roman"/>
                <w:sz w:val="20"/>
                <w:szCs w:val="20"/>
              </w:rPr>
              <w:t>Use of Securities Acquired.  The information set forth in the Proxy Statement under the following captions is incorporated herein by reference:</w:t>
            </w:r>
          </w:p>
        </w:tc>
      </w:tr>
    </w:tbl>
    <w:p w14:paraId="579D46B4"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2669683" w14:textId="77777777">
        <w:trPr>
          <w:divId w:val="305475121"/>
          <w:tblCellSpacing w:w="0" w:type="dxa"/>
        </w:trPr>
        <w:tc>
          <w:tcPr>
            <w:tcW w:w="1080" w:type="dxa"/>
            <w:hideMark/>
          </w:tcPr>
          <w:p w14:paraId="47AE4008" w14:textId="77777777" w:rsidR="00000000" w:rsidRDefault="002F725F">
            <w:pPr>
              <w:rPr>
                <w:sz w:val="20"/>
                <w:szCs w:val="20"/>
              </w:rPr>
            </w:pPr>
          </w:p>
        </w:tc>
        <w:tc>
          <w:tcPr>
            <w:tcW w:w="360" w:type="dxa"/>
            <w:hideMark/>
          </w:tcPr>
          <w:p w14:paraId="02DB482E" w14:textId="77777777" w:rsidR="00000000" w:rsidRDefault="002F725F">
            <w:pPr>
              <w:rPr>
                <w:rFonts w:eastAsia="Times New Roman"/>
                <w:sz w:val="20"/>
                <w:szCs w:val="20"/>
              </w:rPr>
            </w:pPr>
            <w:r>
              <w:rPr>
                <w:rFonts w:eastAsia="Times New Roman"/>
                <w:sz w:val="20"/>
                <w:szCs w:val="20"/>
              </w:rPr>
              <w:t>●</w:t>
            </w:r>
          </w:p>
        </w:tc>
        <w:tc>
          <w:tcPr>
            <w:tcW w:w="0" w:type="auto"/>
            <w:hideMark/>
          </w:tcPr>
          <w:p w14:paraId="316CB4F3" w14:textId="77777777" w:rsidR="00000000" w:rsidRDefault="002F725F">
            <w:pPr>
              <w:jc w:val="both"/>
              <w:rPr>
                <w:rFonts w:eastAsia="Times New Roman"/>
                <w:sz w:val="20"/>
                <w:szCs w:val="20"/>
              </w:rPr>
            </w:pPr>
            <w:r>
              <w:rPr>
                <w:rFonts w:eastAsia="Times New Roman"/>
                <w:sz w:val="20"/>
                <w:szCs w:val="20"/>
              </w:rPr>
              <w:t>“SUMMARY TERM SHEET”</w:t>
            </w:r>
          </w:p>
        </w:tc>
      </w:tr>
    </w:tbl>
    <w:p w14:paraId="24A8EDF8"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9427C0C" w14:textId="77777777">
        <w:trPr>
          <w:divId w:val="305475121"/>
          <w:tblCellSpacing w:w="0" w:type="dxa"/>
        </w:trPr>
        <w:tc>
          <w:tcPr>
            <w:tcW w:w="1080" w:type="dxa"/>
            <w:hideMark/>
          </w:tcPr>
          <w:p w14:paraId="7FBDF66B" w14:textId="77777777" w:rsidR="00000000" w:rsidRDefault="002F725F">
            <w:pPr>
              <w:rPr>
                <w:sz w:val="20"/>
                <w:szCs w:val="20"/>
              </w:rPr>
            </w:pPr>
          </w:p>
        </w:tc>
        <w:tc>
          <w:tcPr>
            <w:tcW w:w="360" w:type="dxa"/>
            <w:hideMark/>
          </w:tcPr>
          <w:p w14:paraId="35A350F8" w14:textId="77777777" w:rsidR="00000000" w:rsidRDefault="002F725F">
            <w:pPr>
              <w:rPr>
                <w:rFonts w:eastAsia="Times New Roman"/>
                <w:sz w:val="20"/>
                <w:szCs w:val="20"/>
              </w:rPr>
            </w:pPr>
            <w:r>
              <w:rPr>
                <w:rFonts w:eastAsia="Times New Roman"/>
                <w:sz w:val="20"/>
                <w:szCs w:val="20"/>
              </w:rPr>
              <w:t>●</w:t>
            </w:r>
          </w:p>
        </w:tc>
        <w:tc>
          <w:tcPr>
            <w:tcW w:w="0" w:type="auto"/>
            <w:hideMark/>
          </w:tcPr>
          <w:p w14:paraId="55661BB9" w14:textId="77777777" w:rsidR="00000000" w:rsidRDefault="002F725F">
            <w:pPr>
              <w:jc w:val="both"/>
              <w:rPr>
                <w:rFonts w:eastAsia="Times New Roman"/>
                <w:sz w:val="20"/>
                <w:szCs w:val="20"/>
              </w:rPr>
            </w:pPr>
            <w:r>
              <w:rPr>
                <w:rFonts w:eastAsia="Times New Roman"/>
                <w:sz w:val="20"/>
                <w:szCs w:val="20"/>
              </w:rPr>
              <w:t>“QUESTIONS AND ANSWE</w:t>
            </w:r>
            <w:r>
              <w:rPr>
                <w:rFonts w:eastAsia="Times New Roman"/>
                <w:sz w:val="20"/>
                <w:szCs w:val="20"/>
              </w:rPr>
              <w:t>RS ABOUT THE EXTRAORDINARY GENERAL MEETING AND THE MERGER”</w:t>
            </w:r>
          </w:p>
        </w:tc>
      </w:tr>
    </w:tbl>
    <w:p w14:paraId="169DAB28"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2963ACD" w14:textId="77777777">
        <w:trPr>
          <w:divId w:val="305475121"/>
          <w:tblCellSpacing w:w="0" w:type="dxa"/>
        </w:trPr>
        <w:tc>
          <w:tcPr>
            <w:tcW w:w="1080" w:type="dxa"/>
            <w:hideMark/>
          </w:tcPr>
          <w:p w14:paraId="39BBEC5B" w14:textId="77777777" w:rsidR="00000000" w:rsidRDefault="002F725F">
            <w:pPr>
              <w:rPr>
                <w:sz w:val="20"/>
                <w:szCs w:val="20"/>
              </w:rPr>
            </w:pPr>
          </w:p>
        </w:tc>
        <w:tc>
          <w:tcPr>
            <w:tcW w:w="360" w:type="dxa"/>
            <w:hideMark/>
          </w:tcPr>
          <w:p w14:paraId="79673C31" w14:textId="77777777" w:rsidR="00000000" w:rsidRDefault="002F725F">
            <w:pPr>
              <w:rPr>
                <w:rFonts w:eastAsia="Times New Roman"/>
                <w:sz w:val="20"/>
                <w:szCs w:val="20"/>
              </w:rPr>
            </w:pPr>
            <w:r>
              <w:rPr>
                <w:rFonts w:eastAsia="Times New Roman"/>
                <w:sz w:val="20"/>
                <w:szCs w:val="20"/>
              </w:rPr>
              <w:t>●</w:t>
            </w:r>
          </w:p>
        </w:tc>
        <w:tc>
          <w:tcPr>
            <w:tcW w:w="0" w:type="auto"/>
            <w:hideMark/>
          </w:tcPr>
          <w:p w14:paraId="087D1B8A" w14:textId="77777777" w:rsidR="00000000" w:rsidRDefault="002F725F">
            <w:pPr>
              <w:jc w:val="both"/>
              <w:rPr>
                <w:rFonts w:eastAsia="Times New Roman"/>
                <w:sz w:val="20"/>
                <w:szCs w:val="20"/>
              </w:rPr>
            </w:pPr>
            <w:r>
              <w:rPr>
                <w:rFonts w:eastAsia="Times New Roman"/>
                <w:sz w:val="20"/>
                <w:szCs w:val="20"/>
              </w:rPr>
              <w:t>“SPECIAL FACTORS—Purposes of and Reasons for the Merger”</w:t>
            </w:r>
          </w:p>
        </w:tc>
      </w:tr>
    </w:tbl>
    <w:p w14:paraId="185A90C2"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A7510B3" w14:textId="77777777">
        <w:trPr>
          <w:divId w:val="305475121"/>
          <w:tblCellSpacing w:w="0" w:type="dxa"/>
        </w:trPr>
        <w:tc>
          <w:tcPr>
            <w:tcW w:w="1080" w:type="dxa"/>
            <w:hideMark/>
          </w:tcPr>
          <w:p w14:paraId="6570247D" w14:textId="77777777" w:rsidR="00000000" w:rsidRDefault="002F725F">
            <w:pPr>
              <w:rPr>
                <w:sz w:val="20"/>
                <w:szCs w:val="20"/>
              </w:rPr>
            </w:pPr>
          </w:p>
        </w:tc>
        <w:tc>
          <w:tcPr>
            <w:tcW w:w="360" w:type="dxa"/>
            <w:hideMark/>
          </w:tcPr>
          <w:p w14:paraId="1A34AA3A" w14:textId="77777777" w:rsidR="00000000" w:rsidRDefault="002F725F">
            <w:pPr>
              <w:rPr>
                <w:rFonts w:eastAsia="Times New Roman"/>
                <w:sz w:val="20"/>
                <w:szCs w:val="20"/>
              </w:rPr>
            </w:pPr>
            <w:r>
              <w:rPr>
                <w:rFonts w:eastAsia="Times New Roman"/>
                <w:sz w:val="20"/>
                <w:szCs w:val="20"/>
              </w:rPr>
              <w:t>●</w:t>
            </w:r>
          </w:p>
        </w:tc>
        <w:tc>
          <w:tcPr>
            <w:tcW w:w="0" w:type="auto"/>
            <w:hideMark/>
          </w:tcPr>
          <w:p w14:paraId="71732C3D" w14:textId="77777777" w:rsidR="00000000" w:rsidRDefault="002F725F">
            <w:pPr>
              <w:jc w:val="both"/>
              <w:rPr>
                <w:rFonts w:eastAsia="Times New Roman"/>
                <w:sz w:val="20"/>
                <w:szCs w:val="20"/>
              </w:rPr>
            </w:pPr>
            <w:r>
              <w:rPr>
                <w:rFonts w:eastAsia="Times New Roman"/>
                <w:sz w:val="20"/>
                <w:szCs w:val="20"/>
              </w:rPr>
              <w:t>“SPECIAL FACTORS—Effects of the Merger on the Company”</w:t>
            </w:r>
          </w:p>
        </w:tc>
      </w:tr>
    </w:tbl>
    <w:p w14:paraId="280E9CA3"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D8A4664" w14:textId="77777777">
        <w:trPr>
          <w:divId w:val="305475121"/>
          <w:tblCellSpacing w:w="0" w:type="dxa"/>
        </w:trPr>
        <w:tc>
          <w:tcPr>
            <w:tcW w:w="1080" w:type="dxa"/>
            <w:hideMark/>
          </w:tcPr>
          <w:p w14:paraId="539BEB7C" w14:textId="77777777" w:rsidR="00000000" w:rsidRDefault="002F725F">
            <w:pPr>
              <w:rPr>
                <w:sz w:val="20"/>
                <w:szCs w:val="20"/>
              </w:rPr>
            </w:pPr>
          </w:p>
        </w:tc>
        <w:tc>
          <w:tcPr>
            <w:tcW w:w="360" w:type="dxa"/>
            <w:hideMark/>
          </w:tcPr>
          <w:p w14:paraId="1FA5DED2" w14:textId="77777777" w:rsidR="00000000" w:rsidRDefault="002F725F">
            <w:pPr>
              <w:rPr>
                <w:rFonts w:eastAsia="Times New Roman"/>
                <w:sz w:val="20"/>
                <w:szCs w:val="20"/>
              </w:rPr>
            </w:pPr>
            <w:r>
              <w:rPr>
                <w:rFonts w:eastAsia="Times New Roman"/>
                <w:sz w:val="20"/>
                <w:szCs w:val="20"/>
              </w:rPr>
              <w:t>●</w:t>
            </w:r>
          </w:p>
        </w:tc>
        <w:tc>
          <w:tcPr>
            <w:tcW w:w="0" w:type="auto"/>
            <w:hideMark/>
          </w:tcPr>
          <w:p w14:paraId="3961F1E9" w14:textId="77777777" w:rsidR="00000000" w:rsidRDefault="002F725F">
            <w:pPr>
              <w:jc w:val="both"/>
              <w:rPr>
                <w:rFonts w:eastAsia="Times New Roman"/>
                <w:sz w:val="20"/>
                <w:szCs w:val="20"/>
              </w:rPr>
            </w:pPr>
            <w:r>
              <w:rPr>
                <w:rFonts w:eastAsia="Times New Roman"/>
                <w:sz w:val="20"/>
                <w:szCs w:val="20"/>
              </w:rPr>
              <w:t>“THE MERGER AGREEMENT”</w:t>
            </w:r>
          </w:p>
        </w:tc>
      </w:tr>
    </w:tbl>
    <w:p w14:paraId="3CBB66DC"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40826CC" w14:textId="77777777">
        <w:trPr>
          <w:divId w:val="305475121"/>
          <w:tblCellSpacing w:w="0" w:type="dxa"/>
        </w:trPr>
        <w:tc>
          <w:tcPr>
            <w:tcW w:w="1080" w:type="dxa"/>
            <w:hideMark/>
          </w:tcPr>
          <w:p w14:paraId="7C65DB90" w14:textId="77777777" w:rsidR="00000000" w:rsidRDefault="002F725F">
            <w:pPr>
              <w:rPr>
                <w:sz w:val="20"/>
                <w:szCs w:val="20"/>
              </w:rPr>
            </w:pPr>
          </w:p>
        </w:tc>
        <w:tc>
          <w:tcPr>
            <w:tcW w:w="360" w:type="dxa"/>
            <w:hideMark/>
          </w:tcPr>
          <w:p w14:paraId="6AA514C0" w14:textId="77777777" w:rsidR="00000000" w:rsidRDefault="002F725F">
            <w:pPr>
              <w:rPr>
                <w:rFonts w:eastAsia="Times New Roman"/>
                <w:sz w:val="20"/>
                <w:szCs w:val="20"/>
              </w:rPr>
            </w:pPr>
            <w:r>
              <w:rPr>
                <w:rFonts w:eastAsia="Times New Roman"/>
                <w:sz w:val="20"/>
                <w:szCs w:val="20"/>
              </w:rPr>
              <w:t>●</w:t>
            </w:r>
          </w:p>
        </w:tc>
        <w:tc>
          <w:tcPr>
            <w:tcW w:w="0" w:type="auto"/>
            <w:hideMark/>
          </w:tcPr>
          <w:p w14:paraId="5A1A0A40" w14:textId="77777777" w:rsidR="00000000" w:rsidRDefault="002F725F">
            <w:pPr>
              <w:jc w:val="both"/>
              <w:rPr>
                <w:rFonts w:eastAsia="Times New Roman"/>
                <w:sz w:val="20"/>
                <w:szCs w:val="20"/>
              </w:rPr>
            </w:pPr>
            <w:r>
              <w:rPr>
                <w:rFonts w:eastAsia="Times New Roman"/>
                <w:sz w:val="20"/>
                <w:szCs w:val="20"/>
              </w:rPr>
              <w:t xml:space="preserve">“ANNEX A—AGREEMENT </w:t>
            </w:r>
            <w:r>
              <w:rPr>
                <w:rFonts w:eastAsia="Times New Roman"/>
                <w:sz w:val="20"/>
                <w:szCs w:val="20"/>
              </w:rPr>
              <w:t>AND PLAN OF MERGER AND AMENDMENT NO. 1 TO AGREEMENT AND PLAN OF MERGER”</w:t>
            </w:r>
          </w:p>
        </w:tc>
      </w:tr>
    </w:tbl>
    <w:p w14:paraId="37C52904"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88B41B1" w14:textId="77777777">
        <w:trPr>
          <w:divId w:val="305475121"/>
          <w:tblCellSpacing w:w="0" w:type="dxa"/>
        </w:trPr>
        <w:tc>
          <w:tcPr>
            <w:tcW w:w="1080" w:type="dxa"/>
            <w:hideMark/>
          </w:tcPr>
          <w:p w14:paraId="21C34E2E" w14:textId="77777777" w:rsidR="00000000" w:rsidRDefault="002F725F">
            <w:pPr>
              <w:rPr>
                <w:sz w:val="20"/>
                <w:szCs w:val="20"/>
              </w:rPr>
            </w:pPr>
          </w:p>
        </w:tc>
        <w:tc>
          <w:tcPr>
            <w:tcW w:w="360" w:type="dxa"/>
            <w:hideMark/>
          </w:tcPr>
          <w:p w14:paraId="5C9AF860" w14:textId="77777777" w:rsidR="00000000" w:rsidRDefault="002F725F">
            <w:pPr>
              <w:rPr>
                <w:rFonts w:eastAsia="Times New Roman"/>
                <w:sz w:val="20"/>
                <w:szCs w:val="20"/>
              </w:rPr>
            </w:pPr>
            <w:r>
              <w:rPr>
                <w:rFonts w:eastAsia="Times New Roman"/>
                <w:sz w:val="20"/>
                <w:szCs w:val="20"/>
              </w:rPr>
              <w:t>●</w:t>
            </w:r>
          </w:p>
        </w:tc>
        <w:tc>
          <w:tcPr>
            <w:tcW w:w="0" w:type="auto"/>
            <w:hideMark/>
          </w:tcPr>
          <w:p w14:paraId="40376785" w14:textId="77777777" w:rsidR="00000000" w:rsidRDefault="002F725F">
            <w:pPr>
              <w:jc w:val="both"/>
              <w:rPr>
                <w:rFonts w:eastAsia="Times New Roman"/>
                <w:sz w:val="20"/>
                <w:szCs w:val="20"/>
              </w:rPr>
            </w:pPr>
            <w:r>
              <w:rPr>
                <w:rFonts w:eastAsia="Times New Roman"/>
                <w:sz w:val="20"/>
                <w:szCs w:val="20"/>
              </w:rPr>
              <w:t>“ANNEX B—PLAN OF MERGER”</w:t>
            </w:r>
          </w:p>
        </w:tc>
      </w:tr>
    </w:tbl>
    <w:p w14:paraId="0163FE1E"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6C3510F8" w14:textId="77777777">
        <w:trPr>
          <w:divId w:val="305475121"/>
          <w:tblCellSpacing w:w="0" w:type="dxa"/>
        </w:trPr>
        <w:tc>
          <w:tcPr>
            <w:tcW w:w="6" w:type="dxa"/>
            <w:hideMark/>
          </w:tcPr>
          <w:p w14:paraId="74187E11" w14:textId="77777777" w:rsidR="00000000" w:rsidRDefault="002F725F">
            <w:pPr>
              <w:rPr>
                <w:sz w:val="20"/>
                <w:szCs w:val="20"/>
              </w:rPr>
            </w:pPr>
          </w:p>
        </w:tc>
        <w:tc>
          <w:tcPr>
            <w:tcW w:w="1080" w:type="dxa"/>
            <w:hideMark/>
          </w:tcPr>
          <w:p w14:paraId="6AA942B8" w14:textId="77777777" w:rsidR="00000000" w:rsidRDefault="002F725F">
            <w:pPr>
              <w:rPr>
                <w:rFonts w:eastAsia="Times New Roman"/>
                <w:sz w:val="20"/>
                <w:szCs w:val="20"/>
              </w:rPr>
            </w:pPr>
            <w:r>
              <w:rPr>
                <w:rFonts w:eastAsia="Times New Roman"/>
                <w:sz w:val="20"/>
                <w:szCs w:val="20"/>
              </w:rPr>
              <w:t>(c)(1)-(8)</w:t>
            </w:r>
          </w:p>
        </w:tc>
        <w:tc>
          <w:tcPr>
            <w:tcW w:w="0" w:type="auto"/>
            <w:hideMark/>
          </w:tcPr>
          <w:p w14:paraId="7A716B7A" w14:textId="77777777" w:rsidR="00000000" w:rsidRDefault="002F725F">
            <w:pPr>
              <w:jc w:val="both"/>
              <w:rPr>
                <w:rFonts w:eastAsia="Times New Roman"/>
                <w:sz w:val="20"/>
                <w:szCs w:val="20"/>
              </w:rPr>
            </w:pPr>
            <w:r>
              <w:rPr>
                <w:rFonts w:eastAsia="Times New Roman"/>
                <w:sz w:val="20"/>
                <w:szCs w:val="20"/>
              </w:rPr>
              <w:t>Plans.   </w:t>
            </w:r>
            <w:r>
              <w:rPr>
                <w:rFonts w:eastAsia="Times New Roman"/>
                <w:sz w:val="20"/>
                <w:szCs w:val="20"/>
              </w:rPr>
              <w:t>The information set forth in the Proxy Statement under the following captions is incorporated herein by reference:</w:t>
            </w:r>
          </w:p>
        </w:tc>
      </w:tr>
    </w:tbl>
    <w:p w14:paraId="4AD8D86E"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70307E7" w14:textId="77777777">
        <w:trPr>
          <w:divId w:val="305475121"/>
          <w:tblCellSpacing w:w="0" w:type="dxa"/>
        </w:trPr>
        <w:tc>
          <w:tcPr>
            <w:tcW w:w="1080" w:type="dxa"/>
            <w:hideMark/>
          </w:tcPr>
          <w:p w14:paraId="7BF3C1CF" w14:textId="77777777" w:rsidR="00000000" w:rsidRDefault="002F725F">
            <w:pPr>
              <w:rPr>
                <w:sz w:val="20"/>
                <w:szCs w:val="20"/>
              </w:rPr>
            </w:pPr>
          </w:p>
        </w:tc>
        <w:tc>
          <w:tcPr>
            <w:tcW w:w="360" w:type="dxa"/>
            <w:hideMark/>
          </w:tcPr>
          <w:p w14:paraId="515F17D6" w14:textId="77777777" w:rsidR="00000000" w:rsidRDefault="002F725F">
            <w:pPr>
              <w:rPr>
                <w:rFonts w:eastAsia="Times New Roman"/>
                <w:sz w:val="20"/>
                <w:szCs w:val="20"/>
              </w:rPr>
            </w:pPr>
            <w:r>
              <w:rPr>
                <w:rFonts w:eastAsia="Times New Roman"/>
                <w:sz w:val="20"/>
                <w:szCs w:val="20"/>
              </w:rPr>
              <w:t>●</w:t>
            </w:r>
          </w:p>
        </w:tc>
        <w:tc>
          <w:tcPr>
            <w:tcW w:w="0" w:type="auto"/>
            <w:hideMark/>
          </w:tcPr>
          <w:p w14:paraId="48224D79" w14:textId="77777777" w:rsidR="00000000" w:rsidRDefault="002F725F">
            <w:pPr>
              <w:jc w:val="both"/>
              <w:rPr>
                <w:rFonts w:eastAsia="Times New Roman"/>
                <w:sz w:val="20"/>
                <w:szCs w:val="20"/>
              </w:rPr>
            </w:pPr>
            <w:r>
              <w:rPr>
                <w:rFonts w:eastAsia="Times New Roman"/>
                <w:sz w:val="20"/>
                <w:szCs w:val="20"/>
              </w:rPr>
              <w:t>“SUMMARY TERM SHEET—The Merger”</w:t>
            </w:r>
          </w:p>
        </w:tc>
      </w:tr>
    </w:tbl>
    <w:p w14:paraId="7A5306CD"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3630B02" w14:textId="77777777">
        <w:trPr>
          <w:divId w:val="305475121"/>
          <w:tblCellSpacing w:w="0" w:type="dxa"/>
        </w:trPr>
        <w:tc>
          <w:tcPr>
            <w:tcW w:w="1080" w:type="dxa"/>
            <w:hideMark/>
          </w:tcPr>
          <w:p w14:paraId="5E38D72A" w14:textId="77777777" w:rsidR="00000000" w:rsidRDefault="002F725F">
            <w:pPr>
              <w:rPr>
                <w:sz w:val="20"/>
                <w:szCs w:val="20"/>
              </w:rPr>
            </w:pPr>
          </w:p>
        </w:tc>
        <w:tc>
          <w:tcPr>
            <w:tcW w:w="360" w:type="dxa"/>
            <w:hideMark/>
          </w:tcPr>
          <w:p w14:paraId="45A3474A" w14:textId="77777777" w:rsidR="00000000" w:rsidRDefault="002F725F">
            <w:pPr>
              <w:rPr>
                <w:rFonts w:eastAsia="Times New Roman"/>
                <w:sz w:val="20"/>
                <w:szCs w:val="20"/>
              </w:rPr>
            </w:pPr>
            <w:r>
              <w:rPr>
                <w:rFonts w:eastAsia="Times New Roman"/>
                <w:sz w:val="20"/>
                <w:szCs w:val="20"/>
              </w:rPr>
              <w:t>●</w:t>
            </w:r>
          </w:p>
        </w:tc>
        <w:tc>
          <w:tcPr>
            <w:tcW w:w="0" w:type="auto"/>
            <w:hideMark/>
          </w:tcPr>
          <w:p w14:paraId="23F2C457" w14:textId="77777777" w:rsidR="00000000" w:rsidRDefault="002F725F">
            <w:pPr>
              <w:jc w:val="both"/>
              <w:rPr>
                <w:rFonts w:eastAsia="Times New Roman"/>
                <w:sz w:val="20"/>
                <w:szCs w:val="20"/>
              </w:rPr>
            </w:pPr>
            <w:r>
              <w:rPr>
                <w:rFonts w:eastAsia="Times New Roman"/>
                <w:sz w:val="20"/>
                <w:szCs w:val="20"/>
              </w:rPr>
              <w:t>“SUMMARY TERM SHEET—Purposes and Effects of the Merger”</w:t>
            </w:r>
          </w:p>
        </w:tc>
      </w:tr>
    </w:tbl>
    <w:p w14:paraId="79AA178D"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2C368F8" w14:textId="77777777">
        <w:trPr>
          <w:divId w:val="305475121"/>
          <w:tblCellSpacing w:w="0" w:type="dxa"/>
        </w:trPr>
        <w:tc>
          <w:tcPr>
            <w:tcW w:w="1080" w:type="dxa"/>
            <w:hideMark/>
          </w:tcPr>
          <w:p w14:paraId="0D567589" w14:textId="77777777" w:rsidR="00000000" w:rsidRDefault="002F725F">
            <w:pPr>
              <w:rPr>
                <w:sz w:val="20"/>
                <w:szCs w:val="20"/>
              </w:rPr>
            </w:pPr>
          </w:p>
        </w:tc>
        <w:tc>
          <w:tcPr>
            <w:tcW w:w="360" w:type="dxa"/>
            <w:hideMark/>
          </w:tcPr>
          <w:p w14:paraId="48E7BF3E" w14:textId="77777777" w:rsidR="00000000" w:rsidRDefault="002F725F">
            <w:pPr>
              <w:rPr>
                <w:rFonts w:eastAsia="Times New Roman"/>
                <w:sz w:val="20"/>
                <w:szCs w:val="20"/>
              </w:rPr>
            </w:pPr>
            <w:r>
              <w:rPr>
                <w:rFonts w:eastAsia="Times New Roman"/>
                <w:sz w:val="20"/>
                <w:szCs w:val="20"/>
              </w:rPr>
              <w:t>●</w:t>
            </w:r>
          </w:p>
        </w:tc>
        <w:tc>
          <w:tcPr>
            <w:tcW w:w="0" w:type="auto"/>
            <w:hideMark/>
          </w:tcPr>
          <w:p w14:paraId="7DA08962" w14:textId="77777777" w:rsidR="00000000" w:rsidRDefault="002F725F">
            <w:pPr>
              <w:jc w:val="both"/>
              <w:rPr>
                <w:rFonts w:eastAsia="Times New Roman"/>
                <w:sz w:val="20"/>
                <w:szCs w:val="20"/>
              </w:rPr>
            </w:pPr>
            <w:r>
              <w:rPr>
                <w:rFonts w:eastAsia="Times New Roman"/>
                <w:sz w:val="20"/>
                <w:szCs w:val="20"/>
              </w:rPr>
              <w:t>“</w:t>
            </w:r>
            <w:r>
              <w:rPr>
                <w:rFonts w:eastAsia="Times New Roman"/>
                <w:sz w:val="20"/>
                <w:szCs w:val="20"/>
              </w:rPr>
              <w:t>SUMMARY TERM SHEET—Plans for the Company after the Merger”</w:t>
            </w:r>
          </w:p>
        </w:tc>
      </w:tr>
    </w:tbl>
    <w:p w14:paraId="6D9EA904"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FA0CBBD" w14:textId="77777777">
        <w:trPr>
          <w:divId w:val="305475121"/>
          <w:tblCellSpacing w:w="0" w:type="dxa"/>
        </w:trPr>
        <w:tc>
          <w:tcPr>
            <w:tcW w:w="1080" w:type="dxa"/>
            <w:hideMark/>
          </w:tcPr>
          <w:p w14:paraId="7AC6DDC2" w14:textId="77777777" w:rsidR="00000000" w:rsidRDefault="002F725F">
            <w:pPr>
              <w:rPr>
                <w:sz w:val="20"/>
                <w:szCs w:val="20"/>
              </w:rPr>
            </w:pPr>
          </w:p>
        </w:tc>
        <w:tc>
          <w:tcPr>
            <w:tcW w:w="360" w:type="dxa"/>
            <w:hideMark/>
          </w:tcPr>
          <w:p w14:paraId="3A365D7A" w14:textId="77777777" w:rsidR="00000000" w:rsidRDefault="002F725F">
            <w:pPr>
              <w:rPr>
                <w:rFonts w:eastAsia="Times New Roman"/>
                <w:sz w:val="20"/>
                <w:szCs w:val="20"/>
              </w:rPr>
            </w:pPr>
            <w:r>
              <w:rPr>
                <w:rFonts w:eastAsia="Times New Roman"/>
                <w:sz w:val="20"/>
                <w:szCs w:val="20"/>
              </w:rPr>
              <w:t>●</w:t>
            </w:r>
          </w:p>
        </w:tc>
        <w:tc>
          <w:tcPr>
            <w:tcW w:w="0" w:type="auto"/>
            <w:hideMark/>
          </w:tcPr>
          <w:p w14:paraId="52ACF0DA" w14:textId="77777777" w:rsidR="00000000" w:rsidRDefault="002F725F">
            <w:pPr>
              <w:jc w:val="both"/>
              <w:rPr>
                <w:rFonts w:eastAsia="Times New Roman"/>
                <w:sz w:val="20"/>
                <w:szCs w:val="20"/>
              </w:rPr>
            </w:pPr>
            <w:r>
              <w:rPr>
                <w:rFonts w:eastAsia="Times New Roman"/>
                <w:sz w:val="20"/>
                <w:szCs w:val="20"/>
              </w:rPr>
              <w:t>“SUMMARY TERM SHEET—Financing of the Merger”</w:t>
            </w:r>
          </w:p>
        </w:tc>
      </w:tr>
    </w:tbl>
    <w:p w14:paraId="66B4E4C1"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03D5B24" w14:textId="77777777">
        <w:trPr>
          <w:divId w:val="305475121"/>
          <w:tblCellSpacing w:w="0" w:type="dxa"/>
        </w:trPr>
        <w:tc>
          <w:tcPr>
            <w:tcW w:w="1080" w:type="dxa"/>
            <w:hideMark/>
          </w:tcPr>
          <w:p w14:paraId="44B8AAD0" w14:textId="77777777" w:rsidR="00000000" w:rsidRDefault="002F725F">
            <w:pPr>
              <w:rPr>
                <w:sz w:val="20"/>
                <w:szCs w:val="20"/>
              </w:rPr>
            </w:pPr>
          </w:p>
        </w:tc>
        <w:tc>
          <w:tcPr>
            <w:tcW w:w="360" w:type="dxa"/>
            <w:hideMark/>
          </w:tcPr>
          <w:p w14:paraId="7B7DBA36" w14:textId="77777777" w:rsidR="00000000" w:rsidRDefault="002F725F">
            <w:pPr>
              <w:rPr>
                <w:rFonts w:eastAsia="Times New Roman"/>
                <w:sz w:val="20"/>
                <w:szCs w:val="20"/>
              </w:rPr>
            </w:pPr>
            <w:r>
              <w:rPr>
                <w:rFonts w:eastAsia="Times New Roman"/>
                <w:sz w:val="20"/>
                <w:szCs w:val="20"/>
              </w:rPr>
              <w:t>●</w:t>
            </w:r>
          </w:p>
        </w:tc>
        <w:tc>
          <w:tcPr>
            <w:tcW w:w="0" w:type="auto"/>
            <w:hideMark/>
          </w:tcPr>
          <w:p w14:paraId="215DA2DA" w14:textId="77777777" w:rsidR="00000000" w:rsidRDefault="002F725F">
            <w:pPr>
              <w:jc w:val="both"/>
              <w:rPr>
                <w:rFonts w:eastAsia="Times New Roman"/>
                <w:sz w:val="20"/>
                <w:szCs w:val="20"/>
              </w:rPr>
            </w:pPr>
            <w:r>
              <w:rPr>
                <w:rFonts w:eastAsia="Times New Roman"/>
                <w:sz w:val="20"/>
                <w:szCs w:val="20"/>
              </w:rPr>
              <w:t>“SUMMARY TERM SHEET—Interests of the Company’s Executive Officers and Directors in the Merger”</w:t>
            </w:r>
          </w:p>
        </w:tc>
      </w:tr>
    </w:tbl>
    <w:p w14:paraId="6CDE34A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2965F17" w14:textId="77777777">
        <w:trPr>
          <w:divId w:val="305475121"/>
          <w:tblCellSpacing w:w="0" w:type="dxa"/>
        </w:trPr>
        <w:tc>
          <w:tcPr>
            <w:tcW w:w="1080" w:type="dxa"/>
            <w:hideMark/>
          </w:tcPr>
          <w:p w14:paraId="23974DA1" w14:textId="77777777" w:rsidR="00000000" w:rsidRDefault="002F725F">
            <w:pPr>
              <w:rPr>
                <w:sz w:val="20"/>
                <w:szCs w:val="20"/>
              </w:rPr>
            </w:pPr>
          </w:p>
        </w:tc>
        <w:tc>
          <w:tcPr>
            <w:tcW w:w="360" w:type="dxa"/>
            <w:hideMark/>
          </w:tcPr>
          <w:p w14:paraId="7E89D44E" w14:textId="77777777" w:rsidR="00000000" w:rsidRDefault="002F725F">
            <w:pPr>
              <w:rPr>
                <w:rFonts w:eastAsia="Times New Roman"/>
                <w:sz w:val="20"/>
                <w:szCs w:val="20"/>
              </w:rPr>
            </w:pPr>
            <w:r>
              <w:rPr>
                <w:rFonts w:eastAsia="Times New Roman"/>
                <w:sz w:val="20"/>
                <w:szCs w:val="20"/>
              </w:rPr>
              <w:t>●</w:t>
            </w:r>
          </w:p>
        </w:tc>
        <w:tc>
          <w:tcPr>
            <w:tcW w:w="0" w:type="auto"/>
            <w:hideMark/>
          </w:tcPr>
          <w:p w14:paraId="08A2A4BB" w14:textId="77777777" w:rsidR="00000000" w:rsidRDefault="002F725F">
            <w:pPr>
              <w:jc w:val="both"/>
              <w:rPr>
                <w:rFonts w:eastAsia="Times New Roman"/>
                <w:sz w:val="20"/>
                <w:szCs w:val="20"/>
              </w:rPr>
            </w:pPr>
            <w:r>
              <w:rPr>
                <w:rFonts w:eastAsia="Times New Roman"/>
                <w:sz w:val="20"/>
                <w:szCs w:val="20"/>
              </w:rPr>
              <w:t>“SPECIAL FACTORS—Background of the Merg</w:t>
            </w:r>
            <w:r>
              <w:rPr>
                <w:rFonts w:eastAsia="Times New Roman"/>
                <w:sz w:val="20"/>
                <w:szCs w:val="20"/>
              </w:rPr>
              <w:t>er”</w:t>
            </w:r>
          </w:p>
        </w:tc>
      </w:tr>
    </w:tbl>
    <w:p w14:paraId="3DCAE84C"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7FE6936" w14:textId="77777777">
        <w:trPr>
          <w:divId w:val="305475121"/>
          <w:tblCellSpacing w:w="0" w:type="dxa"/>
        </w:trPr>
        <w:tc>
          <w:tcPr>
            <w:tcW w:w="1080" w:type="dxa"/>
            <w:hideMark/>
          </w:tcPr>
          <w:p w14:paraId="2C3E7783" w14:textId="77777777" w:rsidR="00000000" w:rsidRDefault="002F725F">
            <w:pPr>
              <w:rPr>
                <w:sz w:val="20"/>
                <w:szCs w:val="20"/>
              </w:rPr>
            </w:pPr>
          </w:p>
        </w:tc>
        <w:tc>
          <w:tcPr>
            <w:tcW w:w="360" w:type="dxa"/>
            <w:hideMark/>
          </w:tcPr>
          <w:p w14:paraId="737BB680" w14:textId="77777777" w:rsidR="00000000" w:rsidRDefault="002F725F">
            <w:pPr>
              <w:rPr>
                <w:rFonts w:eastAsia="Times New Roman"/>
                <w:sz w:val="20"/>
                <w:szCs w:val="20"/>
              </w:rPr>
            </w:pPr>
            <w:r>
              <w:rPr>
                <w:rFonts w:eastAsia="Times New Roman"/>
                <w:sz w:val="20"/>
                <w:szCs w:val="20"/>
              </w:rPr>
              <w:t>●</w:t>
            </w:r>
          </w:p>
        </w:tc>
        <w:tc>
          <w:tcPr>
            <w:tcW w:w="0" w:type="auto"/>
            <w:hideMark/>
          </w:tcPr>
          <w:p w14:paraId="6C154B80" w14:textId="77777777" w:rsidR="00000000" w:rsidRDefault="002F725F">
            <w:pPr>
              <w:jc w:val="both"/>
              <w:rPr>
                <w:rFonts w:eastAsia="Times New Roman"/>
                <w:sz w:val="20"/>
                <w:szCs w:val="20"/>
              </w:rPr>
            </w:pPr>
            <w:r>
              <w:rPr>
                <w:rFonts w:eastAsia="Times New Roman"/>
                <w:sz w:val="20"/>
                <w:szCs w:val="20"/>
              </w:rPr>
              <w:t>“SPECIAL FACTORS—Reasons for the Merger and Recommendation of the Special Committee and the Board”</w:t>
            </w:r>
          </w:p>
        </w:tc>
      </w:tr>
    </w:tbl>
    <w:p w14:paraId="4616EBE6"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F7BBD7F" w14:textId="77777777">
        <w:trPr>
          <w:divId w:val="305475121"/>
          <w:tblCellSpacing w:w="0" w:type="dxa"/>
        </w:trPr>
        <w:tc>
          <w:tcPr>
            <w:tcW w:w="1080" w:type="dxa"/>
            <w:hideMark/>
          </w:tcPr>
          <w:p w14:paraId="7864A1A1" w14:textId="77777777" w:rsidR="00000000" w:rsidRDefault="002F725F">
            <w:pPr>
              <w:rPr>
                <w:sz w:val="20"/>
                <w:szCs w:val="20"/>
              </w:rPr>
            </w:pPr>
          </w:p>
        </w:tc>
        <w:tc>
          <w:tcPr>
            <w:tcW w:w="360" w:type="dxa"/>
            <w:hideMark/>
          </w:tcPr>
          <w:p w14:paraId="47999DD7" w14:textId="77777777" w:rsidR="00000000" w:rsidRDefault="002F725F">
            <w:pPr>
              <w:rPr>
                <w:rFonts w:eastAsia="Times New Roman"/>
                <w:sz w:val="20"/>
                <w:szCs w:val="20"/>
              </w:rPr>
            </w:pPr>
            <w:r>
              <w:rPr>
                <w:rFonts w:eastAsia="Times New Roman"/>
                <w:sz w:val="20"/>
                <w:szCs w:val="20"/>
              </w:rPr>
              <w:t>●</w:t>
            </w:r>
          </w:p>
        </w:tc>
        <w:tc>
          <w:tcPr>
            <w:tcW w:w="0" w:type="auto"/>
            <w:hideMark/>
          </w:tcPr>
          <w:p w14:paraId="6B4920C9" w14:textId="77777777" w:rsidR="00000000" w:rsidRDefault="002F725F">
            <w:pPr>
              <w:jc w:val="both"/>
              <w:rPr>
                <w:rFonts w:eastAsia="Times New Roman"/>
                <w:sz w:val="20"/>
                <w:szCs w:val="20"/>
              </w:rPr>
            </w:pPr>
            <w:r>
              <w:rPr>
                <w:rFonts w:eastAsia="Times New Roman"/>
                <w:sz w:val="20"/>
                <w:szCs w:val="20"/>
              </w:rPr>
              <w:t>“SPECIAL FACTORS—Purposes of and Reasons for the Merger”</w:t>
            </w:r>
          </w:p>
        </w:tc>
      </w:tr>
    </w:tbl>
    <w:p w14:paraId="7921A25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p w14:paraId="1A5E4238" w14:textId="77777777" w:rsidR="00000000" w:rsidRDefault="002F725F">
      <w:pPr>
        <w:pStyle w:val="NormalWeb"/>
        <w:spacing w:before="0" w:beforeAutospacing="0" w:after="0" w:afterAutospacing="0"/>
        <w:jc w:val="center"/>
        <w:divId w:val="411047095"/>
        <w:rPr>
          <w:sz w:val="20"/>
          <w:szCs w:val="20"/>
        </w:rPr>
      </w:pPr>
      <w:r>
        <w:rPr>
          <w:sz w:val="20"/>
          <w:szCs w:val="20"/>
        </w:rPr>
        <w:t>7</w:t>
      </w:r>
    </w:p>
    <w:p w14:paraId="2D1F2AFF"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D38051F" w14:textId="77777777">
        <w:trPr>
          <w:divId w:val="305475121"/>
          <w:tblCellSpacing w:w="0" w:type="dxa"/>
        </w:trPr>
        <w:tc>
          <w:tcPr>
            <w:tcW w:w="1080" w:type="dxa"/>
            <w:hideMark/>
          </w:tcPr>
          <w:p w14:paraId="1FC14B82" w14:textId="77777777" w:rsidR="00000000" w:rsidRDefault="002F725F">
            <w:pPr>
              <w:rPr>
                <w:sz w:val="20"/>
                <w:szCs w:val="20"/>
              </w:rPr>
            </w:pPr>
          </w:p>
        </w:tc>
        <w:tc>
          <w:tcPr>
            <w:tcW w:w="360" w:type="dxa"/>
            <w:hideMark/>
          </w:tcPr>
          <w:p w14:paraId="557A9005" w14:textId="77777777" w:rsidR="00000000" w:rsidRDefault="002F725F">
            <w:pPr>
              <w:rPr>
                <w:rFonts w:eastAsia="Times New Roman"/>
                <w:sz w:val="20"/>
                <w:szCs w:val="20"/>
              </w:rPr>
            </w:pPr>
            <w:r>
              <w:rPr>
                <w:rFonts w:eastAsia="Times New Roman"/>
                <w:sz w:val="20"/>
                <w:szCs w:val="20"/>
              </w:rPr>
              <w:t>●</w:t>
            </w:r>
          </w:p>
        </w:tc>
        <w:tc>
          <w:tcPr>
            <w:tcW w:w="0" w:type="auto"/>
            <w:hideMark/>
          </w:tcPr>
          <w:p w14:paraId="59F3E8D4" w14:textId="77777777" w:rsidR="00000000" w:rsidRDefault="002F725F">
            <w:pPr>
              <w:jc w:val="both"/>
              <w:rPr>
                <w:rFonts w:eastAsia="Times New Roman"/>
                <w:sz w:val="20"/>
                <w:szCs w:val="20"/>
              </w:rPr>
            </w:pPr>
            <w:r>
              <w:rPr>
                <w:rFonts w:eastAsia="Times New Roman"/>
                <w:sz w:val="20"/>
                <w:szCs w:val="20"/>
              </w:rPr>
              <w:t>“SPECIAL FACTORS—</w:t>
            </w:r>
            <w:r>
              <w:rPr>
                <w:rFonts w:eastAsia="Times New Roman"/>
                <w:sz w:val="20"/>
                <w:szCs w:val="20"/>
              </w:rPr>
              <w:t>Effects of the Merger on the Company”</w:t>
            </w:r>
          </w:p>
        </w:tc>
      </w:tr>
    </w:tbl>
    <w:p w14:paraId="69297CFB"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37F781A" w14:textId="77777777">
        <w:trPr>
          <w:divId w:val="305475121"/>
          <w:tblCellSpacing w:w="0" w:type="dxa"/>
        </w:trPr>
        <w:tc>
          <w:tcPr>
            <w:tcW w:w="1080" w:type="dxa"/>
            <w:hideMark/>
          </w:tcPr>
          <w:p w14:paraId="77AC99CC" w14:textId="77777777" w:rsidR="00000000" w:rsidRDefault="002F725F">
            <w:pPr>
              <w:rPr>
                <w:sz w:val="20"/>
                <w:szCs w:val="20"/>
              </w:rPr>
            </w:pPr>
          </w:p>
        </w:tc>
        <w:tc>
          <w:tcPr>
            <w:tcW w:w="360" w:type="dxa"/>
            <w:hideMark/>
          </w:tcPr>
          <w:p w14:paraId="3395278A" w14:textId="77777777" w:rsidR="00000000" w:rsidRDefault="002F725F">
            <w:pPr>
              <w:rPr>
                <w:rFonts w:eastAsia="Times New Roman"/>
                <w:sz w:val="20"/>
                <w:szCs w:val="20"/>
              </w:rPr>
            </w:pPr>
            <w:r>
              <w:rPr>
                <w:rFonts w:eastAsia="Times New Roman"/>
                <w:sz w:val="20"/>
                <w:szCs w:val="20"/>
              </w:rPr>
              <w:t>●</w:t>
            </w:r>
          </w:p>
        </w:tc>
        <w:tc>
          <w:tcPr>
            <w:tcW w:w="0" w:type="auto"/>
            <w:hideMark/>
          </w:tcPr>
          <w:p w14:paraId="7C1A997E" w14:textId="77777777" w:rsidR="00000000" w:rsidRDefault="002F725F">
            <w:pPr>
              <w:jc w:val="both"/>
              <w:rPr>
                <w:rFonts w:eastAsia="Times New Roman"/>
                <w:sz w:val="20"/>
                <w:szCs w:val="20"/>
              </w:rPr>
            </w:pPr>
            <w:r>
              <w:rPr>
                <w:rFonts w:eastAsia="Times New Roman"/>
                <w:sz w:val="20"/>
                <w:szCs w:val="20"/>
              </w:rPr>
              <w:t>“SPECIAL FACTORS—Plans for the Company after the Merger”</w:t>
            </w:r>
          </w:p>
        </w:tc>
      </w:tr>
    </w:tbl>
    <w:p w14:paraId="6C2F44B3"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5780083" w14:textId="77777777">
        <w:trPr>
          <w:divId w:val="305475121"/>
          <w:tblCellSpacing w:w="0" w:type="dxa"/>
        </w:trPr>
        <w:tc>
          <w:tcPr>
            <w:tcW w:w="1080" w:type="dxa"/>
            <w:hideMark/>
          </w:tcPr>
          <w:p w14:paraId="6C6B7D43" w14:textId="77777777" w:rsidR="00000000" w:rsidRDefault="002F725F">
            <w:pPr>
              <w:rPr>
                <w:sz w:val="20"/>
                <w:szCs w:val="20"/>
              </w:rPr>
            </w:pPr>
          </w:p>
        </w:tc>
        <w:tc>
          <w:tcPr>
            <w:tcW w:w="360" w:type="dxa"/>
            <w:hideMark/>
          </w:tcPr>
          <w:p w14:paraId="72B16574" w14:textId="77777777" w:rsidR="00000000" w:rsidRDefault="002F725F">
            <w:pPr>
              <w:rPr>
                <w:rFonts w:eastAsia="Times New Roman"/>
                <w:sz w:val="20"/>
                <w:szCs w:val="20"/>
              </w:rPr>
            </w:pPr>
            <w:r>
              <w:rPr>
                <w:rFonts w:eastAsia="Times New Roman"/>
                <w:sz w:val="20"/>
                <w:szCs w:val="20"/>
              </w:rPr>
              <w:t>●</w:t>
            </w:r>
          </w:p>
        </w:tc>
        <w:tc>
          <w:tcPr>
            <w:tcW w:w="0" w:type="auto"/>
            <w:hideMark/>
          </w:tcPr>
          <w:p w14:paraId="1A8E058F" w14:textId="77777777" w:rsidR="00000000" w:rsidRDefault="002F725F">
            <w:pPr>
              <w:jc w:val="both"/>
              <w:rPr>
                <w:rFonts w:eastAsia="Times New Roman"/>
                <w:sz w:val="20"/>
                <w:szCs w:val="20"/>
              </w:rPr>
            </w:pPr>
            <w:r>
              <w:rPr>
                <w:rFonts w:eastAsia="Times New Roman"/>
                <w:sz w:val="20"/>
                <w:szCs w:val="20"/>
              </w:rPr>
              <w:t>“SPECIAL FACTORS—Financing of the Merger”</w:t>
            </w:r>
          </w:p>
        </w:tc>
      </w:tr>
    </w:tbl>
    <w:p w14:paraId="77B878F4"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FE7DC17" w14:textId="77777777">
        <w:trPr>
          <w:divId w:val="305475121"/>
          <w:tblCellSpacing w:w="0" w:type="dxa"/>
        </w:trPr>
        <w:tc>
          <w:tcPr>
            <w:tcW w:w="1080" w:type="dxa"/>
            <w:hideMark/>
          </w:tcPr>
          <w:p w14:paraId="7B0520E6" w14:textId="77777777" w:rsidR="00000000" w:rsidRDefault="002F725F">
            <w:pPr>
              <w:rPr>
                <w:sz w:val="20"/>
                <w:szCs w:val="20"/>
              </w:rPr>
            </w:pPr>
          </w:p>
        </w:tc>
        <w:tc>
          <w:tcPr>
            <w:tcW w:w="360" w:type="dxa"/>
            <w:hideMark/>
          </w:tcPr>
          <w:p w14:paraId="0ECC05ED" w14:textId="77777777" w:rsidR="00000000" w:rsidRDefault="002F725F">
            <w:pPr>
              <w:rPr>
                <w:rFonts w:eastAsia="Times New Roman"/>
                <w:sz w:val="20"/>
                <w:szCs w:val="20"/>
              </w:rPr>
            </w:pPr>
            <w:r>
              <w:rPr>
                <w:rFonts w:eastAsia="Times New Roman"/>
                <w:sz w:val="20"/>
                <w:szCs w:val="20"/>
              </w:rPr>
              <w:t>●</w:t>
            </w:r>
          </w:p>
        </w:tc>
        <w:tc>
          <w:tcPr>
            <w:tcW w:w="0" w:type="auto"/>
            <w:hideMark/>
          </w:tcPr>
          <w:p w14:paraId="440C1E01" w14:textId="77777777" w:rsidR="00000000" w:rsidRDefault="002F725F">
            <w:pPr>
              <w:jc w:val="both"/>
              <w:rPr>
                <w:rFonts w:eastAsia="Times New Roman"/>
                <w:sz w:val="20"/>
                <w:szCs w:val="20"/>
              </w:rPr>
            </w:pPr>
            <w:r>
              <w:rPr>
                <w:rFonts w:eastAsia="Times New Roman"/>
                <w:sz w:val="20"/>
                <w:szCs w:val="20"/>
              </w:rPr>
              <w:t>“SPECIAL FACTORS—Interests of Certain Persons in the Merger”</w:t>
            </w:r>
          </w:p>
        </w:tc>
      </w:tr>
    </w:tbl>
    <w:p w14:paraId="1CF31C06"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184FAC7" w14:textId="77777777">
        <w:trPr>
          <w:divId w:val="305475121"/>
          <w:tblCellSpacing w:w="0" w:type="dxa"/>
        </w:trPr>
        <w:tc>
          <w:tcPr>
            <w:tcW w:w="1080" w:type="dxa"/>
            <w:hideMark/>
          </w:tcPr>
          <w:p w14:paraId="3586D877" w14:textId="77777777" w:rsidR="00000000" w:rsidRDefault="002F725F">
            <w:pPr>
              <w:rPr>
                <w:sz w:val="20"/>
                <w:szCs w:val="20"/>
              </w:rPr>
            </w:pPr>
          </w:p>
        </w:tc>
        <w:tc>
          <w:tcPr>
            <w:tcW w:w="360" w:type="dxa"/>
            <w:hideMark/>
          </w:tcPr>
          <w:p w14:paraId="112B0F3F" w14:textId="77777777" w:rsidR="00000000" w:rsidRDefault="002F725F">
            <w:pPr>
              <w:rPr>
                <w:rFonts w:eastAsia="Times New Roman"/>
                <w:sz w:val="20"/>
                <w:szCs w:val="20"/>
              </w:rPr>
            </w:pPr>
            <w:r>
              <w:rPr>
                <w:rFonts w:eastAsia="Times New Roman"/>
                <w:sz w:val="20"/>
                <w:szCs w:val="20"/>
              </w:rPr>
              <w:t>●</w:t>
            </w:r>
          </w:p>
        </w:tc>
        <w:tc>
          <w:tcPr>
            <w:tcW w:w="0" w:type="auto"/>
            <w:hideMark/>
          </w:tcPr>
          <w:p w14:paraId="3BF49856" w14:textId="77777777" w:rsidR="00000000" w:rsidRDefault="002F725F">
            <w:pPr>
              <w:jc w:val="both"/>
              <w:rPr>
                <w:rFonts w:eastAsia="Times New Roman"/>
                <w:sz w:val="20"/>
                <w:szCs w:val="20"/>
              </w:rPr>
            </w:pPr>
            <w:r>
              <w:rPr>
                <w:rFonts w:eastAsia="Times New Roman"/>
                <w:sz w:val="20"/>
                <w:szCs w:val="20"/>
              </w:rPr>
              <w:t>“</w:t>
            </w:r>
            <w:r>
              <w:rPr>
                <w:rFonts w:eastAsia="Times New Roman"/>
                <w:sz w:val="20"/>
                <w:szCs w:val="20"/>
              </w:rPr>
              <w:t>THE MERGER AGREEMENT”</w:t>
            </w:r>
          </w:p>
        </w:tc>
      </w:tr>
    </w:tbl>
    <w:p w14:paraId="55956E79"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1102256" w14:textId="77777777">
        <w:trPr>
          <w:divId w:val="305475121"/>
          <w:tblCellSpacing w:w="0" w:type="dxa"/>
        </w:trPr>
        <w:tc>
          <w:tcPr>
            <w:tcW w:w="1080" w:type="dxa"/>
            <w:hideMark/>
          </w:tcPr>
          <w:p w14:paraId="60BBEB0D" w14:textId="77777777" w:rsidR="00000000" w:rsidRDefault="002F725F">
            <w:pPr>
              <w:rPr>
                <w:sz w:val="20"/>
                <w:szCs w:val="20"/>
              </w:rPr>
            </w:pPr>
          </w:p>
        </w:tc>
        <w:tc>
          <w:tcPr>
            <w:tcW w:w="360" w:type="dxa"/>
            <w:hideMark/>
          </w:tcPr>
          <w:p w14:paraId="24353C6C" w14:textId="77777777" w:rsidR="00000000" w:rsidRDefault="002F725F">
            <w:pPr>
              <w:rPr>
                <w:rFonts w:eastAsia="Times New Roman"/>
                <w:sz w:val="20"/>
                <w:szCs w:val="20"/>
              </w:rPr>
            </w:pPr>
            <w:r>
              <w:rPr>
                <w:rFonts w:eastAsia="Times New Roman"/>
                <w:sz w:val="20"/>
                <w:szCs w:val="20"/>
              </w:rPr>
              <w:t>●</w:t>
            </w:r>
          </w:p>
        </w:tc>
        <w:tc>
          <w:tcPr>
            <w:tcW w:w="0" w:type="auto"/>
            <w:hideMark/>
          </w:tcPr>
          <w:p w14:paraId="295BC7E3" w14:textId="77777777" w:rsidR="00000000" w:rsidRDefault="002F725F">
            <w:pPr>
              <w:jc w:val="both"/>
              <w:rPr>
                <w:rFonts w:eastAsia="Times New Roman"/>
                <w:sz w:val="20"/>
                <w:szCs w:val="20"/>
              </w:rPr>
            </w:pPr>
            <w:r>
              <w:rPr>
                <w:rFonts w:eastAsia="Times New Roman"/>
                <w:sz w:val="20"/>
                <w:szCs w:val="20"/>
              </w:rPr>
              <w:t>“ANNEX A—AGREEMENT AND PLAN OF MERGER AND AMENDMENT NO. 1 TO AGREEMENT AND PLAN OF MERGER”</w:t>
            </w:r>
          </w:p>
        </w:tc>
      </w:tr>
    </w:tbl>
    <w:p w14:paraId="2302130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B852BEC" w14:textId="77777777">
        <w:trPr>
          <w:divId w:val="305475121"/>
          <w:tblCellSpacing w:w="0" w:type="dxa"/>
        </w:trPr>
        <w:tc>
          <w:tcPr>
            <w:tcW w:w="1080" w:type="dxa"/>
            <w:hideMark/>
          </w:tcPr>
          <w:p w14:paraId="21A11949" w14:textId="77777777" w:rsidR="00000000" w:rsidRDefault="002F725F">
            <w:pPr>
              <w:rPr>
                <w:sz w:val="20"/>
                <w:szCs w:val="20"/>
              </w:rPr>
            </w:pPr>
          </w:p>
        </w:tc>
        <w:tc>
          <w:tcPr>
            <w:tcW w:w="360" w:type="dxa"/>
            <w:hideMark/>
          </w:tcPr>
          <w:p w14:paraId="3C53D744" w14:textId="77777777" w:rsidR="00000000" w:rsidRDefault="002F725F">
            <w:pPr>
              <w:rPr>
                <w:rFonts w:eastAsia="Times New Roman"/>
                <w:sz w:val="20"/>
                <w:szCs w:val="20"/>
              </w:rPr>
            </w:pPr>
            <w:r>
              <w:rPr>
                <w:rFonts w:eastAsia="Times New Roman"/>
                <w:sz w:val="20"/>
                <w:szCs w:val="20"/>
              </w:rPr>
              <w:t>●</w:t>
            </w:r>
          </w:p>
        </w:tc>
        <w:tc>
          <w:tcPr>
            <w:tcW w:w="0" w:type="auto"/>
            <w:hideMark/>
          </w:tcPr>
          <w:p w14:paraId="77762C0F" w14:textId="77777777" w:rsidR="00000000" w:rsidRDefault="002F725F">
            <w:pPr>
              <w:jc w:val="both"/>
              <w:rPr>
                <w:rFonts w:eastAsia="Times New Roman"/>
                <w:sz w:val="20"/>
                <w:szCs w:val="20"/>
              </w:rPr>
            </w:pPr>
            <w:r>
              <w:rPr>
                <w:rFonts w:eastAsia="Times New Roman"/>
                <w:sz w:val="20"/>
                <w:szCs w:val="20"/>
              </w:rPr>
              <w:t>“ANNEX B—PLAN OF MERGER”</w:t>
            </w:r>
          </w:p>
        </w:tc>
      </w:tr>
    </w:tbl>
    <w:p w14:paraId="0EF2A294"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74C2C7A0" w14:textId="77777777">
        <w:trPr>
          <w:divId w:val="305475121"/>
          <w:tblCellSpacing w:w="0" w:type="dxa"/>
        </w:trPr>
        <w:tc>
          <w:tcPr>
            <w:tcW w:w="0" w:type="pct"/>
            <w:hideMark/>
          </w:tcPr>
          <w:p w14:paraId="0D53B0D4" w14:textId="77777777" w:rsidR="00000000" w:rsidRDefault="002F725F">
            <w:pPr>
              <w:rPr>
                <w:sz w:val="20"/>
                <w:szCs w:val="20"/>
              </w:rPr>
            </w:pPr>
          </w:p>
        </w:tc>
        <w:tc>
          <w:tcPr>
            <w:tcW w:w="720" w:type="dxa"/>
            <w:hideMark/>
          </w:tcPr>
          <w:p w14:paraId="5EB37D2C" w14:textId="77777777" w:rsidR="00000000" w:rsidRDefault="002F725F">
            <w:pPr>
              <w:rPr>
                <w:rFonts w:eastAsia="Times New Roman"/>
                <w:sz w:val="20"/>
                <w:szCs w:val="20"/>
              </w:rPr>
            </w:pPr>
            <w:bookmarkStart w:id="7" w:name="gfpea0289617-sc13e3a6_lake.htma_007"/>
            <w:bookmarkEnd w:id="7"/>
            <w:r>
              <w:rPr>
                <w:rFonts w:eastAsia="Times New Roman"/>
                <w:b/>
                <w:bCs/>
                <w:sz w:val="20"/>
                <w:szCs w:val="20"/>
              </w:rPr>
              <w:t>Item 7</w:t>
            </w:r>
          </w:p>
        </w:tc>
        <w:tc>
          <w:tcPr>
            <w:tcW w:w="0" w:type="auto"/>
            <w:hideMark/>
          </w:tcPr>
          <w:p w14:paraId="26D5D7C1" w14:textId="77777777" w:rsidR="00000000" w:rsidRDefault="002F725F">
            <w:pPr>
              <w:jc w:val="both"/>
              <w:rPr>
                <w:rFonts w:eastAsia="Times New Roman"/>
                <w:sz w:val="20"/>
                <w:szCs w:val="20"/>
              </w:rPr>
            </w:pPr>
            <w:r>
              <w:rPr>
                <w:rFonts w:eastAsia="Times New Roman"/>
                <w:b/>
                <w:bCs/>
                <w:sz w:val="20"/>
                <w:szCs w:val="20"/>
              </w:rPr>
              <w:t>Purposes, Alternatives, Reasons and Effects</w:t>
            </w:r>
          </w:p>
        </w:tc>
      </w:tr>
    </w:tbl>
    <w:p w14:paraId="6F712E06"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44137A69" w14:textId="77777777">
        <w:trPr>
          <w:divId w:val="305475121"/>
          <w:tblCellSpacing w:w="0" w:type="dxa"/>
        </w:trPr>
        <w:tc>
          <w:tcPr>
            <w:tcW w:w="6" w:type="dxa"/>
            <w:hideMark/>
          </w:tcPr>
          <w:p w14:paraId="63FF8168" w14:textId="77777777" w:rsidR="00000000" w:rsidRDefault="002F725F">
            <w:pPr>
              <w:rPr>
                <w:sz w:val="20"/>
                <w:szCs w:val="20"/>
              </w:rPr>
            </w:pPr>
          </w:p>
        </w:tc>
        <w:tc>
          <w:tcPr>
            <w:tcW w:w="1080" w:type="dxa"/>
            <w:hideMark/>
          </w:tcPr>
          <w:p w14:paraId="5C145BE7" w14:textId="77777777" w:rsidR="00000000" w:rsidRDefault="002F725F">
            <w:pPr>
              <w:rPr>
                <w:rFonts w:eastAsia="Times New Roman"/>
                <w:sz w:val="20"/>
                <w:szCs w:val="20"/>
              </w:rPr>
            </w:pPr>
            <w:r>
              <w:rPr>
                <w:rFonts w:eastAsia="Times New Roman"/>
                <w:sz w:val="20"/>
                <w:szCs w:val="20"/>
              </w:rPr>
              <w:t>(a)</w:t>
            </w:r>
          </w:p>
        </w:tc>
        <w:tc>
          <w:tcPr>
            <w:tcW w:w="0" w:type="auto"/>
            <w:hideMark/>
          </w:tcPr>
          <w:p w14:paraId="1416A70E" w14:textId="77777777" w:rsidR="00000000" w:rsidRDefault="002F725F">
            <w:pPr>
              <w:jc w:val="both"/>
              <w:rPr>
                <w:rFonts w:eastAsia="Times New Roman"/>
                <w:sz w:val="20"/>
                <w:szCs w:val="20"/>
              </w:rPr>
            </w:pPr>
            <w:r>
              <w:rPr>
                <w:rFonts w:eastAsia="Times New Roman"/>
                <w:sz w:val="20"/>
                <w:szCs w:val="20"/>
              </w:rPr>
              <w:t>Purposes. </w:t>
            </w:r>
            <w:r>
              <w:rPr>
                <w:rFonts w:eastAsia="Times New Roman"/>
                <w:sz w:val="20"/>
                <w:szCs w:val="20"/>
              </w:rPr>
              <w:t>The information set forth in the Proxy Statement under the following captions is incorporated herein by reference:</w:t>
            </w:r>
          </w:p>
        </w:tc>
      </w:tr>
    </w:tbl>
    <w:p w14:paraId="3A4BDC12"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23D53C3" w14:textId="77777777">
        <w:trPr>
          <w:divId w:val="305475121"/>
          <w:tblCellSpacing w:w="0" w:type="dxa"/>
        </w:trPr>
        <w:tc>
          <w:tcPr>
            <w:tcW w:w="1080" w:type="dxa"/>
            <w:hideMark/>
          </w:tcPr>
          <w:p w14:paraId="0B4674C9" w14:textId="77777777" w:rsidR="00000000" w:rsidRDefault="002F725F">
            <w:pPr>
              <w:rPr>
                <w:sz w:val="20"/>
                <w:szCs w:val="20"/>
              </w:rPr>
            </w:pPr>
          </w:p>
        </w:tc>
        <w:tc>
          <w:tcPr>
            <w:tcW w:w="360" w:type="dxa"/>
            <w:hideMark/>
          </w:tcPr>
          <w:p w14:paraId="28FAF91F" w14:textId="77777777" w:rsidR="00000000" w:rsidRDefault="002F725F">
            <w:pPr>
              <w:rPr>
                <w:rFonts w:eastAsia="Times New Roman"/>
                <w:sz w:val="20"/>
                <w:szCs w:val="20"/>
              </w:rPr>
            </w:pPr>
            <w:r>
              <w:rPr>
                <w:rFonts w:eastAsia="Times New Roman"/>
                <w:sz w:val="20"/>
                <w:szCs w:val="20"/>
              </w:rPr>
              <w:t>●</w:t>
            </w:r>
          </w:p>
        </w:tc>
        <w:tc>
          <w:tcPr>
            <w:tcW w:w="0" w:type="auto"/>
            <w:hideMark/>
          </w:tcPr>
          <w:p w14:paraId="3F33D348" w14:textId="77777777" w:rsidR="00000000" w:rsidRDefault="002F725F">
            <w:pPr>
              <w:jc w:val="both"/>
              <w:rPr>
                <w:rFonts w:eastAsia="Times New Roman"/>
                <w:sz w:val="20"/>
                <w:szCs w:val="20"/>
              </w:rPr>
            </w:pPr>
            <w:r>
              <w:rPr>
                <w:rFonts w:eastAsia="Times New Roman"/>
                <w:sz w:val="20"/>
                <w:szCs w:val="20"/>
              </w:rPr>
              <w:t>“SUMMARY TERM SHEET—Purposes and Effects of the Merger”</w:t>
            </w:r>
          </w:p>
        </w:tc>
      </w:tr>
    </w:tbl>
    <w:p w14:paraId="45C33B2D"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23F1B02" w14:textId="77777777">
        <w:trPr>
          <w:divId w:val="305475121"/>
          <w:tblCellSpacing w:w="0" w:type="dxa"/>
        </w:trPr>
        <w:tc>
          <w:tcPr>
            <w:tcW w:w="1080" w:type="dxa"/>
            <w:hideMark/>
          </w:tcPr>
          <w:p w14:paraId="6DC2174B" w14:textId="77777777" w:rsidR="00000000" w:rsidRDefault="002F725F">
            <w:pPr>
              <w:rPr>
                <w:sz w:val="20"/>
                <w:szCs w:val="20"/>
              </w:rPr>
            </w:pPr>
          </w:p>
        </w:tc>
        <w:tc>
          <w:tcPr>
            <w:tcW w:w="360" w:type="dxa"/>
            <w:hideMark/>
          </w:tcPr>
          <w:p w14:paraId="4A04924E" w14:textId="77777777" w:rsidR="00000000" w:rsidRDefault="002F725F">
            <w:pPr>
              <w:rPr>
                <w:rFonts w:eastAsia="Times New Roman"/>
                <w:sz w:val="20"/>
                <w:szCs w:val="20"/>
              </w:rPr>
            </w:pPr>
            <w:r>
              <w:rPr>
                <w:rFonts w:eastAsia="Times New Roman"/>
                <w:sz w:val="20"/>
                <w:szCs w:val="20"/>
              </w:rPr>
              <w:t>●</w:t>
            </w:r>
          </w:p>
        </w:tc>
        <w:tc>
          <w:tcPr>
            <w:tcW w:w="0" w:type="auto"/>
            <w:hideMark/>
          </w:tcPr>
          <w:p w14:paraId="2C6D9021" w14:textId="77777777" w:rsidR="00000000" w:rsidRDefault="002F725F">
            <w:pPr>
              <w:jc w:val="both"/>
              <w:rPr>
                <w:rFonts w:eastAsia="Times New Roman"/>
                <w:sz w:val="20"/>
                <w:szCs w:val="20"/>
              </w:rPr>
            </w:pPr>
            <w:r>
              <w:rPr>
                <w:rFonts w:eastAsia="Times New Roman"/>
                <w:sz w:val="20"/>
                <w:szCs w:val="20"/>
              </w:rPr>
              <w:t>“SUMMARY TERM SHEET—</w:t>
            </w:r>
            <w:r>
              <w:rPr>
                <w:rFonts w:eastAsia="Times New Roman"/>
                <w:sz w:val="20"/>
                <w:szCs w:val="20"/>
              </w:rPr>
              <w:t>Plans for the Company after the Merger”</w:t>
            </w:r>
          </w:p>
        </w:tc>
      </w:tr>
    </w:tbl>
    <w:p w14:paraId="49FBC71C"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A5C84BC" w14:textId="77777777">
        <w:trPr>
          <w:divId w:val="305475121"/>
          <w:tblCellSpacing w:w="0" w:type="dxa"/>
        </w:trPr>
        <w:tc>
          <w:tcPr>
            <w:tcW w:w="1080" w:type="dxa"/>
            <w:hideMark/>
          </w:tcPr>
          <w:p w14:paraId="5B125D88" w14:textId="77777777" w:rsidR="00000000" w:rsidRDefault="002F725F">
            <w:pPr>
              <w:rPr>
                <w:sz w:val="20"/>
                <w:szCs w:val="20"/>
              </w:rPr>
            </w:pPr>
          </w:p>
        </w:tc>
        <w:tc>
          <w:tcPr>
            <w:tcW w:w="360" w:type="dxa"/>
            <w:hideMark/>
          </w:tcPr>
          <w:p w14:paraId="6A9B0B83" w14:textId="77777777" w:rsidR="00000000" w:rsidRDefault="002F725F">
            <w:pPr>
              <w:rPr>
                <w:rFonts w:eastAsia="Times New Roman"/>
                <w:sz w:val="20"/>
                <w:szCs w:val="20"/>
              </w:rPr>
            </w:pPr>
            <w:r>
              <w:rPr>
                <w:rFonts w:eastAsia="Times New Roman"/>
                <w:sz w:val="20"/>
                <w:szCs w:val="20"/>
              </w:rPr>
              <w:t>●</w:t>
            </w:r>
          </w:p>
        </w:tc>
        <w:tc>
          <w:tcPr>
            <w:tcW w:w="0" w:type="auto"/>
            <w:hideMark/>
          </w:tcPr>
          <w:p w14:paraId="59158A03" w14:textId="77777777" w:rsidR="00000000" w:rsidRDefault="002F725F">
            <w:pPr>
              <w:jc w:val="both"/>
              <w:rPr>
                <w:rFonts w:eastAsia="Times New Roman"/>
                <w:sz w:val="20"/>
                <w:szCs w:val="20"/>
              </w:rPr>
            </w:pPr>
            <w:r>
              <w:rPr>
                <w:rFonts w:eastAsia="Times New Roman"/>
                <w:sz w:val="20"/>
                <w:szCs w:val="20"/>
              </w:rPr>
              <w:t>“SPECIAL FACTORS—Reasons for the Merger and Recommendation of the Special Committee and the Board”</w:t>
            </w:r>
          </w:p>
        </w:tc>
      </w:tr>
    </w:tbl>
    <w:p w14:paraId="3A5CEC80"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6677D1E" w14:textId="77777777">
        <w:trPr>
          <w:divId w:val="305475121"/>
          <w:tblCellSpacing w:w="0" w:type="dxa"/>
        </w:trPr>
        <w:tc>
          <w:tcPr>
            <w:tcW w:w="1080" w:type="dxa"/>
            <w:hideMark/>
          </w:tcPr>
          <w:p w14:paraId="19E9B9ED" w14:textId="77777777" w:rsidR="00000000" w:rsidRDefault="002F725F">
            <w:pPr>
              <w:rPr>
                <w:sz w:val="20"/>
                <w:szCs w:val="20"/>
              </w:rPr>
            </w:pPr>
          </w:p>
        </w:tc>
        <w:tc>
          <w:tcPr>
            <w:tcW w:w="360" w:type="dxa"/>
            <w:hideMark/>
          </w:tcPr>
          <w:p w14:paraId="368E8141" w14:textId="77777777" w:rsidR="00000000" w:rsidRDefault="002F725F">
            <w:pPr>
              <w:rPr>
                <w:rFonts w:eastAsia="Times New Roman"/>
                <w:sz w:val="20"/>
                <w:szCs w:val="20"/>
              </w:rPr>
            </w:pPr>
            <w:r>
              <w:rPr>
                <w:rFonts w:eastAsia="Times New Roman"/>
                <w:sz w:val="20"/>
                <w:szCs w:val="20"/>
              </w:rPr>
              <w:t>●</w:t>
            </w:r>
          </w:p>
        </w:tc>
        <w:tc>
          <w:tcPr>
            <w:tcW w:w="0" w:type="auto"/>
            <w:hideMark/>
          </w:tcPr>
          <w:p w14:paraId="14017162" w14:textId="77777777" w:rsidR="00000000" w:rsidRDefault="002F725F">
            <w:pPr>
              <w:jc w:val="both"/>
              <w:rPr>
                <w:rFonts w:eastAsia="Times New Roman"/>
                <w:sz w:val="20"/>
                <w:szCs w:val="20"/>
              </w:rPr>
            </w:pPr>
            <w:r>
              <w:rPr>
                <w:rFonts w:eastAsia="Times New Roman"/>
                <w:sz w:val="20"/>
                <w:szCs w:val="20"/>
              </w:rPr>
              <w:t>“SPECIAL FACTORS—Purposes of and Reasons for the Merger”</w:t>
            </w:r>
          </w:p>
        </w:tc>
      </w:tr>
    </w:tbl>
    <w:p w14:paraId="1B37AA70"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0886E13F" w14:textId="77777777">
        <w:trPr>
          <w:divId w:val="305475121"/>
          <w:tblCellSpacing w:w="0" w:type="dxa"/>
        </w:trPr>
        <w:tc>
          <w:tcPr>
            <w:tcW w:w="6" w:type="dxa"/>
            <w:hideMark/>
          </w:tcPr>
          <w:p w14:paraId="4192498D" w14:textId="77777777" w:rsidR="00000000" w:rsidRDefault="002F725F">
            <w:pPr>
              <w:rPr>
                <w:sz w:val="20"/>
                <w:szCs w:val="20"/>
              </w:rPr>
            </w:pPr>
          </w:p>
        </w:tc>
        <w:tc>
          <w:tcPr>
            <w:tcW w:w="1080" w:type="dxa"/>
            <w:hideMark/>
          </w:tcPr>
          <w:p w14:paraId="241C8F46" w14:textId="77777777" w:rsidR="00000000" w:rsidRDefault="002F725F">
            <w:pPr>
              <w:rPr>
                <w:rFonts w:eastAsia="Times New Roman"/>
                <w:sz w:val="20"/>
                <w:szCs w:val="20"/>
              </w:rPr>
            </w:pPr>
            <w:r>
              <w:rPr>
                <w:rFonts w:eastAsia="Times New Roman"/>
                <w:sz w:val="20"/>
                <w:szCs w:val="20"/>
              </w:rPr>
              <w:t>(b)</w:t>
            </w:r>
          </w:p>
        </w:tc>
        <w:tc>
          <w:tcPr>
            <w:tcW w:w="0" w:type="auto"/>
            <w:hideMark/>
          </w:tcPr>
          <w:p w14:paraId="76B13D3A" w14:textId="77777777" w:rsidR="00000000" w:rsidRDefault="002F725F">
            <w:pPr>
              <w:jc w:val="both"/>
              <w:rPr>
                <w:rFonts w:eastAsia="Times New Roman"/>
                <w:sz w:val="20"/>
                <w:szCs w:val="20"/>
              </w:rPr>
            </w:pPr>
            <w:r>
              <w:rPr>
                <w:rFonts w:eastAsia="Times New Roman"/>
                <w:sz w:val="20"/>
                <w:szCs w:val="20"/>
              </w:rPr>
              <w:t>Alternatives.  </w:t>
            </w:r>
            <w:r>
              <w:rPr>
                <w:rFonts w:eastAsia="Times New Roman"/>
                <w:sz w:val="20"/>
                <w:szCs w:val="20"/>
              </w:rPr>
              <w:t>The information set forth in the Proxy Statement under the following captions is incorporated herein by reference:</w:t>
            </w:r>
          </w:p>
        </w:tc>
      </w:tr>
    </w:tbl>
    <w:p w14:paraId="397BD513"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939BE1C" w14:textId="77777777">
        <w:trPr>
          <w:divId w:val="305475121"/>
          <w:tblCellSpacing w:w="0" w:type="dxa"/>
        </w:trPr>
        <w:tc>
          <w:tcPr>
            <w:tcW w:w="1080" w:type="dxa"/>
            <w:hideMark/>
          </w:tcPr>
          <w:p w14:paraId="5EAA13AA" w14:textId="77777777" w:rsidR="00000000" w:rsidRDefault="002F725F">
            <w:pPr>
              <w:rPr>
                <w:sz w:val="20"/>
                <w:szCs w:val="20"/>
              </w:rPr>
            </w:pPr>
          </w:p>
        </w:tc>
        <w:tc>
          <w:tcPr>
            <w:tcW w:w="360" w:type="dxa"/>
            <w:hideMark/>
          </w:tcPr>
          <w:p w14:paraId="3DC151D3" w14:textId="77777777" w:rsidR="00000000" w:rsidRDefault="002F725F">
            <w:pPr>
              <w:rPr>
                <w:rFonts w:eastAsia="Times New Roman"/>
                <w:sz w:val="20"/>
                <w:szCs w:val="20"/>
              </w:rPr>
            </w:pPr>
            <w:r>
              <w:rPr>
                <w:rFonts w:eastAsia="Times New Roman"/>
                <w:sz w:val="20"/>
                <w:szCs w:val="20"/>
              </w:rPr>
              <w:t>●</w:t>
            </w:r>
          </w:p>
        </w:tc>
        <w:tc>
          <w:tcPr>
            <w:tcW w:w="0" w:type="auto"/>
            <w:hideMark/>
          </w:tcPr>
          <w:p w14:paraId="3C6CE92A" w14:textId="77777777" w:rsidR="00000000" w:rsidRDefault="002F725F">
            <w:pPr>
              <w:jc w:val="both"/>
              <w:rPr>
                <w:rFonts w:eastAsia="Times New Roman"/>
                <w:sz w:val="20"/>
                <w:szCs w:val="20"/>
              </w:rPr>
            </w:pPr>
            <w:r>
              <w:rPr>
                <w:rFonts w:eastAsia="Times New Roman"/>
                <w:sz w:val="20"/>
                <w:szCs w:val="20"/>
              </w:rPr>
              <w:t>“SPECIAL FACTORS—Background of the Merger”</w:t>
            </w:r>
          </w:p>
        </w:tc>
      </w:tr>
    </w:tbl>
    <w:p w14:paraId="773F0771"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CA10303" w14:textId="77777777">
        <w:trPr>
          <w:divId w:val="305475121"/>
          <w:tblCellSpacing w:w="0" w:type="dxa"/>
        </w:trPr>
        <w:tc>
          <w:tcPr>
            <w:tcW w:w="1080" w:type="dxa"/>
            <w:hideMark/>
          </w:tcPr>
          <w:p w14:paraId="480D80FF" w14:textId="77777777" w:rsidR="00000000" w:rsidRDefault="002F725F">
            <w:pPr>
              <w:rPr>
                <w:sz w:val="20"/>
                <w:szCs w:val="20"/>
              </w:rPr>
            </w:pPr>
          </w:p>
        </w:tc>
        <w:tc>
          <w:tcPr>
            <w:tcW w:w="360" w:type="dxa"/>
            <w:hideMark/>
          </w:tcPr>
          <w:p w14:paraId="491A95B8" w14:textId="77777777" w:rsidR="00000000" w:rsidRDefault="002F725F">
            <w:pPr>
              <w:rPr>
                <w:rFonts w:eastAsia="Times New Roman"/>
                <w:sz w:val="20"/>
                <w:szCs w:val="20"/>
              </w:rPr>
            </w:pPr>
            <w:r>
              <w:rPr>
                <w:rFonts w:eastAsia="Times New Roman"/>
                <w:sz w:val="20"/>
                <w:szCs w:val="20"/>
              </w:rPr>
              <w:t>●</w:t>
            </w:r>
          </w:p>
        </w:tc>
        <w:tc>
          <w:tcPr>
            <w:tcW w:w="0" w:type="auto"/>
            <w:hideMark/>
          </w:tcPr>
          <w:p w14:paraId="1BEEA0F1" w14:textId="77777777" w:rsidR="00000000" w:rsidRDefault="002F725F">
            <w:pPr>
              <w:jc w:val="both"/>
              <w:rPr>
                <w:rFonts w:eastAsia="Times New Roman"/>
                <w:sz w:val="20"/>
                <w:szCs w:val="20"/>
              </w:rPr>
            </w:pPr>
            <w:r>
              <w:rPr>
                <w:rFonts w:eastAsia="Times New Roman"/>
                <w:sz w:val="20"/>
                <w:szCs w:val="20"/>
              </w:rPr>
              <w:t>“SPECIAL FACTORS—Reasons for the Merger and Recommendation of the Special Committee an</w:t>
            </w:r>
            <w:r>
              <w:rPr>
                <w:rFonts w:eastAsia="Times New Roman"/>
                <w:sz w:val="20"/>
                <w:szCs w:val="20"/>
              </w:rPr>
              <w:t>d the Board”</w:t>
            </w:r>
          </w:p>
        </w:tc>
      </w:tr>
    </w:tbl>
    <w:p w14:paraId="37FD4C2D"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8FCF608" w14:textId="77777777">
        <w:trPr>
          <w:divId w:val="305475121"/>
          <w:tblCellSpacing w:w="0" w:type="dxa"/>
        </w:trPr>
        <w:tc>
          <w:tcPr>
            <w:tcW w:w="1080" w:type="dxa"/>
            <w:hideMark/>
          </w:tcPr>
          <w:p w14:paraId="0B603C22" w14:textId="77777777" w:rsidR="00000000" w:rsidRDefault="002F725F">
            <w:pPr>
              <w:rPr>
                <w:sz w:val="20"/>
                <w:szCs w:val="20"/>
              </w:rPr>
            </w:pPr>
          </w:p>
        </w:tc>
        <w:tc>
          <w:tcPr>
            <w:tcW w:w="360" w:type="dxa"/>
            <w:hideMark/>
          </w:tcPr>
          <w:p w14:paraId="05EF9968" w14:textId="77777777" w:rsidR="00000000" w:rsidRDefault="002F725F">
            <w:pPr>
              <w:rPr>
                <w:rFonts w:eastAsia="Times New Roman"/>
                <w:sz w:val="20"/>
                <w:szCs w:val="20"/>
              </w:rPr>
            </w:pPr>
            <w:r>
              <w:rPr>
                <w:rFonts w:eastAsia="Times New Roman"/>
                <w:sz w:val="20"/>
                <w:szCs w:val="20"/>
              </w:rPr>
              <w:t>●</w:t>
            </w:r>
          </w:p>
        </w:tc>
        <w:tc>
          <w:tcPr>
            <w:tcW w:w="0" w:type="auto"/>
            <w:hideMark/>
          </w:tcPr>
          <w:p w14:paraId="53DCCEF9" w14:textId="77777777" w:rsidR="00000000" w:rsidRDefault="002F725F">
            <w:pPr>
              <w:jc w:val="both"/>
              <w:rPr>
                <w:rFonts w:eastAsia="Times New Roman"/>
                <w:sz w:val="20"/>
                <w:szCs w:val="20"/>
              </w:rPr>
            </w:pPr>
            <w:r>
              <w:rPr>
                <w:rFonts w:eastAsia="Times New Roman"/>
                <w:sz w:val="20"/>
                <w:szCs w:val="20"/>
              </w:rPr>
              <w:t>“SPECIAL FACTORS—Position of the Buyer Filing Persons as to the Fairness of the Merger”</w:t>
            </w:r>
          </w:p>
        </w:tc>
      </w:tr>
    </w:tbl>
    <w:p w14:paraId="7B7766FF"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CBB3D2E" w14:textId="77777777">
        <w:trPr>
          <w:divId w:val="305475121"/>
          <w:tblCellSpacing w:w="0" w:type="dxa"/>
        </w:trPr>
        <w:tc>
          <w:tcPr>
            <w:tcW w:w="1080" w:type="dxa"/>
            <w:hideMark/>
          </w:tcPr>
          <w:p w14:paraId="2EB73987" w14:textId="77777777" w:rsidR="00000000" w:rsidRDefault="002F725F">
            <w:pPr>
              <w:rPr>
                <w:sz w:val="20"/>
                <w:szCs w:val="20"/>
              </w:rPr>
            </w:pPr>
          </w:p>
        </w:tc>
        <w:tc>
          <w:tcPr>
            <w:tcW w:w="360" w:type="dxa"/>
            <w:hideMark/>
          </w:tcPr>
          <w:p w14:paraId="4626B14E" w14:textId="77777777" w:rsidR="00000000" w:rsidRDefault="002F725F">
            <w:pPr>
              <w:rPr>
                <w:rFonts w:eastAsia="Times New Roman"/>
                <w:sz w:val="20"/>
                <w:szCs w:val="20"/>
              </w:rPr>
            </w:pPr>
            <w:r>
              <w:rPr>
                <w:rFonts w:eastAsia="Times New Roman"/>
                <w:sz w:val="20"/>
                <w:szCs w:val="20"/>
              </w:rPr>
              <w:t>●</w:t>
            </w:r>
          </w:p>
        </w:tc>
        <w:tc>
          <w:tcPr>
            <w:tcW w:w="0" w:type="auto"/>
            <w:hideMark/>
          </w:tcPr>
          <w:p w14:paraId="556CDF31" w14:textId="77777777" w:rsidR="00000000" w:rsidRDefault="002F725F">
            <w:pPr>
              <w:jc w:val="both"/>
              <w:rPr>
                <w:rFonts w:eastAsia="Times New Roman"/>
                <w:sz w:val="20"/>
                <w:szCs w:val="20"/>
              </w:rPr>
            </w:pPr>
            <w:r>
              <w:rPr>
                <w:rFonts w:eastAsia="Times New Roman"/>
                <w:sz w:val="20"/>
                <w:szCs w:val="20"/>
              </w:rPr>
              <w:t>“SPECIAL FACTORS—Purposes of and Reasons for the Merger”</w:t>
            </w:r>
          </w:p>
        </w:tc>
      </w:tr>
    </w:tbl>
    <w:p w14:paraId="4626FA82"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A55EC2C" w14:textId="77777777">
        <w:trPr>
          <w:divId w:val="305475121"/>
          <w:tblCellSpacing w:w="0" w:type="dxa"/>
        </w:trPr>
        <w:tc>
          <w:tcPr>
            <w:tcW w:w="1080" w:type="dxa"/>
            <w:hideMark/>
          </w:tcPr>
          <w:p w14:paraId="60651D2C" w14:textId="77777777" w:rsidR="00000000" w:rsidRDefault="002F725F">
            <w:pPr>
              <w:rPr>
                <w:sz w:val="20"/>
                <w:szCs w:val="20"/>
              </w:rPr>
            </w:pPr>
          </w:p>
        </w:tc>
        <w:tc>
          <w:tcPr>
            <w:tcW w:w="360" w:type="dxa"/>
            <w:hideMark/>
          </w:tcPr>
          <w:p w14:paraId="221D19EC" w14:textId="77777777" w:rsidR="00000000" w:rsidRDefault="002F725F">
            <w:pPr>
              <w:rPr>
                <w:rFonts w:eastAsia="Times New Roman"/>
                <w:sz w:val="20"/>
                <w:szCs w:val="20"/>
              </w:rPr>
            </w:pPr>
            <w:r>
              <w:rPr>
                <w:rFonts w:eastAsia="Times New Roman"/>
                <w:sz w:val="20"/>
                <w:szCs w:val="20"/>
              </w:rPr>
              <w:t>●</w:t>
            </w:r>
          </w:p>
        </w:tc>
        <w:tc>
          <w:tcPr>
            <w:tcW w:w="0" w:type="auto"/>
            <w:hideMark/>
          </w:tcPr>
          <w:p w14:paraId="51782CA7" w14:textId="77777777" w:rsidR="00000000" w:rsidRDefault="002F725F">
            <w:pPr>
              <w:jc w:val="both"/>
              <w:rPr>
                <w:rFonts w:eastAsia="Times New Roman"/>
                <w:sz w:val="20"/>
                <w:szCs w:val="20"/>
              </w:rPr>
            </w:pPr>
            <w:r>
              <w:rPr>
                <w:rFonts w:eastAsia="Times New Roman"/>
                <w:sz w:val="20"/>
                <w:szCs w:val="20"/>
              </w:rPr>
              <w:t>“SPECIAL FACTORS—Alternatives to the Merger”</w:t>
            </w:r>
          </w:p>
        </w:tc>
      </w:tr>
    </w:tbl>
    <w:p w14:paraId="1D51FDDF"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AA410AB" w14:textId="77777777">
        <w:trPr>
          <w:divId w:val="305475121"/>
          <w:tblCellSpacing w:w="0" w:type="dxa"/>
        </w:trPr>
        <w:tc>
          <w:tcPr>
            <w:tcW w:w="1080" w:type="dxa"/>
            <w:hideMark/>
          </w:tcPr>
          <w:p w14:paraId="6D851C17" w14:textId="77777777" w:rsidR="00000000" w:rsidRDefault="002F725F">
            <w:pPr>
              <w:rPr>
                <w:sz w:val="20"/>
                <w:szCs w:val="20"/>
              </w:rPr>
            </w:pPr>
          </w:p>
        </w:tc>
        <w:tc>
          <w:tcPr>
            <w:tcW w:w="360" w:type="dxa"/>
            <w:hideMark/>
          </w:tcPr>
          <w:p w14:paraId="26939485" w14:textId="77777777" w:rsidR="00000000" w:rsidRDefault="002F725F">
            <w:pPr>
              <w:rPr>
                <w:rFonts w:eastAsia="Times New Roman"/>
                <w:sz w:val="20"/>
                <w:szCs w:val="20"/>
              </w:rPr>
            </w:pPr>
            <w:r>
              <w:rPr>
                <w:rFonts w:eastAsia="Times New Roman"/>
                <w:sz w:val="20"/>
                <w:szCs w:val="20"/>
              </w:rPr>
              <w:t>●</w:t>
            </w:r>
          </w:p>
        </w:tc>
        <w:tc>
          <w:tcPr>
            <w:tcW w:w="0" w:type="auto"/>
            <w:hideMark/>
          </w:tcPr>
          <w:p w14:paraId="06B57708" w14:textId="77777777" w:rsidR="00000000" w:rsidRDefault="002F725F">
            <w:pPr>
              <w:jc w:val="both"/>
              <w:rPr>
                <w:rFonts w:eastAsia="Times New Roman"/>
                <w:sz w:val="20"/>
                <w:szCs w:val="20"/>
              </w:rPr>
            </w:pPr>
            <w:r>
              <w:rPr>
                <w:rFonts w:eastAsia="Times New Roman"/>
                <w:sz w:val="20"/>
                <w:szCs w:val="20"/>
              </w:rPr>
              <w:t>“</w:t>
            </w:r>
            <w:r>
              <w:rPr>
                <w:rFonts w:eastAsia="Times New Roman"/>
                <w:sz w:val="20"/>
                <w:szCs w:val="20"/>
              </w:rPr>
              <w:t>SPECIAL FACTORS—Effects on the Company if the Merger Is Not Completed”</w:t>
            </w:r>
          </w:p>
        </w:tc>
      </w:tr>
    </w:tbl>
    <w:p w14:paraId="03207B1E"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78195517" w14:textId="77777777">
        <w:trPr>
          <w:divId w:val="305475121"/>
          <w:tblCellSpacing w:w="0" w:type="dxa"/>
        </w:trPr>
        <w:tc>
          <w:tcPr>
            <w:tcW w:w="6" w:type="dxa"/>
            <w:hideMark/>
          </w:tcPr>
          <w:p w14:paraId="101FDF48" w14:textId="77777777" w:rsidR="00000000" w:rsidRDefault="002F725F">
            <w:pPr>
              <w:rPr>
                <w:sz w:val="20"/>
                <w:szCs w:val="20"/>
              </w:rPr>
            </w:pPr>
          </w:p>
        </w:tc>
        <w:tc>
          <w:tcPr>
            <w:tcW w:w="1080" w:type="dxa"/>
            <w:hideMark/>
          </w:tcPr>
          <w:p w14:paraId="31C5752C" w14:textId="77777777" w:rsidR="00000000" w:rsidRDefault="002F725F">
            <w:pPr>
              <w:rPr>
                <w:rFonts w:eastAsia="Times New Roman"/>
                <w:sz w:val="20"/>
                <w:szCs w:val="20"/>
              </w:rPr>
            </w:pPr>
            <w:r>
              <w:rPr>
                <w:rFonts w:eastAsia="Times New Roman"/>
                <w:sz w:val="20"/>
                <w:szCs w:val="20"/>
              </w:rPr>
              <w:t>(c)</w:t>
            </w:r>
          </w:p>
        </w:tc>
        <w:tc>
          <w:tcPr>
            <w:tcW w:w="0" w:type="auto"/>
            <w:hideMark/>
          </w:tcPr>
          <w:p w14:paraId="7F2CE34F" w14:textId="77777777" w:rsidR="00000000" w:rsidRDefault="002F725F">
            <w:pPr>
              <w:jc w:val="both"/>
              <w:rPr>
                <w:rFonts w:eastAsia="Times New Roman"/>
                <w:sz w:val="20"/>
                <w:szCs w:val="20"/>
              </w:rPr>
            </w:pPr>
            <w:r>
              <w:rPr>
                <w:rFonts w:eastAsia="Times New Roman"/>
                <w:sz w:val="20"/>
                <w:szCs w:val="20"/>
              </w:rPr>
              <w:t>Reasons. The information set forth in the Proxy Statement under the following captions is incorporated herein by reference:</w:t>
            </w:r>
          </w:p>
        </w:tc>
      </w:tr>
    </w:tbl>
    <w:p w14:paraId="7EE25C3F"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A8D6057" w14:textId="77777777">
        <w:trPr>
          <w:divId w:val="305475121"/>
          <w:tblCellSpacing w:w="0" w:type="dxa"/>
        </w:trPr>
        <w:tc>
          <w:tcPr>
            <w:tcW w:w="1080" w:type="dxa"/>
            <w:hideMark/>
          </w:tcPr>
          <w:p w14:paraId="4CF9D7B2" w14:textId="77777777" w:rsidR="00000000" w:rsidRDefault="002F725F">
            <w:pPr>
              <w:rPr>
                <w:sz w:val="20"/>
                <w:szCs w:val="20"/>
              </w:rPr>
            </w:pPr>
          </w:p>
        </w:tc>
        <w:tc>
          <w:tcPr>
            <w:tcW w:w="360" w:type="dxa"/>
            <w:hideMark/>
          </w:tcPr>
          <w:p w14:paraId="27D4966A" w14:textId="77777777" w:rsidR="00000000" w:rsidRDefault="002F725F">
            <w:pPr>
              <w:rPr>
                <w:rFonts w:eastAsia="Times New Roman"/>
                <w:sz w:val="20"/>
                <w:szCs w:val="20"/>
              </w:rPr>
            </w:pPr>
            <w:r>
              <w:rPr>
                <w:rFonts w:eastAsia="Times New Roman"/>
                <w:sz w:val="20"/>
                <w:szCs w:val="20"/>
              </w:rPr>
              <w:t>●</w:t>
            </w:r>
          </w:p>
        </w:tc>
        <w:tc>
          <w:tcPr>
            <w:tcW w:w="0" w:type="auto"/>
            <w:hideMark/>
          </w:tcPr>
          <w:p w14:paraId="219B36AD" w14:textId="77777777" w:rsidR="00000000" w:rsidRDefault="002F725F">
            <w:pPr>
              <w:jc w:val="both"/>
              <w:rPr>
                <w:rFonts w:eastAsia="Times New Roman"/>
                <w:sz w:val="20"/>
                <w:szCs w:val="20"/>
              </w:rPr>
            </w:pPr>
            <w:r>
              <w:rPr>
                <w:rFonts w:eastAsia="Times New Roman"/>
                <w:sz w:val="20"/>
                <w:szCs w:val="20"/>
              </w:rPr>
              <w:t>“SUMMARY TERM SHEET—</w:t>
            </w:r>
            <w:r>
              <w:rPr>
                <w:rFonts w:eastAsia="Times New Roman"/>
                <w:sz w:val="20"/>
                <w:szCs w:val="20"/>
              </w:rPr>
              <w:t>Purposes and Effects of the Merger”</w:t>
            </w:r>
          </w:p>
        </w:tc>
      </w:tr>
    </w:tbl>
    <w:p w14:paraId="7CB5CD1B"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EEEAD43" w14:textId="77777777">
        <w:trPr>
          <w:divId w:val="305475121"/>
          <w:tblCellSpacing w:w="0" w:type="dxa"/>
        </w:trPr>
        <w:tc>
          <w:tcPr>
            <w:tcW w:w="1080" w:type="dxa"/>
            <w:hideMark/>
          </w:tcPr>
          <w:p w14:paraId="658A8D67" w14:textId="77777777" w:rsidR="00000000" w:rsidRDefault="002F725F">
            <w:pPr>
              <w:rPr>
                <w:sz w:val="20"/>
                <w:szCs w:val="20"/>
              </w:rPr>
            </w:pPr>
          </w:p>
        </w:tc>
        <w:tc>
          <w:tcPr>
            <w:tcW w:w="360" w:type="dxa"/>
            <w:hideMark/>
          </w:tcPr>
          <w:p w14:paraId="0F5F875B" w14:textId="77777777" w:rsidR="00000000" w:rsidRDefault="002F725F">
            <w:pPr>
              <w:rPr>
                <w:rFonts w:eastAsia="Times New Roman"/>
                <w:sz w:val="20"/>
                <w:szCs w:val="20"/>
              </w:rPr>
            </w:pPr>
            <w:r>
              <w:rPr>
                <w:rFonts w:eastAsia="Times New Roman"/>
                <w:sz w:val="20"/>
                <w:szCs w:val="20"/>
              </w:rPr>
              <w:t>●</w:t>
            </w:r>
          </w:p>
        </w:tc>
        <w:tc>
          <w:tcPr>
            <w:tcW w:w="0" w:type="auto"/>
            <w:hideMark/>
          </w:tcPr>
          <w:p w14:paraId="5ED866DA" w14:textId="77777777" w:rsidR="00000000" w:rsidRDefault="002F725F">
            <w:pPr>
              <w:jc w:val="both"/>
              <w:rPr>
                <w:rFonts w:eastAsia="Times New Roman"/>
                <w:sz w:val="20"/>
                <w:szCs w:val="20"/>
              </w:rPr>
            </w:pPr>
            <w:r>
              <w:rPr>
                <w:rFonts w:eastAsia="Times New Roman"/>
                <w:sz w:val="20"/>
                <w:szCs w:val="20"/>
              </w:rPr>
              <w:t>“SPECIAL FACTORS—Background of the Merger”</w:t>
            </w:r>
          </w:p>
        </w:tc>
      </w:tr>
    </w:tbl>
    <w:p w14:paraId="1579A4AE"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927E955" w14:textId="77777777">
        <w:trPr>
          <w:divId w:val="305475121"/>
          <w:tblCellSpacing w:w="0" w:type="dxa"/>
        </w:trPr>
        <w:tc>
          <w:tcPr>
            <w:tcW w:w="1080" w:type="dxa"/>
            <w:hideMark/>
          </w:tcPr>
          <w:p w14:paraId="76AF69AB" w14:textId="77777777" w:rsidR="00000000" w:rsidRDefault="002F725F">
            <w:pPr>
              <w:rPr>
                <w:sz w:val="20"/>
                <w:szCs w:val="20"/>
              </w:rPr>
            </w:pPr>
          </w:p>
        </w:tc>
        <w:tc>
          <w:tcPr>
            <w:tcW w:w="360" w:type="dxa"/>
            <w:hideMark/>
          </w:tcPr>
          <w:p w14:paraId="4275C9BF" w14:textId="77777777" w:rsidR="00000000" w:rsidRDefault="002F725F">
            <w:pPr>
              <w:rPr>
                <w:rFonts w:eastAsia="Times New Roman"/>
                <w:sz w:val="20"/>
                <w:szCs w:val="20"/>
              </w:rPr>
            </w:pPr>
            <w:r>
              <w:rPr>
                <w:rFonts w:eastAsia="Times New Roman"/>
                <w:sz w:val="20"/>
                <w:szCs w:val="20"/>
              </w:rPr>
              <w:t>●</w:t>
            </w:r>
          </w:p>
        </w:tc>
        <w:tc>
          <w:tcPr>
            <w:tcW w:w="0" w:type="auto"/>
            <w:hideMark/>
          </w:tcPr>
          <w:p w14:paraId="3BC96B58" w14:textId="77777777" w:rsidR="00000000" w:rsidRDefault="002F725F">
            <w:pPr>
              <w:jc w:val="both"/>
              <w:rPr>
                <w:rFonts w:eastAsia="Times New Roman"/>
                <w:sz w:val="20"/>
                <w:szCs w:val="20"/>
              </w:rPr>
            </w:pPr>
            <w:r>
              <w:rPr>
                <w:rFonts w:eastAsia="Times New Roman"/>
                <w:sz w:val="20"/>
                <w:szCs w:val="20"/>
              </w:rPr>
              <w:t>“SPECIAL FACTORS—Reasons for the Merger and Recommendation of the Special Committee and the Board”</w:t>
            </w:r>
          </w:p>
        </w:tc>
      </w:tr>
    </w:tbl>
    <w:p w14:paraId="4B2F3DF7"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CC734DB" w14:textId="77777777">
        <w:trPr>
          <w:divId w:val="305475121"/>
          <w:tblCellSpacing w:w="0" w:type="dxa"/>
        </w:trPr>
        <w:tc>
          <w:tcPr>
            <w:tcW w:w="1080" w:type="dxa"/>
            <w:hideMark/>
          </w:tcPr>
          <w:p w14:paraId="6E690FA2" w14:textId="77777777" w:rsidR="00000000" w:rsidRDefault="002F725F">
            <w:pPr>
              <w:rPr>
                <w:sz w:val="20"/>
                <w:szCs w:val="20"/>
              </w:rPr>
            </w:pPr>
          </w:p>
        </w:tc>
        <w:tc>
          <w:tcPr>
            <w:tcW w:w="360" w:type="dxa"/>
            <w:hideMark/>
          </w:tcPr>
          <w:p w14:paraId="4F89B110" w14:textId="77777777" w:rsidR="00000000" w:rsidRDefault="002F725F">
            <w:pPr>
              <w:rPr>
                <w:rFonts w:eastAsia="Times New Roman"/>
                <w:sz w:val="20"/>
                <w:szCs w:val="20"/>
              </w:rPr>
            </w:pPr>
            <w:r>
              <w:rPr>
                <w:rFonts w:eastAsia="Times New Roman"/>
                <w:sz w:val="20"/>
                <w:szCs w:val="20"/>
              </w:rPr>
              <w:t>●</w:t>
            </w:r>
          </w:p>
        </w:tc>
        <w:tc>
          <w:tcPr>
            <w:tcW w:w="0" w:type="auto"/>
            <w:hideMark/>
          </w:tcPr>
          <w:p w14:paraId="705A8C59" w14:textId="77777777" w:rsidR="00000000" w:rsidRDefault="002F725F">
            <w:pPr>
              <w:jc w:val="both"/>
              <w:rPr>
                <w:rFonts w:eastAsia="Times New Roman"/>
                <w:sz w:val="20"/>
                <w:szCs w:val="20"/>
              </w:rPr>
            </w:pPr>
            <w:r>
              <w:rPr>
                <w:rFonts w:eastAsia="Times New Roman"/>
                <w:sz w:val="20"/>
                <w:szCs w:val="20"/>
              </w:rPr>
              <w:t xml:space="preserve">“SPECIAL FACTORS—Position of the Buyer Filing Persons as to </w:t>
            </w:r>
            <w:r>
              <w:rPr>
                <w:rFonts w:eastAsia="Times New Roman"/>
                <w:sz w:val="20"/>
                <w:szCs w:val="20"/>
              </w:rPr>
              <w:t>the Fairness of the Merger”</w:t>
            </w:r>
          </w:p>
        </w:tc>
      </w:tr>
    </w:tbl>
    <w:p w14:paraId="61439F95"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EA7028B" w14:textId="77777777">
        <w:trPr>
          <w:divId w:val="305475121"/>
          <w:tblCellSpacing w:w="0" w:type="dxa"/>
        </w:trPr>
        <w:tc>
          <w:tcPr>
            <w:tcW w:w="1080" w:type="dxa"/>
            <w:hideMark/>
          </w:tcPr>
          <w:p w14:paraId="7A4DF1CA" w14:textId="77777777" w:rsidR="00000000" w:rsidRDefault="002F725F">
            <w:pPr>
              <w:rPr>
                <w:sz w:val="20"/>
                <w:szCs w:val="20"/>
              </w:rPr>
            </w:pPr>
          </w:p>
        </w:tc>
        <w:tc>
          <w:tcPr>
            <w:tcW w:w="360" w:type="dxa"/>
            <w:hideMark/>
          </w:tcPr>
          <w:p w14:paraId="1B41CA58" w14:textId="77777777" w:rsidR="00000000" w:rsidRDefault="002F725F">
            <w:pPr>
              <w:rPr>
                <w:rFonts w:eastAsia="Times New Roman"/>
                <w:sz w:val="20"/>
                <w:szCs w:val="20"/>
              </w:rPr>
            </w:pPr>
            <w:r>
              <w:rPr>
                <w:rFonts w:eastAsia="Times New Roman"/>
                <w:sz w:val="20"/>
                <w:szCs w:val="20"/>
              </w:rPr>
              <w:t>●</w:t>
            </w:r>
          </w:p>
        </w:tc>
        <w:tc>
          <w:tcPr>
            <w:tcW w:w="0" w:type="auto"/>
            <w:hideMark/>
          </w:tcPr>
          <w:p w14:paraId="45FC6477" w14:textId="77777777" w:rsidR="00000000" w:rsidRDefault="002F725F">
            <w:pPr>
              <w:jc w:val="both"/>
              <w:rPr>
                <w:rFonts w:eastAsia="Times New Roman"/>
                <w:sz w:val="20"/>
                <w:szCs w:val="20"/>
              </w:rPr>
            </w:pPr>
            <w:r>
              <w:rPr>
                <w:rFonts w:eastAsia="Times New Roman"/>
                <w:sz w:val="20"/>
                <w:szCs w:val="20"/>
              </w:rPr>
              <w:t>“SPECIAL FACTORS—Purposes of and Reasons for the Merger”</w:t>
            </w:r>
          </w:p>
        </w:tc>
      </w:tr>
    </w:tbl>
    <w:p w14:paraId="68197C1D"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4F78086" w14:textId="77777777">
        <w:trPr>
          <w:divId w:val="305475121"/>
          <w:tblCellSpacing w:w="0" w:type="dxa"/>
        </w:trPr>
        <w:tc>
          <w:tcPr>
            <w:tcW w:w="1080" w:type="dxa"/>
            <w:hideMark/>
          </w:tcPr>
          <w:p w14:paraId="34BB5AD9" w14:textId="77777777" w:rsidR="00000000" w:rsidRDefault="002F725F">
            <w:pPr>
              <w:rPr>
                <w:sz w:val="20"/>
                <w:szCs w:val="20"/>
              </w:rPr>
            </w:pPr>
          </w:p>
        </w:tc>
        <w:tc>
          <w:tcPr>
            <w:tcW w:w="360" w:type="dxa"/>
            <w:hideMark/>
          </w:tcPr>
          <w:p w14:paraId="12990968" w14:textId="77777777" w:rsidR="00000000" w:rsidRDefault="002F725F">
            <w:pPr>
              <w:rPr>
                <w:rFonts w:eastAsia="Times New Roman"/>
                <w:sz w:val="20"/>
                <w:szCs w:val="20"/>
              </w:rPr>
            </w:pPr>
            <w:r>
              <w:rPr>
                <w:rFonts w:eastAsia="Times New Roman"/>
                <w:sz w:val="20"/>
                <w:szCs w:val="20"/>
              </w:rPr>
              <w:t>●</w:t>
            </w:r>
          </w:p>
        </w:tc>
        <w:tc>
          <w:tcPr>
            <w:tcW w:w="0" w:type="auto"/>
            <w:hideMark/>
          </w:tcPr>
          <w:p w14:paraId="140A94B4" w14:textId="77777777" w:rsidR="00000000" w:rsidRDefault="002F725F">
            <w:pPr>
              <w:jc w:val="both"/>
              <w:rPr>
                <w:rFonts w:eastAsia="Times New Roman"/>
                <w:sz w:val="20"/>
                <w:szCs w:val="20"/>
              </w:rPr>
            </w:pPr>
            <w:r>
              <w:rPr>
                <w:rFonts w:eastAsia="Times New Roman"/>
                <w:sz w:val="20"/>
                <w:szCs w:val="20"/>
              </w:rPr>
              <w:t>“SPECIAL FACTORS—Alternatives to the Merger”</w:t>
            </w:r>
          </w:p>
        </w:tc>
      </w:tr>
    </w:tbl>
    <w:p w14:paraId="560A8B4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10529EC" w14:textId="77777777">
        <w:trPr>
          <w:divId w:val="305475121"/>
          <w:tblCellSpacing w:w="0" w:type="dxa"/>
        </w:trPr>
        <w:tc>
          <w:tcPr>
            <w:tcW w:w="1080" w:type="dxa"/>
            <w:hideMark/>
          </w:tcPr>
          <w:p w14:paraId="6D8E8466" w14:textId="77777777" w:rsidR="00000000" w:rsidRDefault="002F725F">
            <w:pPr>
              <w:rPr>
                <w:sz w:val="20"/>
                <w:szCs w:val="20"/>
              </w:rPr>
            </w:pPr>
          </w:p>
        </w:tc>
        <w:tc>
          <w:tcPr>
            <w:tcW w:w="360" w:type="dxa"/>
            <w:hideMark/>
          </w:tcPr>
          <w:p w14:paraId="0F7A3A30" w14:textId="77777777" w:rsidR="00000000" w:rsidRDefault="002F725F">
            <w:pPr>
              <w:rPr>
                <w:rFonts w:eastAsia="Times New Roman"/>
                <w:sz w:val="20"/>
                <w:szCs w:val="20"/>
              </w:rPr>
            </w:pPr>
            <w:r>
              <w:rPr>
                <w:rFonts w:eastAsia="Times New Roman"/>
                <w:sz w:val="20"/>
                <w:szCs w:val="20"/>
              </w:rPr>
              <w:t>●</w:t>
            </w:r>
          </w:p>
        </w:tc>
        <w:tc>
          <w:tcPr>
            <w:tcW w:w="0" w:type="auto"/>
            <w:hideMark/>
          </w:tcPr>
          <w:p w14:paraId="5F170419" w14:textId="77777777" w:rsidR="00000000" w:rsidRDefault="002F725F">
            <w:pPr>
              <w:jc w:val="both"/>
              <w:rPr>
                <w:rFonts w:eastAsia="Times New Roman"/>
                <w:sz w:val="20"/>
                <w:szCs w:val="20"/>
              </w:rPr>
            </w:pPr>
            <w:r>
              <w:rPr>
                <w:rFonts w:eastAsia="Times New Roman"/>
                <w:sz w:val="20"/>
                <w:szCs w:val="20"/>
              </w:rPr>
              <w:t>“SPECIAL FACTORS—Effects of the Merger on the Company”</w:t>
            </w:r>
          </w:p>
        </w:tc>
      </w:tr>
    </w:tbl>
    <w:p w14:paraId="0E25F95C"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p w14:paraId="61DC01DB" w14:textId="77777777" w:rsidR="00000000" w:rsidRDefault="002F725F">
      <w:pPr>
        <w:pStyle w:val="NormalWeb"/>
        <w:spacing w:before="0" w:beforeAutospacing="0" w:after="0" w:afterAutospacing="0"/>
        <w:jc w:val="center"/>
        <w:divId w:val="745570301"/>
        <w:rPr>
          <w:sz w:val="20"/>
          <w:szCs w:val="20"/>
        </w:rPr>
      </w:pPr>
      <w:r>
        <w:rPr>
          <w:sz w:val="20"/>
          <w:szCs w:val="20"/>
        </w:rPr>
        <w:t>8</w:t>
      </w:r>
    </w:p>
    <w:p w14:paraId="50401AAE"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09097A03" w14:textId="77777777">
        <w:trPr>
          <w:divId w:val="305475121"/>
          <w:tblCellSpacing w:w="0" w:type="dxa"/>
        </w:trPr>
        <w:tc>
          <w:tcPr>
            <w:tcW w:w="6" w:type="dxa"/>
            <w:hideMark/>
          </w:tcPr>
          <w:p w14:paraId="464C632C" w14:textId="77777777" w:rsidR="00000000" w:rsidRDefault="002F725F">
            <w:pPr>
              <w:rPr>
                <w:sz w:val="20"/>
                <w:szCs w:val="20"/>
              </w:rPr>
            </w:pPr>
          </w:p>
        </w:tc>
        <w:tc>
          <w:tcPr>
            <w:tcW w:w="1080" w:type="dxa"/>
            <w:hideMark/>
          </w:tcPr>
          <w:p w14:paraId="7B856047" w14:textId="77777777" w:rsidR="00000000" w:rsidRDefault="002F725F">
            <w:pPr>
              <w:rPr>
                <w:rFonts w:eastAsia="Times New Roman"/>
                <w:sz w:val="20"/>
                <w:szCs w:val="20"/>
              </w:rPr>
            </w:pPr>
            <w:r>
              <w:rPr>
                <w:rFonts w:eastAsia="Times New Roman"/>
                <w:sz w:val="20"/>
                <w:szCs w:val="20"/>
              </w:rPr>
              <w:t>(d)</w:t>
            </w:r>
          </w:p>
        </w:tc>
        <w:tc>
          <w:tcPr>
            <w:tcW w:w="0" w:type="auto"/>
            <w:hideMark/>
          </w:tcPr>
          <w:p w14:paraId="46CB8711" w14:textId="77777777" w:rsidR="00000000" w:rsidRDefault="002F725F">
            <w:pPr>
              <w:jc w:val="both"/>
              <w:rPr>
                <w:rFonts w:eastAsia="Times New Roman"/>
                <w:sz w:val="20"/>
                <w:szCs w:val="20"/>
              </w:rPr>
            </w:pPr>
            <w:r>
              <w:rPr>
                <w:rFonts w:eastAsia="Times New Roman"/>
                <w:sz w:val="20"/>
                <w:szCs w:val="20"/>
              </w:rPr>
              <w:t>Effects. The information set forth in the Proxy Statement under the following captions is incorporated herein by reference:</w:t>
            </w:r>
          </w:p>
        </w:tc>
      </w:tr>
    </w:tbl>
    <w:p w14:paraId="4B9A689B"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EBFE27A" w14:textId="77777777">
        <w:trPr>
          <w:divId w:val="305475121"/>
          <w:tblCellSpacing w:w="0" w:type="dxa"/>
        </w:trPr>
        <w:tc>
          <w:tcPr>
            <w:tcW w:w="1080" w:type="dxa"/>
            <w:hideMark/>
          </w:tcPr>
          <w:p w14:paraId="7DABDFE4" w14:textId="77777777" w:rsidR="00000000" w:rsidRDefault="002F725F">
            <w:pPr>
              <w:rPr>
                <w:sz w:val="20"/>
                <w:szCs w:val="20"/>
              </w:rPr>
            </w:pPr>
          </w:p>
        </w:tc>
        <w:tc>
          <w:tcPr>
            <w:tcW w:w="360" w:type="dxa"/>
            <w:hideMark/>
          </w:tcPr>
          <w:p w14:paraId="45B92903" w14:textId="77777777" w:rsidR="00000000" w:rsidRDefault="002F725F">
            <w:pPr>
              <w:rPr>
                <w:rFonts w:eastAsia="Times New Roman"/>
                <w:sz w:val="20"/>
                <w:szCs w:val="20"/>
              </w:rPr>
            </w:pPr>
            <w:r>
              <w:rPr>
                <w:rFonts w:eastAsia="Times New Roman"/>
                <w:sz w:val="20"/>
                <w:szCs w:val="20"/>
              </w:rPr>
              <w:t>●</w:t>
            </w:r>
          </w:p>
        </w:tc>
        <w:tc>
          <w:tcPr>
            <w:tcW w:w="0" w:type="auto"/>
            <w:hideMark/>
          </w:tcPr>
          <w:p w14:paraId="6B67233E" w14:textId="77777777" w:rsidR="00000000" w:rsidRDefault="002F725F">
            <w:pPr>
              <w:jc w:val="both"/>
              <w:rPr>
                <w:rFonts w:eastAsia="Times New Roman"/>
                <w:sz w:val="20"/>
                <w:szCs w:val="20"/>
              </w:rPr>
            </w:pPr>
            <w:r>
              <w:rPr>
                <w:rFonts w:eastAsia="Times New Roman"/>
                <w:sz w:val="20"/>
                <w:szCs w:val="20"/>
              </w:rPr>
              <w:t>“SUMMARY TERM SHEET—Purposes and Effects of the Merger”</w:t>
            </w:r>
          </w:p>
        </w:tc>
      </w:tr>
    </w:tbl>
    <w:p w14:paraId="52606452"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EC92927" w14:textId="77777777">
        <w:trPr>
          <w:divId w:val="305475121"/>
          <w:tblCellSpacing w:w="0" w:type="dxa"/>
        </w:trPr>
        <w:tc>
          <w:tcPr>
            <w:tcW w:w="1080" w:type="dxa"/>
            <w:hideMark/>
          </w:tcPr>
          <w:p w14:paraId="56F57D52" w14:textId="77777777" w:rsidR="00000000" w:rsidRDefault="002F725F">
            <w:pPr>
              <w:rPr>
                <w:sz w:val="20"/>
                <w:szCs w:val="20"/>
              </w:rPr>
            </w:pPr>
          </w:p>
        </w:tc>
        <w:tc>
          <w:tcPr>
            <w:tcW w:w="360" w:type="dxa"/>
            <w:hideMark/>
          </w:tcPr>
          <w:p w14:paraId="22D5A355" w14:textId="77777777" w:rsidR="00000000" w:rsidRDefault="002F725F">
            <w:pPr>
              <w:rPr>
                <w:rFonts w:eastAsia="Times New Roman"/>
                <w:sz w:val="20"/>
                <w:szCs w:val="20"/>
              </w:rPr>
            </w:pPr>
            <w:r>
              <w:rPr>
                <w:rFonts w:eastAsia="Times New Roman"/>
                <w:sz w:val="20"/>
                <w:szCs w:val="20"/>
              </w:rPr>
              <w:t>●</w:t>
            </w:r>
          </w:p>
        </w:tc>
        <w:tc>
          <w:tcPr>
            <w:tcW w:w="0" w:type="auto"/>
            <w:hideMark/>
          </w:tcPr>
          <w:p w14:paraId="78E7C6F9" w14:textId="77777777" w:rsidR="00000000" w:rsidRDefault="002F725F">
            <w:pPr>
              <w:jc w:val="both"/>
              <w:rPr>
                <w:rFonts w:eastAsia="Times New Roman"/>
                <w:sz w:val="20"/>
                <w:szCs w:val="20"/>
              </w:rPr>
            </w:pPr>
            <w:r>
              <w:rPr>
                <w:rFonts w:eastAsia="Times New Roman"/>
                <w:sz w:val="20"/>
                <w:szCs w:val="20"/>
              </w:rPr>
              <w:t>“SPECIAL FACTORS—Background of the Merger”</w:t>
            </w:r>
          </w:p>
        </w:tc>
      </w:tr>
    </w:tbl>
    <w:p w14:paraId="363CB02F"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0346185" w14:textId="77777777">
        <w:trPr>
          <w:divId w:val="305475121"/>
          <w:tblCellSpacing w:w="0" w:type="dxa"/>
        </w:trPr>
        <w:tc>
          <w:tcPr>
            <w:tcW w:w="1080" w:type="dxa"/>
            <w:hideMark/>
          </w:tcPr>
          <w:p w14:paraId="513FCE05" w14:textId="77777777" w:rsidR="00000000" w:rsidRDefault="002F725F">
            <w:pPr>
              <w:rPr>
                <w:sz w:val="20"/>
                <w:szCs w:val="20"/>
              </w:rPr>
            </w:pPr>
          </w:p>
        </w:tc>
        <w:tc>
          <w:tcPr>
            <w:tcW w:w="360" w:type="dxa"/>
            <w:hideMark/>
          </w:tcPr>
          <w:p w14:paraId="17CF7295" w14:textId="77777777" w:rsidR="00000000" w:rsidRDefault="002F725F">
            <w:pPr>
              <w:rPr>
                <w:rFonts w:eastAsia="Times New Roman"/>
                <w:sz w:val="20"/>
                <w:szCs w:val="20"/>
              </w:rPr>
            </w:pPr>
            <w:r>
              <w:rPr>
                <w:rFonts w:eastAsia="Times New Roman"/>
                <w:sz w:val="20"/>
                <w:szCs w:val="20"/>
              </w:rPr>
              <w:t>●</w:t>
            </w:r>
          </w:p>
        </w:tc>
        <w:tc>
          <w:tcPr>
            <w:tcW w:w="0" w:type="auto"/>
            <w:hideMark/>
          </w:tcPr>
          <w:p w14:paraId="0C6B6CAA" w14:textId="77777777" w:rsidR="00000000" w:rsidRDefault="002F725F">
            <w:pPr>
              <w:jc w:val="both"/>
              <w:rPr>
                <w:rFonts w:eastAsia="Times New Roman"/>
                <w:sz w:val="20"/>
                <w:szCs w:val="20"/>
              </w:rPr>
            </w:pPr>
            <w:r>
              <w:rPr>
                <w:rFonts w:eastAsia="Times New Roman"/>
                <w:sz w:val="20"/>
                <w:szCs w:val="20"/>
              </w:rPr>
              <w:t>“SPECIAL FACTOR</w:t>
            </w:r>
            <w:r>
              <w:rPr>
                <w:rFonts w:eastAsia="Times New Roman"/>
                <w:sz w:val="20"/>
                <w:szCs w:val="20"/>
              </w:rPr>
              <w:t>S—Reasons for the Merger and Recommendation of the Special Committee and the Board”</w:t>
            </w:r>
          </w:p>
        </w:tc>
      </w:tr>
    </w:tbl>
    <w:p w14:paraId="448DE1C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CCC862F" w14:textId="77777777">
        <w:trPr>
          <w:divId w:val="305475121"/>
          <w:tblCellSpacing w:w="0" w:type="dxa"/>
        </w:trPr>
        <w:tc>
          <w:tcPr>
            <w:tcW w:w="1080" w:type="dxa"/>
            <w:hideMark/>
          </w:tcPr>
          <w:p w14:paraId="121BDE3F" w14:textId="77777777" w:rsidR="00000000" w:rsidRDefault="002F725F">
            <w:pPr>
              <w:rPr>
                <w:sz w:val="20"/>
                <w:szCs w:val="20"/>
              </w:rPr>
            </w:pPr>
          </w:p>
        </w:tc>
        <w:tc>
          <w:tcPr>
            <w:tcW w:w="360" w:type="dxa"/>
            <w:hideMark/>
          </w:tcPr>
          <w:p w14:paraId="5229E4E3" w14:textId="77777777" w:rsidR="00000000" w:rsidRDefault="002F725F">
            <w:pPr>
              <w:rPr>
                <w:rFonts w:eastAsia="Times New Roman"/>
                <w:sz w:val="20"/>
                <w:szCs w:val="20"/>
              </w:rPr>
            </w:pPr>
            <w:r>
              <w:rPr>
                <w:rFonts w:eastAsia="Times New Roman"/>
                <w:sz w:val="20"/>
                <w:szCs w:val="20"/>
              </w:rPr>
              <w:t>●</w:t>
            </w:r>
          </w:p>
        </w:tc>
        <w:tc>
          <w:tcPr>
            <w:tcW w:w="0" w:type="auto"/>
            <w:hideMark/>
          </w:tcPr>
          <w:p w14:paraId="2C3EB5AD" w14:textId="77777777" w:rsidR="00000000" w:rsidRDefault="002F725F">
            <w:pPr>
              <w:jc w:val="both"/>
              <w:rPr>
                <w:rFonts w:eastAsia="Times New Roman"/>
                <w:sz w:val="20"/>
                <w:szCs w:val="20"/>
              </w:rPr>
            </w:pPr>
            <w:r>
              <w:rPr>
                <w:rFonts w:eastAsia="Times New Roman"/>
                <w:sz w:val="20"/>
                <w:szCs w:val="20"/>
              </w:rPr>
              <w:t>“SPECIAL FACTORS—Effects of the Merger on the Company”</w:t>
            </w:r>
          </w:p>
        </w:tc>
      </w:tr>
    </w:tbl>
    <w:p w14:paraId="4D44BF32"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2963938" w14:textId="77777777">
        <w:trPr>
          <w:divId w:val="305475121"/>
          <w:tblCellSpacing w:w="0" w:type="dxa"/>
        </w:trPr>
        <w:tc>
          <w:tcPr>
            <w:tcW w:w="1080" w:type="dxa"/>
            <w:hideMark/>
          </w:tcPr>
          <w:p w14:paraId="6167C065" w14:textId="77777777" w:rsidR="00000000" w:rsidRDefault="002F725F">
            <w:pPr>
              <w:rPr>
                <w:sz w:val="20"/>
                <w:szCs w:val="20"/>
              </w:rPr>
            </w:pPr>
          </w:p>
        </w:tc>
        <w:tc>
          <w:tcPr>
            <w:tcW w:w="360" w:type="dxa"/>
            <w:hideMark/>
          </w:tcPr>
          <w:p w14:paraId="644CDDB9" w14:textId="77777777" w:rsidR="00000000" w:rsidRDefault="002F725F">
            <w:pPr>
              <w:rPr>
                <w:rFonts w:eastAsia="Times New Roman"/>
                <w:sz w:val="20"/>
                <w:szCs w:val="20"/>
              </w:rPr>
            </w:pPr>
            <w:r>
              <w:rPr>
                <w:rFonts w:eastAsia="Times New Roman"/>
                <w:sz w:val="20"/>
                <w:szCs w:val="20"/>
              </w:rPr>
              <w:t>●</w:t>
            </w:r>
          </w:p>
        </w:tc>
        <w:tc>
          <w:tcPr>
            <w:tcW w:w="0" w:type="auto"/>
            <w:hideMark/>
          </w:tcPr>
          <w:p w14:paraId="73E2E5C9" w14:textId="77777777" w:rsidR="00000000" w:rsidRDefault="002F725F">
            <w:pPr>
              <w:jc w:val="both"/>
              <w:rPr>
                <w:rFonts w:eastAsia="Times New Roman"/>
                <w:sz w:val="20"/>
                <w:szCs w:val="20"/>
              </w:rPr>
            </w:pPr>
            <w:r>
              <w:rPr>
                <w:rFonts w:eastAsia="Times New Roman"/>
                <w:sz w:val="20"/>
                <w:szCs w:val="20"/>
              </w:rPr>
              <w:t>“SPECIAL FACTORS—Plans for the Company after the Merger”</w:t>
            </w:r>
          </w:p>
        </w:tc>
      </w:tr>
    </w:tbl>
    <w:p w14:paraId="381DF415"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28CB95E" w14:textId="77777777">
        <w:trPr>
          <w:divId w:val="305475121"/>
          <w:tblCellSpacing w:w="0" w:type="dxa"/>
        </w:trPr>
        <w:tc>
          <w:tcPr>
            <w:tcW w:w="1080" w:type="dxa"/>
            <w:hideMark/>
          </w:tcPr>
          <w:p w14:paraId="7029A231" w14:textId="77777777" w:rsidR="00000000" w:rsidRDefault="002F725F">
            <w:pPr>
              <w:rPr>
                <w:sz w:val="20"/>
                <w:szCs w:val="20"/>
              </w:rPr>
            </w:pPr>
          </w:p>
        </w:tc>
        <w:tc>
          <w:tcPr>
            <w:tcW w:w="360" w:type="dxa"/>
            <w:hideMark/>
          </w:tcPr>
          <w:p w14:paraId="08402678" w14:textId="77777777" w:rsidR="00000000" w:rsidRDefault="002F725F">
            <w:pPr>
              <w:rPr>
                <w:rFonts w:eastAsia="Times New Roman"/>
                <w:sz w:val="20"/>
                <w:szCs w:val="20"/>
              </w:rPr>
            </w:pPr>
            <w:r>
              <w:rPr>
                <w:rFonts w:eastAsia="Times New Roman"/>
                <w:sz w:val="20"/>
                <w:szCs w:val="20"/>
              </w:rPr>
              <w:t>●</w:t>
            </w:r>
          </w:p>
        </w:tc>
        <w:tc>
          <w:tcPr>
            <w:tcW w:w="0" w:type="auto"/>
            <w:hideMark/>
          </w:tcPr>
          <w:p w14:paraId="20107607" w14:textId="77777777" w:rsidR="00000000" w:rsidRDefault="002F725F">
            <w:pPr>
              <w:jc w:val="both"/>
              <w:rPr>
                <w:rFonts w:eastAsia="Times New Roman"/>
                <w:sz w:val="20"/>
                <w:szCs w:val="20"/>
              </w:rPr>
            </w:pPr>
            <w:r>
              <w:rPr>
                <w:rFonts w:eastAsia="Times New Roman"/>
                <w:sz w:val="20"/>
                <w:szCs w:val="20"/>
              </w:rPr>
              <w:t>“SPECIAL FACTORS—</w:t>
            </w:r>
            <w:r>
              <w:rPr>
                <w:rFonts w:eastAsia="Times New Roman"/>
                <w:sz w:val="20"/>
                <w:szCs w:val="20"/>
              </w:rPr>
              <w:t>Effects on the Company if the Merger Is Not Completed”</w:t>
            </w:r>
          </w:p>
        </w:tc>
      </w:tr>
    </w:tbl>
    <w:p w14:paraId="5BB02848"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3C9507C" w14:textId="77777777">
        <w:trPr>
          <w:divId w:val="305475121"/>
          <w:tblCellSpacing w:w="0" w:type="dxa"/>
        </w:trPr>
        <w:tc>
          <w:tcPr>
            <w:tcW w:w="1080" w:type="dxa"/>
            <w:hideMark/>
          </w:tcPr>
          <w:p w14:paraId="100649E5" w14:textId="77777777" w:rsidR="00000000" w:rsidRDefault="002F725F">
            <w:pPr>
              <w:rPr>
                <w:sz w:val="20"/>
                <w:szCs w:val="20"/>
              </w:rPr>
            </w:pPr>
          </w:p>
        </w:tc>
        <w:tc>
          <w:tcPr>
            <w:tcW w:w="360" w:type="dxa"/>
            <w:hideMark/>
          </w:tcPr>
          <w:p w14:paraId="5C4D93B5" w14:textId="77777777" w:rsidR="00000000" w:rsidRDefault="002F725F">
            <w:pPr>
              <w:rPr>
                <w:rFonts w:eastAsia="Times New Roman"/>
                <w:sz w:val="20"/>
                <w:szCs w:val="20"/>
              </w:rPr>
            </w:pPr>
            <w:r>
              <w:rPr>
                <w:rFonts w:eastAsia="Times New Roman"/>
                <w:sz w:val="20"/>
                <w:szCs w:val="20"/>
              </w:rPr>
              <w:t>●</w:t>
            </w:r>
          </w:p>
        </w:tc>
        <w:tc>
          <w:tcPr>
            <w:tcW w:w="0" w:type="auto"/>
            <w:hideMark/>
          </w:tcPr>
          <w:p w14:paraId="27286577" w14:textId="77777777" w:rsidR="00000000" w:rsidRDefault="002F725F">
            <w:pPr>
              <w:jc w:val="both"/>
              <w:rPr>
                <w:rFonts w:eastAsia="Times New Roman"/>
                <w:sz w:val="20"/>
                <w:szCs w:val="20"/>
              </w:rPr>
            </w:pPr>
            <w:r>
              <w:rPr>
                <w:rFonts w:eastAsia="Times New Roman"/>
                <w:sz w:val="20"/>
                <w:szCs w:val="20"/>
              </w:rPr>
              <w:t>“SPECIAL FACTORS—Interests of Certain Persons in the Merger”</w:t>
            </w:r>
          </w:p>
        </w:tc>
      </w:tr>
    </w:tbl>
    <w:p w14:paraId="6D217F1C"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AC32B05" w14:textId="77777777">
        <w:trPr>
          <w:divId w:val="305475121"/>
          <w:tblCellSpacing w:w="0" w:type="dxa"/>
        </w:trPr>
        <w:tc>
          <w:tcPr>
            <w:tcW w:w="1080" w:type="dxa"/>
            <w:hideMark/>
          </w:tcPr>
          <w:p w14:paraId="39163BC0" w14:textId="77777777" w:rsidR="00000000" w:rsidRDefault="002F725F">
            <w:pPr>
              <w:rPr>
                <w:sz w:val="20"/>
                <w:szCs w:val="20"/>
              </w:rPr>
            </w:pPr>
          </w:p>
        </w:tc>
        <w:tc>
          <w:tcPr>
            <w:tcW w:w="360" w:type="dxa"/>
            <w:hideMark/>
          </w:tcPr>
          <w:p w14:paraId="24FF01DA" w14:textId="77777777" w:rsidR="00000000" w:rsidRDefault="002F725F">
            <w:pPr>
              <w:rPr>
                <w:rFonts w:eastAsia="Times New Roman"/>
                <w:sz w:val="20"/>
                <w:szCs w:val="20"/>
              </w:rPr>
            </w:pPr>
            <w:r>
              <w:rPr>
                <w:rFonts w:eastAsia="Times New Roman"/>
                <w:sz w:val="20"/>
                <w:szCs w:val="20"/>
              </w:rPr>
              <w:t>●</w:t>
            </w:r>
          </w:p>
        </w:tc>
        <w:tc>
          <w:tcPr>
            <w:tcW w:w="0" w:type="auto"/>
            <w:hideMark/>
          </w:tcPr>
          <w:p w14:paraId="65F6DE83" w14:textId="77777777" w:rsidR="00000000" w:rsidRDefault="002F725F">
            <w:pPr>
              <w:jc w:val="both"/>
              <w:rPr>
                <w:rFonts w:eastAsia="Times New Roman"/>
                <w:sz w:val="20"/>
                <w:szCs w:val="20"/>
              </w:rPr>
            </w:pPr>
            <w:r>
              <w:rPr>
                <w:rFonts w:eastAsia="Times New Roman"/>
                <w:sz w:val="20"/>
                <w:szCs w:val="20"/>
              </w:rPr>
              <w:t>“SPECIAL FACTORS—U.S. Federal Income Tax Consequences”</w:t>
            </w:r>
          </w:p>
        </w:tc>
      </w:tr>
    </w:tbl>
    <w:p w14:paraId="3C563A14"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A7423DE" w14:textId="77777777">
        <w:trPr>
          <w:divId w:val="305475121"/>
          <w:tblCellSpacing w:w="0" w:type="dxa"/>
        </w:trPr>
        <w:tc>
          <w:tcPr>
            <w:tcW w:w="1080" w:type="dxa"/>
            <w:hideMark/>
          </w:tcPr>
          <w:p w14:paraId="52FEF43F" w14:textId="77777777" w:rsidR="00000000" w:rsidRDefault="002F725F">
            <w:pPr>
              <w:rPr>
                <w:sz w:val="20"/>
                <w:szCs w:val="20"/>
              </w:rPr>
            </w:pPr>
          </w:p>
        </w:tc>
        <w:tc>
          <w:tcPr>
            <w:tcW w:w="360" w:type="dxa"/>
            <w:hideMark/>
          </w:tcPr>
          <w:p w14:paraId="19ECECB5" w14:textId="77777777" w:rsidR="00000000" w:rsidRDefault="002F725F">
            <w:pPr>
              <w:rPr>
                <w:rFonts w:eastAsia="Times New Roman"/>
                <w:sz w:val="20"/>
                <w:szCs w:val="20"/>
              </w:rPr>
            </w:pPr>
            <w:r>
              <w:rPr>
                <w:rFonts w:eastAsia="Times New Roman"/>
                <w:sz w:val="20"/>
                <w:szCs w:val="20"/>
              </w:rPr>
              <w:t>●</w:t>
            </w:r>
          </w:p>
        </w:tc>
        <w:tc>
          <w:tcPr>
            <w:tcW w:w="0" w:type="auto"/>
            <w:hideMark/>
          </w:tcPr>
          <w:p w14:paraId="31418ABC" w14:textId="77777777" w:rsidR="00000000" w:rsidRDefault="002F725F">
            <w:pPr>
              <w:jc w:val="both"/>
              <w:rPr>
                <w:rFonts w:eastAsia="Times New Roman"/>
                <w:sz w:val="20"/>
                <w:szCs w:val="20"/>
              </w:rPr>
            </w:pPr>
            <w:r>
              <w:rPr>
                <w:rFonts w:eastAsia="Times New Roman"/>
                <w:sz w:val="20"/>
                <w:szCs w:val="20"/>
              </w:rPr>
              <w:t>“SPECIAL FACTORS—</w:t>
            </w:r>
            <w:r>
              <w:rPr>
                <w:rFonts w:eastAsia="Times New Roman"/>
                <w:sz w:val="20"/>
                <w:szCs w:val="20"/>
              </w:rPr>
              <w:t>PRC Income Tax Consequences”</w:t>
            </w:r>
          </w:p>
        </w:tc>
      </w:tr>
    </w:tbl>
    <w:p w14:paraId="1490BFC3"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463EBBD" w14:textId="77777777">
        <w:trPr>
          <w:divId w:val="305475121"/>
          <w:tblCellSpacing w:w="0" w:type="dxa"/>
        </w:trPr>
        <w:tc>
          <w:tcPr>
            <w:tcW w:w="1080" w:type="dxa"/>
            <w:hideMark/>
          </w:tcPr>
          <w:p w14:paraId="10195397" w14:textId="77777777" w:rsidR="00000000" w:rsidRDefault="002F725F">
            <w:pPr>
              <w:rPr>
                <w:sz w:val="20"/>
                <w:szCs w:val="20"/>
              </w:rPr>
            </w:pPr>
          </w:p>
        </w:tc>
        <w:tc>
          <w:tcPr>
            <w:tcW w:w="360" w:type="dxa"/>
            <w:hideMark/>
          </w:tcPr>
          <w:p w14:paraId="36A880BA" w14:textId="77777777" w:rsidR="00000000" w:rsidRDefault="002F725F">
            <w:pPr>
              <w:rPr>
                <w:rFonts w:eastAsia="Times New Roman"/>
                <w:sz w:val="20"/>
                <w:szCs w:val="20"/>
              </w:rPr>
            </w:pPr>
            <w:r>
              <w:rPr>
                <w:rFonts w:eastAsia="Times New Roman"/>
                <w:sz w:val="20"/>
                <w:szCs w:val="20"/>
              </w:rPr>
              <w:t>●</w:t>
            </w:r>
          </w:p>
        </w:tc>
        <w:tc>
          <w:tcPr>
            <w:tcW w:w="0" w:type="auto"/>
            <w:hideMark/>
          </w:tcPr>
          <w:p w14:paraId="795F343C" w14:textId="77777777" w:rsidR="00000000" w:rsidRDefault="002F725F">
            <w:pPr>
              <w:jc w:val="both"/>
              <w:rPr>
                <w:rFonts w:eastAsia="Times New Roman"/>
                <w:sz w:val="20"/>
                <w:szCs w:val="20"/>
              </w:rPr>
            </w:pPr>
            <w:r>
              <w:rPr>
                <w:rFonts w:eastAsia="Times New Roman"/>
                <w:sz w:val="20"/>
                <w:szCs w:val="20"/>
              </w:rPr>
              <w:t>“SPECIAL FACTORS—Cayman Islands Tax Consequences”</w:t>
            </w:r>
          </w:p>
        </w:tc>
      </w:tr>
    </w:tbl>
    <w:p w14:paraId="18579AF0"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E5DE015" w14:textId="77777777">
        <w:trPr>
          <w:divId w:val="305475121"/>
          <w:tblCellSpacing w:w="0" w:type="dxa"/>
        </w:trPr>
        <w:tc>
          <w:tcPr>
            <w:tcW w:w="1080" w:type="dxa"/>
            <w:hideMark/>
          </w:tcPr>
          <w:p w14:paraId="73DFA487" w14:textId="77777777" w:rsidR="00000000" w:rsidRDefault="002F725F">
            <w:pPr>
              <w:rPr>
                <w:sz w:val="20"/>
                <w:szCs w:val="20"/>
              </w:rPr>
            </w:pPr>
          </w:p>
        </w:tc>
        <w:tc>
          <w:tcPr>
            <w:tcW w:w="360" w:type="dxa"/>
            <w:hideMark/>
          </w:tcPr>
          <w:p w14:paraId="65B7C9D9" w14:textId="77777777" w:rsidR="00000000" w:rsidRDefault="002F725F">
            <w:pPr>
              <w:rPr>
                <w:rFonts w:eastAsia="Times New Roman"/>
                <w:sz w:val="20"/>
                <w:szCs w:val="20"/>
              </w:rPr>
            </w:pPr>
            <w:r>
              <w:rPr>
                <w:rFonts w:eastAsia="Times New Roman"/>
                <w:sz w:val="20"/>
                <w:szCs w:val="20"/>
              </w:rPr>
              <w:t>●</w:t>
            </w:r>
          </w:p>
        </w:tc>
        <w:tc>
          <w:tcPr>
            <w:tcW w:w="0" w:type="auto"/>
            <w:hideMark/>
          </w:tcPr>
          <w:p w14:paraId="56C77EF2" w14:textId="77777777" w:rsidR="00000000" w:rsidRDefault="002F725F">
            <w:pPr>
              <w:jc w:val="both"/>
              <w:rPr>
                <w:rFonts w:eastAsia="Times New Roman"/>
                <w:sz w:val="20"/>
                <w:szCs w:val="20"/>
              </w:rPr>
            </w:pPr>
            <w:r>
              <w:rPr>
                <w:rFonts w:eastAsia="Times New Roman"/>
                <w:sz w:val="20"/>
                <w:szCs w:val="20"/>
              </w:rPr>
              <w:t>“THE MERGER AGREEMENT”</w:t>
            </w:r>
          </w:p>
        </w:tc>
      </w:tr>
    </w:tbl>
    <w:p w14:paraId="326A5B20"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024BC45" w14:textId="77777777">
        <w:trPr>
          <w:divId w:val="305475121"/>
          <w:tblCellSpacing w:w="0" w:type="dxa"/>
        </w:trPr>
        <w:tc>
          <w:tcPr>
            <w:tcW w:w="1080" w:type="dxa"/>
            <w:hideMark/>
          </w:tcPr>
          <w:p w14:paraId="353697C4" w14:textId="77777777" w:rsidR="00000000" w:rsidRDefault="002F725F">
            <w:pPr>
              <w:rPr>
                <w:sz w:val="20"/>
                <w:szCs w:val="20"/>
              </w:rPr>
            </w:pPr>
          </w:p>
        </w:tc>
        <w:tc>
          <w:tcPr>
            <w:tcW w:w="360" w:type="dxa"/>
            <w:hideMark/>
          </w:tcPr>
          <w:p w14:paraId="0A691C70" w14:textId="77777777" w:rsidR="00000000" w:rsidRDefault="002F725F">
            <w:pPr>
              <w:rPr>
                <w:rFonts w:eastAsia="Times New Roman"/>
                <w:sz w:val="20"/>
                <w:szCs w:val="20"/>
              </w:rPr>
            </w:pPr>
            <w:r>
              <w:rPr>
                <w:rFonts w:eastAsia="Times New Roman"/>
                <w:sz w:val="20"/>
                <w:szCs w:val="20"/>
              </w:rPr>
              <w:t>●</w:t>
            </w:r>
          </w:p>
        </w:tc>
        <w:tc>
          <w:tcPr>
            <w:tcW w:w="0" w:type="auto"/>
            <w:hideMark/>
          </w:tcPr>
          <w:p w14:paraId="7D74AD2E" w14:textId="77777777" w:rsidR="00000000" w:rsidRDefault="002F725F">
            <w:pPr>
              <w:jc w:val="both"/>
              <w:rPr>
                <w:rFonts w:eastAsia="Times New Roman"/>
                <w:sz w:val="20"/>
                <w:szCs w:val="20"/>
              </w:rPr>
            </w:pPr>
            <w:r>
              <w:rPr>
                <w:rFonts w:eastAsia="Times New Roman"/>
                <w:sz w:val="20"/>
                <w:szCs w:val="20"/>
              </w:rPr>
              <w:t>“ANNEX A—AGREEMENT AND PLAN OF MERGER AND AMENDMENT NO. 1 TO AGREEMENT AND PLAN OF MERGER”</w:t>
            </w:r>
          </w:p>
        </w:tc>
      </w:tr>
    </w:tbl>
    <w:p w14:paraId="1C574E9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C8A2112" w14:textId="77777777">
        <w:trPr>
          <w:divId w:val="305475121"/>
          <w:tblCellSpacing w:w="0" w:type="dxa"/>
        </w:trPr>
        <w:tc>
          <w:tcPr>
            <w:tcW w:w="1080" w:type="dxa"/>
            <w:hideMark/>
          </w:tcPr>
          <w:p w14:paraId="5C6F31E0" w14:textId="77777777" w:rsidR="00000000" w:rsidRDefault="002F725F">
            <w:pPr>
              <w:rPr>
                <w:sz w:val="20"/>
                <w:szCs w:val="20"/>
              </w:rPr>
            </w:pPr>
          </w:p>
        </w:tc>
        <w:tc>
          <w:tcPr>
            <w:tcW w:w="360" w:type="dxa"/>
            <w:hideMark/>
          </w:tcPr>
          <w:p w14:paraId="30D954FD" w14:textId="77777777" w:rsidR="00000000" w:rsidRDefault="002F725F">
            <w:pPr>
              <w:rPr>
                <w:rFonts w:eastAsia="Times New Roman"/>
                <w:sz w:val="20"/>
                <w:szCs w:val="20"/>
              </w:rPr>
            </w:pPr>
            <w:r>
              <w:rPr>
                <w:rFonts w:eastAsia="Times New Roman"/>
                <w:sz w:val="20"/>
                <w:szCs w:val="20"/>
              </w:rPr>
              <w:t>●</w:t>
            </w:r>
          </w:p>
        </w:tc>
        <w:tc>
          <w:tcPr>
            <w:tcW w:w="0" w:type="auto"/>
            <w:hideMark/>
          </w:tcPr>
          <w:p w14:paraId="1C9E35FE" w14:textId="77777777" w:rsidR="00000000" w:rsidRDefault="002F725F">
            <w:pPr>
              <w:jc w:val="both"/>
              <w:rPr>
                <w:rFonts w:eastAsia="Times New Roman"/>
                <w:sz w:val="20"/>
                <w:szCs w:val="20"/>
              </w:rPr>
            </w:pPr>
            <w:r>
              <w:rPr>
                <w:rFonts w:eastAsia="Times New Roman"/>
                <w:sz w:val="20"/>
                <w:szCs w:val="20"/>
              </w:rPr>
              <w:t>“ANNEX B—PLAN OF MERGER”</w:t>
            </w:r>
          </w:p>
        </w:tc>
      </w:tr>
    </w:tbl>
    <w:p w14:paraId="5A239A89"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661E2563" w14:textId="77777777">
        <w:trPr>
          <w:divId w:val="305475121"/>
          <w:tblCellSpacing w:w="0" w:type="dxa"/>
        </w:trPr>
        <w:tc>
          <w:tcPr>
            <w:tcW w:w="0" w:type="pct"/>
            <w:hideMark/>
          </w:tcPr>
          <w:p w14:paraId="22EC624C" w14:textId="77777777" w:rsidR="00000000" w:rsidRDefault="002F725F">
            <w:pPr>
              <w:rPr>
                <w:sz w:val="20"/>
                <w:szCs w:val="20"/>
              </w:rPr>
            </w:pPr>
            <w:bookmarkStart w:id="8" w:name="gfpea0289617-sc13e3a6_lake.htma_008"/>
            <w:bookmarkEnd w:id="8"/>
          </w:p>
        </w:tc>
        <w:tc>
          <w:tcPr>
            <w:tcW w:w="720" w:type="dxa"/>
            <w:hideMark/>
          </w:tcPr>
          <w:p w14:paraId="6183BFFE" w14:textId="77777777" w:rsidR="00000000" w:rsidRDefault="002F725F">
            <w:pPr>
              <w:rPr>
                <w:rFonts w:eastAsia="Times New Roman"/>
                <w:sz w:val="20"/>
                <w:szCs w:val="20"/>
              </w:rPr>
            </w:pPr>
            <w:r>
              <w:rPr>
                <w:rFonts w:eastAsia="Times New Roman"/>
                <w:b/>
                <w:bCs/>
                <w:sz w:val="20"/>
                <w:szCs w:val="20"/>
              </w:rPr>
              <w:t>Item 8</w:t>
            </w:r>
          </w:p>
        </w:tc>
        <w:tc>
          <w:tcPr>
            <w:tcW w:w="0" w:type="auto"/>
            <w:hideMark/>
          </w:tcPr>
          <w:p w14:paraId="166970EE" w14:textId="77777777" w:rsidR="00000000" w:rsidRDefault="002F725F">
            <w:pPr>
              <w:jc w:val="both"/>
              <w:rPr>
                <w:rFonts w:eastAsia="Times New Roman"/>
                <w:sz w:val="20"/>
                <w:szCs w:val="20"/>
              </w:rPr>
            </w:pPr>
            <w:r>
              <w:rPr>
                <w:rFonts w:eastAsia="Times New Roman"/>
                <w:b/>
                <w:bCs/>
                <w:sz w:val="20"/>
                <w:szCs w:val="20"/>
              </w:rPr>
              <w:t>Fairness of the Transaction</w:t>
            </w:r>
          </w:p>
        </w:tc>
      </w:tr>
    </w:tbl>
    <w:p w14:paraId="2D8D3962"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6792E9E8" w14:textId="77777777">
        <w:trPr>
          <w:divId w:val="305475121"/>
          <w:tblCellSpacing w:w="0" w:type="dxa"/>
        </w:trPr>
        <w:tc>
          <w:tcPr>
            <w:tcW w:w="6" w:type="dxa"/>
            <w:hideMark/>
          </w:tcPr>
          <w:p w14:paraId="1DDF2617" w14:textId="77777777" w:rsidR="00000000" w:rsidRDefault="002F725F">
            <w:pPr>
              <w:rPr>
                <w:sz w:val="20"/>
                <w:szCs w:val="20"/>
              </w:rPr>
            </w:pPr>
          </w:p>
        </w:tc>
        <w:tc>
          <w:tcPr>
            <w:tcW w:w="1080" w:type="dxa"/>
            <w:hideMark/>
          </w:tcPr>
          <w:p w14:paraId="14C510C2" w14:textId="77777777" w:rsidR="00000000" w:rsidRDefault="002F725F">
            <w:pPr>
              <w:rPr>
                <w:rFonts w:eastAsia="Times New Roman"/>
                <w:sz w:val="20"/>
                <w:szCs w:val="20"/>
              </w:rPr>
            </w:pPr>
            <w:r>
              <w:rPr>
                <w:rFonts w:eastAsia="Times New Roman"/>
                <w:sz w:val="20"/>
                <w:szCs w:val="20"/>
              </w:rPr>
              <w:t>(a)-(b)</w:t>
            </w:r>
          </w:p>
        </w:tc>
        <w:tc>
          <w:tcPr>
            <w:tcW w:w="0" w:type="auto"/>
            <w:hideMark/>
          </w:tcPr>
          <w:p w14:paraId="67209221" w14:textId="77777777" w:rsidR="00000000" w:rsidRDefault="002F725F">
            <w:pPr>
              <w:jc w:val="both"/>
              <w:rPr>
                <w:rFonts w:eastAsia="Times New Roman"/>
                <w:sz w:val="20"/>
                <w:szCs w:val="20"/>
              </w:rPr>
            </w:pPr>
            <w:r>
              <w:rPr>
                <w:rFonts w:eastAsia="Times New Roman"/>
                <w:sz w:val="20"/>
                <w:szCs w:val="20"/>
              </w:rPr>
              <w:t>Fairness; Factors Considered in Determining Fairness. The information set forth in the Proxy Statement under the following captions is incorporated herein by reference:</w:t>
            </w:r>
          </w:p>
        </w:tc>
      </w:tr>
    </w:tbl>
    <w:p w14:paraId="0A245508"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A79A533" w14:textId="77777777">
        <w:trPr>
          <w:divId w:val="305475121"/>
          <w:tblCellSpacing w:w="0" w:type="dxa"/>
        </w:trPr>
        <w:tc>
          <w:tcPr>
            <w:tcW w:w="1080" w:type="dxa"/>
            <w:hideMark/>
          </w:tcPr>
          <w:p w14:paraId="2EDECF07" w14:textId="77777777" w:rsidR="00000000" w:rsidRDefault="002F725F">
            <w:pPr>
              <w:rPr>
                <w:sz w:val="20"/>
                <w:szCs w:val="20"/>
              </w:rPr>
            </w:pPr>
          </w:p>
        </w:tc>
        <w:tc>
          <w:tcPr>
            <w:tcW w:w="360" w:type="dxa"/>
            <w:hideMark/>
          </w:tcPr>
          <w:p w14:paraId="34B8FF15" w14:textId="77777777" w:rsidR="00000000" w:rsidRDefault="002F725F">
            <w:pPr>
              <w:rPr>
                <w:rFonts w:eastAsia="Times New Roman"/>
                <w:sz w:val="20"/>
                <w:szCs w:val="20"/>
              </w:rPr>
            </w:pPr>
            <w:r>
              <w:rPr>
                <w:rFonts w:eastAsia="Times New Roman"/>
                <w:sz w:val="20"/>
                <w:szCs w:val="20"/>
              </w:rPr>
              <w:t>●</w:t>
            </w:r>
          </w:p>
        </w:tc>
        <w:tc>
          <w:tcPr>
            <w:tcW w:w="0" w:type="auto"/>
            <w:hideMark/>
          </w:tcPr>
          <w:p w14:paraId="381EA3AB" w14:textId="77777777" w:rsidR="00000000" w:rsidRDefault="002F725F">
            <w:pPr>
              <w:jc w:val="both"/>
              <w:rPr>
                <w:rFonts w:eastAsia="Times New Roman"/>
                <w:sz w:val="20"/>
                <w:szCs w:val="20"/>
              </w:rPr>
            </w:pPr>
            <w:r>
              <w:rPr>
                <w:rFonts w:eastAsia="Times New Roman"/>
                <w:sz w:val="20"/>
                <w:szCs w:val="20"/>
              </w:rPr>
              <w:t>“SUMMARY TERM SHEET—Position of the Buyer</w:t>
            </w:r>
            <w:r>
              <w:rPr>
                <w:rFonts w:eastAsia="Times New Roman"/>
                <w:sz w:val="20"/>
                <w:szCs w:val="20"/>
              </w:rPr>
              <w:t xml:space="preserve"> Filing Persons as to the Fairness of the Merger”</w:t>
            </w:r>
          </w:p>
        </w:tc>
      </w:tr>
    </w:tbl>
    <w:p w14:paraId="77C35357"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4766896" w14:textId="77777777">
        <w:trPr>
          <w:divId w:val="305475121"/>
          <w:tblCellSpacing w:w="0" w:type="dxa"/>
        </w:trPr>
        <w:tc>
          <w:tcPr>
            <w:tcW w:w="1080" w:type="dxa"/>
            <w:hideMark/>
          </w:tcPr>
          <w:p w14:paraId="1B612B31" w14:textId="77777777" w:rsidR="00000000" w:rsidRDefault="002F725F">
            <w:pPr>
              <w:rPr>
                <w:sz w:val="20"/>
                <w:szCs w:val="20"/>
              </w:rPr>
            </w:pPr>
          </w:p>
        </w:tc>
        <w:tc>
          <w:tcPr>
            <w:tcW w:w="360" w:type="dxa"/>
            <w:hideMark/>
          </w:tcPr>
          <w:p w14:paraId="79C2B091" w14:textId="77777777" w:rsidR="00000000" w:rsidRDefault="002F725F">
            <w:pPr>
              <w:rPr>
                <w:rFonts w:eastAsia="Times New Roman"/>
                <w:sz w:val="20"/>
                <w:szCs w:val="20"/>
              </w:rPr>
            </w:pPr>
            <w:r>
              <w:rPr>
                <w:rFonts w:eastAsia="Times New Roman"/>
                <w:sz w:val="20"/>
                <w:szCs w:val="20"/>
              </w:rPr>
              <w:t>●</w:t>
            </w:r>
          </w:p>
        </w:tc>
        <w:tc>
          <w:tcPr>
            <w:tcW w:w="0" w:type="auto"/>
            <w:hideMark/>
          </w:tcPr>
          <w:p w14:paraId="3CFCAC9A" w14:textId="77777777" w:rsidR="00000000" w:rsidRDefault="002F725F">
            <w:pPr>
              <w:jc w:val="both"/>
              <w:rPr>
                <w:rFonts w:eastAsia="Times New Roman"/>
                <w:sz w:val="20"/>
                <w:szCs w:val="20"/>
              </w:rPr>
            </w:pPr>
            <w:r>
              <w:rPr>
                <w:rFonts w:eastAsia="Times New Roman"/>
                <w:sz w:val="20"/>
                <w:szCs w:val="20"/>
              </w:rPr>
              <w:t>“SUMMARY TERM SHEET—Opinions of the Special Committee’s Financial Advisor”</w:t>
            </w:r>
          </w:p>
        </w:tc>
      </w:tr>
    </w:tbl>
    <w:p w14:paraId="0D9717C4"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DE55196" w14:textId="77777777">
        <w:trPr>
          <w:divId w:val="305475121"/>
          <w:tblCellSpacing w:w="0" w:type="dxa"/>
        </w:trPr>
        <w:tc>
          <w:tcPr>
            <w:tcW w:w="1080" w:type="dxa"/>
            <w:hideMark/>
          </w:tcPr>
          <w:p w14:paraId="78776270" w14:textId="77777777" w:rsidR="00000000" w:rsidRDefault="002F725F">
            <w:pPr>
              <w:rPr>
                <w:sz w:val="20"/>
                <w:szCs w:val="20"/>
              </w:rPr>
            </w:pPr>
          </w:p>
        </w:tc>
        <w:tc>
          <w:tcPr>
            <w:tcW w:w="360" w:type="dxa"/>
            <w:hideMark/>
          </w:tcPr>
          <w:p w14:paraId="17085149" w14:textId="77777777" w:rsidR="00000000" w:rsidRDefault="002F725F">
            <w:pPr>
              <w:rPr>
                <w:rFonts w:eastAsia="Times New Roman"/>
                <w:sz w:val="20"/>
                <w:szCs w:val="20"/>
              </w:rPr>
            </w:pPr>
            <w:r>
              <w:rPr>
                <w:rFonts w:eastAsia="Times New Roman"/>
                <w:sz w:val="20"/>
                <w:szCs w:val="20"/>
              </w:rPr>
              <w:t>●</w:t>
            </w:r>
          </w:p>
        </w:tc>
        <w:tc>
          <w:tcPr>
            <w:tcW w:w="0" w:type="auto"/>
            <w:hideMark/>
          </w:tcPr>
          <w:p w14:paraId="352314E4" w14:textId="77777777" w:rsidR="00000000" w:rsidRDefault="002F725F">
            <w:pPr>
              <w:jc w:val="both"/>
              <w:rPr>
                <w:rFonts w:eastAsia="Times New Roman"/>
                <w:sz w:val="20"/>
                <w:szCs w:val="20"/>
              </w:rPr>
            </w:pPr>
            <w:r>
              <w:rPr>
                <w:rFonts w:eastAsia="Times New Roman"/>
                <w:sz w:val="20"/>
                <w:szCs w:val="20"/>
              </w:rPr>
              <w:t>“SUMMARY TERM SHEET—Interests of the Company’</w:t>
            </w:r>
            <w:r>
              <w:rPr>
                <w:rFonts w:eastAsia="Times New Roman"/>
                <w:sz w:val="20"/>
                <w:szCs w:val="20"/>
              </w:rPr>
              <w:t>s Executive Officers and Directors in the Merger”</w:t>
            </w:r>
          </w:p>
        </w:tc>
      </w:tr>
    </w:tbl>
    <w:p w14:paraId="0177AA68"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478B577" w14:textId="77777777">
        <w:trPr>
          <w:divId w:val="305475121"/>
          <w:tblCellSpacing w:w="0" w:type="dxa"/>
        </w:trPr>
        <w:tc>
          <w:tcPr>
            <w:tcW w:w="1080" w:type="dxa"/>
            <w:hideMark/>
          </w:tcPr>
          <w:p w14:paraId="66D1131F" w14:textId="77777777" w:rsidR="00000000" w:rsidRDefault="002F725F">
            <w:pPr>
              <w:rPr>
                <w:sz w:val="20"/>
                <w:szCs w:val="20"/>
              </w:rPr>
            </w:pPr>
          </w:p>
        </w:tc>
        <w:tc>
          <w:tcPr>
            <w:tcW w:w="360" w:type="dxa"/>
            <w:hideMark/>
          </w:tcPr>
          <w:p w14:paraId="7DD78711" w14:textId="77777777" w:rsidR="00000000" w:rsidRDefault="002F725F">
            <w:pPr>
              <w:rPr>
                <w:rFonts w:eastAsia="Times New Roman"/>
                <w:sz w:val="20"/>
                <w:szCs w:val="20"/>
              </w:rPr>
            </w:pPr>
            <w:r>
              <w:rPr>
                <w:rFonts w:eastAsia="Times New Roman"/>
                <w:sz w:val="20"/>
                <w:szCs w:val="20"/>
              </w:rPr>
              <w:t>●</w:t>
            </w:r>
          </w:p>
        </w:tc>
        <w:tc>
          <w:tcPr>
            <w:tcW w:w="0" w:type="auto"/>
            <w:hideMark/>
          </w:tcPr>
          <w:p w14:paraId="506597AD" w14:textId="77777777" w:rsidR="00000000" w:rsidRDefault="002F725F">
            <w:pPr>
              <w:jc w:val="both"/>
              <w:rPr>
                <w:rFonts w:eastAsia="Times New Roman"/>
                <w:sz w:val="20"/>
                <w:szCs w:val="20"/>
              </w:rPr>
            </w:pPr>
            <w:r>
              <w:rPr>
                <w:rFonts w:eastAsia="Times New Roman"/>
                <w:sz w:val="20"/>
                <w:szCs w:val="20"/>
              </w:rPr>
              <w:t>“SPECIAL FACTORS—Background of the Merger”</w:t>
            </w:r>
          </w:p>
        </w:tc>
      </w:tr>
    </w:tbl>
    <w:p w14:paraId="05D68C79"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6DBE451" w14:textId="77777777">
        <w:trPr>
          <w:divId w:val="305475121"/>
          <w:tblCellSpacing w:w="0" w:type="dxa"/>
        </w:trPr>
        <w:tc>
          <w:tcPr>
            <w:tcW w:w="1080" w:type="dxa"/>
            <w:hideMark/>
          </w:tcPr>
          <w:p w14:paraId="12D7A333" w14:textId="77777777" w:rsidR="00000000" w:rsidRDefault="002F725F">
            <w:pPr>
              <w:rPr>
                <w:sz w:val="20"/>
                <w:szCs w:val="20"/>
              </w:rPr>
            </w:pPr>
          </w:p>
        </w:tc>
        <w:tc>
          <w:tcPr>
            <w:tcW w:w="360" w:type="dxa"/>
            <w:hideMark/>
          </w:tcPr>
          <w:p w14:paraId="759C9991" w14:textId="77777777" w:rsidR="00000000" w:rsidRDefault="002F725F">
            <w:pPr>
              <w:rPr>
                <w:rFonts w:eastAsia="Times New Roman"/>
                <w:sz w:val="20"/>
                <w:szCs w:val="20"/>
              </w:rPr>
            </w:pPr>
            <w:r>
              <w:rPr>
                <w:rFonts w:eastAsia="Times New Roman"/>
                <w:sz w:val="20"/>
                <w:szCs w:val="20"/>
              </w:rPr>
              <w:t>●</w:t>
            </w:r>
          </w:p>
        </w:tc>
        <w:tc>
          <w:tcPr>
            <w:tcW w:w="0" w:type="auto"/>
            <w:hideMark/>
          </w:tcPr>
          <w:p w14:paraId="13BC38CE" w14:textId="77777777" w:rsidR="00000000" w:rsidRDefault="002F725F">
            <w:pPr>
              <w:jc w:val="both"/>
              <w:rPr>
                <w:rFonts w:eastAsia="Times New Roman"/>
                <w:sz w:val="20"/>
                <w:szCs w:val="20"/>
              </w:rPr>
            </w:pPr>
            <w:r>
              <w:rPr>
                <w:rFonts w:eastAsia="Times New Roman"/>
                <w:sz w:val="20"/>
                <w:szCs w:val="20"/>
              </w:rPr>
              <w:t>“SPECIAL FACTORS—Reasons for the Merger and Recommendation of the Special Committee and the Board”</w:t>
            </w:r>
          </w:p>
        </w:tc>
      </w:tr>
    </w:tbl>
    <w:p w14:paraId="2CD2DB15"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971B88E" w14:textId="77777777">
        <w:trPr>
          <w:divId w:val="305475121"/>
          <w:tblCellSpacing w:w="0" w:type="dxa"/>
        </w:trPr>
        <w:tc>
          <w:tcPr>
            <w:tcW w:w="1080" w:type="dxa"/>
            <w:hideMark/>
          </w:tcPr>
          <w:p w14:paraId="302B7E6F" w14:textId="77777777" w:rsidR="00000000" w:rsidRDefault="002F725F">
            <w:pPr>
              <w:rPr>
                <w:sz w:val="20"/>
                <w:szCs w:val="20"/>
              </w:rPr>
            </w:pPr>
          </w:p>
        </w:tc>
        <w:tc>
          <w:tcPr>
            <w:tcW w:w="360" w:type="dxa"/>
            <w:hideMark/>
          </w:tcPr>
          <w:p w14:paraId="0F9E3EF2" w14:textId="77777777" w:rsidR="00000000" w:rsidRDefault="002F725F">
            <w:pPr>
              <w:rPr>
                <w:rFonts w:eastAsia="Times New Roman"/>
                <w:sz w:val="20"/>
                <w:szCs w:val="20"/>
              </w:rPr>
            </w:pPr>
            <w:r>
              <w:rPr>
                <w:rFonts w:eastAsia="Times New Roman"/>
                <w:sz w:val="20"/>
                <w:szCs w:val="20"/>
              </w:rPr>
              <w:t>●</w:t>
            </w:r>
          </w:p>
        </w:tc>
        <w:tc>
          <w:tcPr>
            <w:tcW w:w="0" w:type="auto"/>
            <w:hideMark/>
          </w:tcPr>
          <w:p w14:paraId="44E17C7E" w14:textId="77777777" w:rsidR="00000000" w:rsidRDefault="002F725F">
            <w:pPr>
              <w:jc w:val="both"/>
              <w:rPr>
                <w:rFonts w:eastAsia="Times New Roman"/>
                <w:sz w:val="20"/>
                <w:szCs w:val="20"/>
              </w:rPr>
            </w:pPr>
            <w:r>
              <w:rPr>
                <w:rFonts w:eastAsia="Times New Roman"/>
                <w:sz w:val="20"/>
                <w:szCs w:val="20"/>
              </w:rPr>
              <w:t>“SPECIAL FACTORS—</w:t>
            </w:r>
            <w:r>
              <w:rPr>
                <w:rFonts w:eastAsia="Times New Roman"/>
                <w:sz w:val="20"/>
                <w:szCs w:val="20"/>
              </w:rPr>
              <w:t>Position of the Buyer Filing Persons as to the Fairness of the Merger”</w:t>
            </w:r>
          </w:p>
        </w:tc>
      </w:tr>
    </w:tbl>
    <w:p w14:paraId="3AC1DDB4"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BB48529" w14:textId="77777777">
        <w:trPr>
          <w:divId w:val="305475121"/>
          <w:tblCellSpacing w:w="0" w:type="dxa"/>
        </w:trPr>
        <w:tc>
          <w:tcPr>
            <w:tcW w:w="1080" w:type="dxa"/>
            <w:hideMark/>
          </w:tcPr>
          <w:p w14:paraId="3A630C1F" w14:textId="77777777" w:rsidR="00000000" w:rsidRDefault="002F725F">
            <w:pPr>
              <w:rPr>
                <w:sz w:val="20"/>
                <w:szCs w:val="20"/>
              </w:rPr>
            </w:pPr>
          </w:p>
        </w:tc>
        <w:tc>
          <w:tcPr>
            <w:tcW w:w="360" w:type="dxa"/>
            <w:hideMark/>
          </w:tcPr>
          <w:p w14:paraId="04D4D0EA" w14:textId="77777777" w:rsidR="00000000" w:rsidRDefault="002F725F">
            <w:pPr>
              <w:rPr>
                <w:rFonts w:eastAsia="Times New Roman"/>
                <w:sz w:val="20"/>
                <w:szCs w:val="20"/>
              </w:rPr>
            </w:pPr>
            <w:r>
              <w:rPr>
                <w:rFonts w:eastAsia="Times New Roman"/>
                <w:sz w:val="20"/>
                <w:szCs w:val="20"/>
              </w:rPr>
              <w:t>●</w:t>
            </w:r>
          </w:p>
        </w:tc>
        <w:tc>
          <w:tcPr>
            <w:tcW w:w="0" w:type="auto"/>
            <w:hideMark/>
          </w:tcPr>
          <w:p w14:paraId="735F57B4" w14:textId="77777777" w:rsidR="00000000" w:rsidRDefault="002F725F">
            <w:pPr>
              <w:jc w:val="both"/>
              <w:rPr>
                <w:rFonts w:eastAsia="Times New Roman"/>
                <w:sz w:val="20"/>
                <w:szCs w:val="20"/>
              </w:rPr>
            </w:pPr>
            <w:r>
              <w:rPr>
                <w:rFonts w:eastAsia="Times New Roman"/>
                <w:sz w:val="20"/>
                <w:szCs w:val="20"/>
              </w:rPr>
              <w:t>“SPECIAL FACTORS—Prior Opinion of the Special Committee’s Financial Advisor”</w:t>
            </w:r>
          </w:p>
        </w:tc>
      </w:tr>
      <w:tr w:rsidR="00000000" w14:paraId="4369C8FB" w14:textId="77777777">
        <w:trPr>
          <w:divId w:val="305475121"/>
          <w:tblCellSpacing w:w="0" w:type="dxa"/>
        </w:trPr>
        <w:tc>
          <w:tcPr>
            <w:tcW w:w="0" w:type="auto"/>
            <w:hideMark/>
          </w:tcPr>
          <w:p w14:paraId="4765379B" w14:textId="77777777" w:rsidR="00000000" w:rsidRDefault="002F725F">
            <w:pPr>
              <w:rPr>
                <w:rFonts w:eastAsia="Times New Roman"/>
                <w:sz w:val="20"/>
                <w:szCs w:val="20"/>
              </w:rPr>
            </w:pPr>
            <w:r>
              <w:rPr>
                <w:rFonts w:eastAsia="Times New Roman"/>
                <w:sz w:val="20"/>
                <w:szCs w:val="20"/>
              </w:rPr>
              <w:t> </w:t>
            </w:r>
          </w:p>
        </w:tc>
        <w:tc>
          <w:tcPr>
            <w:tcW w:w="0" w:type="auto"/>
            <w:hideMark/>
          </w:tcPr>
          <w:p w14:paraId="11131A9D" w14:textId="77777777" w:rsidR="00000000" w:rsidRDefault="002F725F">
            <w:pPr>
              <w:rPr>
                <w:rFonts w:eastAsia="Times New Roman"/>
                <w:sz w:val="20"/>
                <w:szCs w:val="20"/>
              </w:rPr>
            </w:pPr>
            <w:r>
              <w:rPr>
                <w:rFonts w:eastAsia="Times New Roman"/>
                <w:sz w:val="20"/>
                <w:szCs w:val="20"/>
              </w:rPr>
              <w:t> </w:t>
            </w:r>
          </w:p>
        </w:tc>
        <w:tc>
          <w:tcPr>
            <w:tcW w:w="0" w:type="auto"/>
            <w:hideMark/>
          </w:tcPr>
          <w:p w14:paraId="24F0C2B1" w14:textId="77777777" w:rsidR="00000000" w:rsidRDefault="002F725F">
            <w:pPr>
              <w:jc w:val="both"/>
              <w:rPr>
                <w:rFonts w:eastAsia="Times New Roman"/>
                <w:sz w:val="20"/>
                <w:szCs w:val="20"/>
              </w:rPr>
            </w:pPr>
            <w:r>
              <w:rPr>
                <w:rFonts w:eastAsia="Times New Roman"/>
                <w:sz w:val="20"/>
                <w:szCs w:val="20"/>
              </w:rPr>
              <w:t> </w:t>
            </w:r>
          </w:p>
        </w:tc>
      </w:tr>
      <w:tr w:rsidR="00000000" w14:paraId="09233A98" w14:textId="77777777">
        <w:trPr>
          <w:divId w:val="305475121"/>
          <w:tblCellSpacing w:w="0" w:type="dxa"/>
        </w:trPr>
        <w:tc>
          <w:tcPr>
            <w:tcW w:w="0" w:type="auto"/>
            <w:hideMark/>
          </w:tcPr>
          <w:p w14:paraId="4C50265D" w14:textId="77777777" w:rsidR="00000000" w:rsidRDefault="002F725F">
            <w:pPr>
              <w:rPr>
                <w:rFonts w:eastAsia="Times New Roman"/>
                <w:sz w:val="20"/>
                <w:szCs w:val="20"/>
              </w:rPr>
            </w:pPr>
            <w:r>
              <w:rPr>
                <w:rFonts w:eastAsia="Times New Roman"/>
                <w:sz w:val="20"/>
                <w:szCs w:val="20"/>
              </w:rPr>
              <w:t> </w:t>
            </w:r>
          </w:p>
        </w:tc>
        <w:tc>
          <w:tcPr>
            <w:tcW w:w="0" w:type="auto"/>
            <w:hideMark/>
          </w:tcPr>
          <w:p w14:paraId="39DCAE2E" w14:textId="77777777" w:rsidR="00000000" w:rsidRDefault="002F725F">
            <w:pPr>
              <w:rPr>
                <w:rFonts w:eastAsia="Times New Roman"/>
                <w:sz w:val="20"/>
                <w:szCs w:val="20"/>
              </w:rPr>
            </w:pPr>
            <w:r>
              <w:rPr>
                <w:rFonts w:eastAsia="Times New Roman"/>
                <w:sz w:val="20"/>
                <w:szCs w:val="20"/>
              </w:rPr>
              <w:t>●</w:t>
            </w:r>
          </w:p>
        </w:tc>
        <w:tc>
          <w:tcPr>
            <w:tcW w:w="0" w:type="auto"/>
            <w:hideMark/>
          </w:tcPr>
          <w:p w14:paraId="6212DFDE" w14:textId="77777777" w:rsidR="00000000" w:rsidRDefault="002F725F">
            <w:pPr>
              <w:jc w:val="both"/>
              <w:rPr>
                <w:rFonts w:eastAsia="Times New Roman"/>
                <w:sz w:val="20"/>
                <w:szCs w:val="20"/>
              </w:rPr>
            </w:pPr>
            <w:r>
              <w:rPr>
                <w:rFonts w:eastAsia="Times New Roman"/>
                <w:sz w:val="20"/>
                <w:szCs w:val="20"/>
              </w:rPr>
              <w:t>“SPECIAL FACTORS—Opinion of the Special Committee’s Financial Advisor dated April 28, 2026</w:t>
            </w:r>
            <w:r>
              <w:rPr>
                <w:rFonts w:eastAsia="Times New Roman"/>
                <w:sz w:val="20"/>
                <w:szCs w:val="20"/>
              </w:rPr>
              <w:t>”</w:t>
            </w:r>
          </w:p>
        </w:tc>
      </w:tr>
    </w:tbl>
    <w:p w14:paraId="278B7EC2"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D414F62" w14:textId="77777777">
        <w:trPr>
          <w:divId w:val="305475121"/>
          <w:tblCellSpacing w:w="0" w:type="dxa"/>
        </w:trPr>
        <w:tc>
          <w:tcPr>
            <w:tcW w:w="1080" w:type="dxa"/>
            <w:hideMark/>
          </w:tcPr>
          <w:p w14:paraId="2D8AB264" w14:textId="77777777" w:rsidR="00000000" w:rsidRDefault="002F725F">
            <w:pPr>
              <w:rPr>
                <w:sz w:val="20"/>
                <w:szCs w:val="20"/>
              </w:rPr>
            </w:pPr>
          </w:p>
        </w:tc>
        <w:tc>
          <w:tcPr>
            <w:tcW w:w="360" w:type="dxa"/>
            <w:hideMark/>
          </w:tcPr>
          <w:p w14:paraId="3CEA7EF8" w14:textId="77777777" w:rsidR="00000000" w:rsidRDefault="002F725F">
            <w:pPr>
              <w:rPr>
                <w:rFonts w:eastAsia="Times New Roman"/>
                <w:sz w:val="20"/>
                <w:szCs w:val="20"/>
              </w:rPr>
            </w:pPr>
            <w:r>
              <w:rPr>
                <w:rFonts w:eastAsia="Times New Roman"/>
                <w:sz w:val="20"/>
                <w:szCs w:val="20"/>
              </w:rPr>
              <w:t>●</w:t>
            </w:r>
          </w:p>
        </w:tc>
        <w:tc>
          <w:tcPr>
            <w:tcW w:w="0" w:type="auto"/>
            <w:hideMark/>
          </w:tcPr>
          <w:p w14:paraId="0B15C55E" w14:textId="77777777" w:rsidR="00000000" w:rsidRDefault="002F725F">
            <w:pPr>
              <w:jc w:val="both"/>
              <w:rPr>
                <w:rFonts w:eastAsia="Times New Roman"/>
                <w:sz w:val="20"/>
                <w:szCs w:val="20"/>
              </w:rPr>
            </w:pPr>
            <w:r>
              <w:rPr>
                <w:rFonts w:eastAsia="Times New Roman"/>
                <w:sz w:val="20"/>
                <w:szCs w:val="20"/>
              </w:rPr>
              <w:t>“SPECIAL FACTORS—Interests of Certain Persons in the Merger”</w:t>
            </w:r>
          </w:p>
        </w:tc>
      </w:tr>
    </w:tbl>
    <w:p w14:paraId="2D8F5132"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E44E6FA" w14:textId="77777777">
        <w:trPr>
          <w:divId w:val="305475121"/>
          <w:tblCellSpacing w:w="0" w:type="dxa"/>
        </w:trPr>
        <w:tc>
          <w:tcPr>
            <w:tcW w:w="1080" w:type="dxa"/>
            <w:hideMark/>
          </w:tcPr>
          <w:p w14:paraId="6E2AC8E6" w14:textId="77777777" w:rsidR="00000000" w:rsidRDefault="002F725F">
            <w:pPr>
              <w:rPr>
                <w:sz w:val="20"/>
                <w:szCs w:val="20"/>
              </w:rPr>
            </w:pPr>
          </w:p>
        </w:tc>
        <w:tc>
          <w:tcPr>
            <w:tcW w:w="360" w:type="dxa"/>
            <w:hideMark/>
          </w:tcPr>
          <w:p w14:paraId="7A6A024F" w14:textId="77777777" w:rsidR="00000000" w:rsidRDefault="002F725F">
            <w:pPr>
              <w:rPr>
                <w:rFonts w:eastAsia="Times New Roman"/>
                <w:sz w:val="20"/>
                <w:szCs w:val="20"/>
              </w:rPr>
            </w:pPr>
            <w:r>
              <w:rPr>
                <w:rFonts w:eastAsia="Times New Roman"/>
                <w:sz w:val="20"/>
                <w:szCs w:val="20"/>
              </w:rPr>
              <w:t>●</w:t>
            </w:r>
          </w:p>
        </w:tc>
        <w:tc>
          <w:tcPr>
            <w:tcW w:w="0" w:type="auto"/>
            <w:hideMark/>
          </w:tcPr>
          <w:p w14:paraId="4FE77A1F" w14:textId="77777777" w:rsidR="00000000" w:rsidRDefault="002F725F">
            <w:pPr>
              <w:jc w:val="both"/>
              <w:rPr>
                <w:rFonts w:eastAsia="Times New Roman"/>
                <w:sz w:val="20"/>
                <w:szCs w:val="20"/>
              </w:rPr>
            </w:pPr>
            <w:r>
              <w:rPr>
                <w:rFonts w:eastAsia="Times New Roman"/>
                <w:sz w:val="20"/>
                <w:szCs w:val="20"/>
              </w:rPr>
              <w:t>“ANNEX C—FAIRNESS OPINION”</w:t>
            </w:r>
          </w:p>
        </w:tc>
      </w:tr>
    </w:tbl>
    <w:p w14:paraId="345DFE5B"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p w14:paraId="14F3B484" w14:textId="77777777" w:rsidR="00000000" w:rsidRDefault="002F725F">
      <w:pPr>
        <w:pStyle w:val="NormalWeb"/>
        <w:spacing w:before="0" w:beforeAutospacing="0" w:after="0" w:afterAutospacing="0"/>
        <w:jc w:val="center"/>
        <w:divId w:val="1821193671"/>
        <w:rPr>
          <w:sz w:val="20"/>
          <w:szCs w:val="20"/>
        </w:rPr>
      </w:pPr>
      <w:r>
        <w:rPr>
          <w:sz w:val="20"/>
          <w:szCs w:val="20"/>
        </w:rPr>
        <w:t>9</w:t>
      </w:r>
    </w:p>
    <w:p w14:paraId="6460DC0E"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57CA1DE6" w14:textId="77777777">
        <w:trPr>
          <w:divId w:val="305475121"/>
          <w:tblCellSpacing w:w="0" w:type="dxa"/>
        </w:trPr>
        <w:tc>
          <w:tcPr>
            <w:tcW w:w="6" w:type="dxa"/>
            <w:hideMark/>
          </w:tcPr>
          <w:p w14:paraId="72E6F673" w14:textId="77777777" w:rsidR="00000000" w:rsidRDefault="002F725F">
            <w:pPr>
              <w:rPr>
                <w:sz w:val="20"/>
                <w:szCs w:val="20"/>
              </w:rPr>
            </w:pPr>
          </w:p>
        </w:tc>
        <w:tc>
          <w:tcPr>
            <w:tcW w:w="1080" w:type="dxa"/>
            <w:hideMark/>
          </w:tcPr>
          <w:p w14:paraId="2189932A" w14:textId="77777777" w:rsidR="00000000" w:rsidRDefault="002F725F">
            <w:pPr>
              <w:rPr>
                <w:rFonts w:eastAsia="Times New Roman"/>
                <w:sz w:val="20"/>
                <w:szCs w:val="20"/>
              </w:rPr>
            </w:pPr>
            <w:r>
              <w:rPr>
                <w:rFonts w:eastAsia="Times New Roman"/>
                <w:sz w:val="20"/>
                <w:szCs w:val="20"/>
              </w:rPr>
              <w:t>(c)</w:t>
            </w:r>
          </w:p>
        </w:tc>
        <w:tc>
          <w:tcPr>
            <w:tcW w:w="0" w:type="auto"/>
            <w:hideMark/>
          </w:tcPr>
          <w:p w14:paraId="35DF6FA0" w14:textId="77777777" w:rsidR="00000000" w:rsidRDefault="002F725F">
            <w:pPr>
              <w:jc w:val="both"/>
              <w:rPr>
                <w:rFonts w:eastAsia="Times New Roman"/>
                <w:sz w:val="20"/>
                <w:szCs w:val="20"/>
              </w:rPr>
            </w:pPr>
            <w:r>
              <w:rPr>
                <w:rFonts w:eastAsia="Times New Roman"/>
                <w:sz w:val="20"/>
                <w:szCs w:val="20"/>
              </w:rPr>
              <w:t>Approval of Security Holders. </w:t>
            </w:r>
            <w:r>
              <w:rPr>
                <w:rFonts w:eastAsia="Times New Roman"/>
                <w:sz w:val="20"/>
                <w:szCs w:val="20"/>
              </w:rPr>
              <w:t>The information set forth in the Proxy Statement under the following captions is incorporated herein by reference:</w:t>
            </w:r>
          </w:p>
        </w:tc>
      </w:tr>
    </w:tbl>
    <w:p w14:paraId="7FE9D30C"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2ABCBFF" w14:textId="77777777">
        <w:trPr>
          <w:divId w:val="305475121"/>
          <w:tblCellSpacing w:w="0" w:type="dxa"/>
        </w:trPr>
        <w:tc>
          <w:tcPr>
            <w:tcW w:w="1080" w:type="dxa"/>
            <w:hideMark/>
          </w:tcPr>
          <w:p w14:paraId="48527309" w14:textId="77777777" w:rsidR="00000000" w:rsidRDefault="002F725F">
            <w:pPr>
              <w:rPr>
                <w:sz w:val="20"/>
                <w:szCs w:val="20"/>
              </w:rPr>
            </w:pPr>
          </w:p>
        </w:tc>
        <w:tc>
          <w:tcPr>
            <w:tcW w:w="360" w:type="dxa"/>
            <w:hideMark/>
          </w:tcPr>
          <w:p w14:paraId="1E140DE4" w14:textId="77777777" w:rsidR="00000000" w:rsidRDefault="002F725F">
            <w:pPr>
              <w:rPr>
                <w:rFonts w:eastAsia="Times New Roman"/>
                <w:sz w:val="20"/>
                <w:szCs w:val="20"/>
              </w:rPr>
            </w:pPr>
            <w:r>
              <w:rPr>
                <w:rFonts w:eastAsia="Times New Roman"/>
                <w:sz w:val="20"/>
                <w:szCs w:val="20"/>
              </w:rPr>
              <w:t>●</w:t>
            </w:r>
          </w:p>
        </w:tc>
        <w:tc>
          <w:tcPr>
            <w:tcW w:w="0" w:type="auto"/>
            <w:hideMark/>
          </w:tcPr>
          <w:p w14:paraId="0265B3B5" w14:textId="77777777" w:rsidR="00000000" w:rsidRDefault="002F725F">
            <w:pPr>
              <w:jc w:val="both"/>
              <w:rPr>
                <w:rFonts w:eastAsia="Times New Roman"/>
                <w:sz w:val="20"/>
                <w:szCs w:val="20"/>
              </w:rPr>
            </w:pPr>
            <w:r>
              <w:rPr>
                <w:rFonts w:eastAsia="Times New Roman"/>
                <w:sz w:val="20"/>
                <w:szCs w:val="20"/>
              </w:rPr>
              <w:t>“SUMMARY TERM SHEET—</w:t>
            </w:r>
            <w:r>
              <w:rPr>
                <w:rFonts w:eastAsia="Times New Roman"/>
                <w:sz w:val="20"/>
                <w:szCs w:val="20"/>
              </w:rPr>
              <w:t>Shareholder Vote Required to Approve the Merger Agreement and the Plan of Merger”</w:t>
            </w:r>
          </w:p>
        </w:tc>
      </w:tr>
    </w:tbl>
    <w:p w14:paraId="63BDB3AE" w14:textId="77777777" w:rsidR="00000000" w:rsidRDefault="002F725F">
      <w:pPr>
        <w:pStyle w:val="NormalWeb"/>
        <w:spacing w:before="0" w:beforeAutospacing="0" w:after="0" w:afterAutospacing="0"/>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273B785" w14:textId="77777777">
        <w:trPr>
          <w:divId w:val="305475121"/>
          <w:tblCellSpacing w:w="0" w:type="dxa"/>
        </w:trPr>
        <w:tc>
          <w:tcPr>
            <w:tcW w:w="1080" w:type="dxa"/>
            <w:hideMark/>
          </w:tcPr>
          <w:p w14:paraId="7FA2F3F9" w14:textId="77777777" w:rsidR="00000000" w:rsidRDefault="002F725F">
            <w:pPr>
              <w:rPr>
                <w:sz w:val="20"/>
                <w:szCs w:val="20"/>
              </w:rPr>
            </w:pPr>
          </w:p>
        </w:tc>
        <w:tc>
          <w:tcPr>
            <w:tcW w:w="360" w:type="dxa"/>
            <w:hideMark/>
          </w:tcPr>
          <w:p w14:paraId="29768887" w14:textId="77777777" w:rsidR="00000000" w:rsidRDefault="002F725F">
            <w:pPr>
              <w:rPr>
                <w:rFonts w:eastAsia="Times New Roman"/>
                <w:sz w:val="20"/>
                <w:szCs w:val="20"/>
              </w:rPr>
            </w:pPr>
            <w:r>
              <w:rPr>
                <w:rFonts w:eastAsia="Times New Roman"/>
                <w:sz w:val="20"/>
                <w:szCs w:val="20"/>
              </w:rPr>
              <w:t>●</w:t>
            </w:r>
          </w:p>
        </w:tc>
        <w:tc>
          <w:tcPr>
            <w:tcW w:w="0" w:type="auto"/>
            <w:hideMark/>
          </w:tcPr>
          <w:p w14:paraId="43605A44" w14:textId="77777777" w:rsidR="00000000" w:rsidRDefault="002F725F">
            <w:pPr>
              <w:jc w:val="both"/>
              <w:rPr>
                <w:rFonts w:eastAsia="Times New Roman"/>
                <w:sz w:val="20"/>
                <w:szCs w:val="20"/>
              </w:rPr>
            </w:pPr>
            <w:r>
              <w:rPr>
                <w:rFonts w:eastAsia="Times New Roman"/>
                <w:sz w:val="20"/>
                <w:szCs w:val="20"/>
              </w:rPr>
              <w:t>“QUESTIONS AND ANSWERS ABOUT THE EXTRAORDINARY GENERAL MEETING AND THE MERGER”</w:t>
            </w:r>
          </w:p>
        </w:tc>
      </w:tr>
    </w:tbl>
    <w:p w14:paraId="0C545AD6"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FAE12F4" w14:textId="77777777">
        <w:trPr>
          <w:divId w:val="305475121"/>
          <w:tblCellSpacing w:w="0" w:type="dxa"/>
        </w:trPr>
        <w:tc>
          <w:tcPr>
            <w:tcW w:w="1080" w:type="dxa"/>
            <w:hideMark/>
          </w:tcPr>
          <w:p w14:paraId="1B2D7E57" w14:textId="77777777" w:rsidR="00000000" w:rsidRDefault="002F725F">
            <w:pPr>
              <w:rPr>
                <w:sz w:val="20"/>
                <w:szCs w:val="20"/>
              </w:rPr>
            </w:pPr>
          </w:p>
        </w:tc>
        <w:tc>
          <w:tcPr>
            <w:tcW w:w="360" w:type="dxa"/>
            <w:hideMark/>
          </w:tcPr>
          <w:p w14:paraId="3B5484BB" w14:textId="77777777" w:rsidR="00000000" w:rsidRDefault="002F725F">
            <w:pPr>
              <w:rPr>
                <w:rFonts w:eastAsia="Times New Roman"/>
                <w:sz w:val="20"/>
                <w:szCs w:val="20"/>
              </w:rPr>
            </w:pPr>
            <w:r>
              <w:rPr>
                <w:rFonts w:eastAsia="Times New Roman"/>
                <w:sz w:val="20"/>
                <w:szCs w:val="20"/>
              </w:rPr>
              <w:t>●</w:t>
            </w:r>
          </w:p>
        </w:tc>
        <w:tc>
          <w:tcPr>
            <w:tcW w:w="0" w:type="auto"/>
            <w:hideMark/>
          </w:tcPr>
          <w:p w14:paraId="3474CB75" w14:textId="77777777" w:rsidR="00000000" w:rsidRDefault="002F725F">
            <w:pPr>
              <w:jc w:val="both"/>
              <w:rPr>
                <w:rFonts w:eastAsia="Times New Roman"/>
                <w:sz w:val="20"/>
                <w:szCs w:val="20"/>
              </w:rPr>
            </w:pPr>
            <w:r>
              <w:rPr>
                <w:rFonts w:eastAsia="Times New Roman"/>
                <w:sz w:val="20"/>
                <w:szCs w:val="20"/>
              </w:rPr>
              <w:t>“THE EXTRAORDINARY GENERAL MEETING—Vote Required”</w:t>
            </w:r>
          </w:p>
        </w:tc>
      </w:tr>
    </w:tbl>
    <w:p w14:paraId="541A1778"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2DC3E5D8" w14:textId="77777777">
        <w:trPr>
          <w:divId w:val="305475121"/>
          <w:tblCellSpacing w:w="0" w:type="dxa"/>
        </w:trPr>
        <w:tc>
          <w:tcPr>
            <w:tcW w:w="6" w:type="dxa"/>
            <w:hideMark/>
          </w:tcPr>
          <w:p w14:paraId="0803481D" w14:textId="77777777" w:rsidR="00000000" w:rsidRDefault="002F725F">
            <w:pPr>
              <w:rPr>
                <w:sz w:val="20"/>
                <w:szCs w:val="20"/>
              </w:rPr>
            </w:pPr>
          </w:p>
        </w:tc>
        <w:tc>
          <w:tcPr>
            <w:tcW w:w="1080" w:type="dxa"/>
            <w:hideMark/>
          </w:tcPr>
          <w:p w14:paraId="00F23B22" w14:textId="77777777" w:rsidR="00000000" w:rsidRDefault="002F725F">
            <w:pPr>
              <w:rPr>
                <w:rFonts w:eastAsia="Times New Roman"/>
                <w:sz w:val="20"/>
                <w:szCs w:val="20"/>
              </w:rPr>
            </w:pPr>
            <w:r>
              <w:rPr>
                <w:rFonts w:eastAsia="Times New Roman"/>
                <w:sz w:val="20"/>
                <w:szCs w:val="20"/>
              </w:rPr>
              <w:t>(d)</w:t>
            </w:r>
          </w:p>
        </w:tc>
        <w:tc>
          <w:tcPr>
            <w:tcW w:w="0" w:type="auto"/>
            <w:hideMark/>
          </w:tcPr>
          <w:p w14:paraId="67D33C79" w14:textId="77777777" w:rsidR="00000000" w:rsidRDefault="002F725F">
            <w:pPr>
              <w:jc w:val="both"/>
              <w:rPr>
                <w:rFonts w:eastAsia="Times New Roman"/>
                <w:sz w:val="20"/>
                <w:szCs w:val="20"/>
              </w:rPr>
            </w:pPr>
            <w:r>
              <w:rPr>
                <w:rFonts w:eastAsia="Times New Roman"/>
                <w:sz w:val="20"/>
                <w:szCs w:val="20"/>
              </w:rPr>
              <w:t>Unaffiliated Representati</w:t>
            </w:r>
            <w:r>
              <w:rPr>
                <w:rFonts w:eastAsia="Times New Roman"/>
                <w:sz w:val="20"/>
                <w:szCs w:val="20"/>
              </w:rPr>
              <w:t>ve. The information set forth in the Proxy Statement under the following captions is incorporated herein by reference:</w:t>
            </w:r>
          </w:p>
        </w:tc>
      </w:tr>
    </w:tbl>
    <w:p w14:paraId="4F556663"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94D41E0" w14:textId="77777777">
        <w:trPr>
          <w:divId w:val="305475121"/>
          <w:tblCellSpacing w:w="0" w:type="dxa"/>
        </w:trPr>
        <w:tc>
          <w:tcPr>
            <w:tcW w:w="1080" w:type="dxa"/>
            <w:hideMark/>
          </w:tcPr>
          <w:p w14:paraId="1A45B26B" w14:textId="77777777" w:rsidR="00000000" w:rsidRDefault="002F725F">
            <w:pPr>
              <w:rPr>
                <w:sz w:val="20"/>
                <w:szCs w:val="20"/>
              </w:rPr>
            </w:pPr>
          </w:p>
        </w:tc>
        <w:tc>
          <w:tcPr>
            <w:tcW w:w="360" w:type="dxa"/>
            <w:hideMark/>
          </w:tcPr>
          <w:p w14:paraId="7EDA6D29" w14:textId="77777777" w:rsidR="00000000" w:rsidRDefault="002F725F">
            <w:pPr>
              <w:rPr>
                <w:rFonts w:eastAsia="Times New Roman"/>
                <w:sz w:val="20"/>
                <w:szCs w:val="20"/>
              </w:rPr>
            </w:pPr>
            <w:r>
              <w:rPr>
                <w:rFonts w:eastAsia="Times New Roman"/>
                <w:sz w:val="20"/>
                <w:szCs w:val="20"/>
              </w:rPr>
              <w:t>●</w:t>
            </w:r>
          </w:p>
        </w:tc>
        <w:tc>
          <w:tcPr>
            <w:tcW w:w="0" w:type="auto"/>
            <w:hideMark/>
          </w:tcPr>
          <w:p w14:paraId="1C9ACA3D" w14:textId="77777777" w:rsidR="00000000" w:rsidRDefault="002F725F">
            <w:pPr>
              <w:jc w:val="both"/>
              <w:rPr>
                <w:rFonts w:eastAsia="Times New Roman"/>
                <w:sz w:val="20"/>
                <w:szCs w:val="20"/>
              </w:rPr>
            </w:pPr>
            <w:r>
              <w:rPr>
                <w:rFonts w:eastAsia="Times New Roman"/>
                <w:sz w:val="20"/>
                <w:szCs w:val="20"/>
              </w:rPr>
              <w:t>“SUMMARY TERM SHEET—Opinions of the Special Committee’s Financial Advisor”</w:t>
            </w:r>
          </w:p>
        </w:tc>
      </w:tr>
    </w:tbl>
    <w:p w14:paraId="23E525A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BE8C49E" w14:textId="77777777">
        <w:trPr>
          <w:divId w:val="305475121"/>
          <w:tblCellSpacing w:w="0" w:type="dxa"/>
        </w:trPr>
        <w:tc>
          <w:tcPr>
            <w:tcW w:w="1080" w:type="dxa"/>
            <w:hideMark/>
          </w:tcPr>
          <w:p w14:paraId="28E2A4D4" w14:textId="77777777" w:rsidR="00000000" w:rsidRDefault="002F725F">
            <w:pPr>
              <w:rPr>
                <w:sz w:val="20"/>
                <w:szCs w:val="20"/>
              </w:rPr>
            </w:pPr>
          </w:p>
        </w:tc>
        <w:tc>
          <w:tcPr>
            <w:tcW w:w="360" w:type="dxa"/>
            <w:hideMark/>
          </w:tcPr>
          <w:p w14:paraId="19DA2A17" w14:textId="77777777" w:rsidR="00000000" w:rsidRDefault="002F725F">
            <w:pPr>
              <w:rPr>
                <w:rFonts w:eastAsia="Times New Roman"/>
                <w:sz w:val="20"/>
                <w:szCs w:val="20"/>
              </w:rPr>
            </w:pPr>
            <w:r>
              <w:rPr>
                <w:rFonts w:eastAsia="Times New Roman"/>
                <w:sz w:val="20"/>
                <w:szCs w:val="20"/>
              </w:rPr>
              <w:t>●</w:t>
            </w:r>
          </w:p>
        </w:tc>
        <w:tc>
          <w:tcPr>
            <w:tcW w:w="0" w:type="auto"/>
            <w:hideMark/>
          </w:tcPr>
          <w:p w14:paraId="618D7C5C" w14:textId="77777777" w:rsidR="00000000" w:rsidRDefault="002F725F">
            <w:pPr>
              <w:jc w:val="both"/>
              <w:rPr>
                <w:rFonts w:eastAsia="Times New Roman"/>
                <w:sz w:val="20"/>
                <w:szCs w:val="20"/>
              </w:rPr>
            </w:pPr>
            <w:r>
              <w:rPr>
                <w:rFonts w:eastAsia="Times New Roman"/>
                <w:sz w:val="20"/>
                <w:szCs w:val="20"/>
              </w:rPr>
              <w:t>“SPECIAL FACTORS—</w:t>
            </w:r>
            <w:r>
              <w:rPr>
                <w:rFonts w:eastAsia="Times New Roman"/>
                <w:sz w:val="20"/>
                <w:szCs w:val="20"/>
              </w:rPr>
              <w:t>Background of the Merger”</w:t>
            </w:r>
          </w:p>
        </w:tc>
      </w:tr>
    </w:tbl>
    <w:p w14:paraId="7BCBAA27"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D6ABA26" w14:textId="77777777">
        <w:trPr>
          <w:divId w:val="305475121"/>
          <w:tblCellSpacing w:w="0" w:type="dxa"/>
        </w:trPr>
        <w:tc>
          <w:tcPr>
            <w:tcW w:w="1080" w:type="dxa"/>
            <w:hideMark/>
          </w:tcPr>
          <w:p w14:paraId="4F4B8251" w14:textId="77777777" w:rsidR="00000000" w:rsidRDefault="002F725F">
            <w:pPr>
              <w:rPr>
                <w:sz w:val="20"/>
                <w:szCs w:val="20"/>
              </w:rPr>
            </w:pPr>
          </w:p>
        </w:tc>
        <w:tc>
          <w:tcPr>
            <w:tcW w:w="360" w:type="dxa"/>
            <w:hideMark/>
          </w:tcPr>
          <w:p w14:paraId="1ED349D9" w14:textId="77777777" w:rsidR="00000000" w:rsidRDefault="002F725F">
            <w:pPr>
              <w:rPr>
                <w:rFonts w:eastAsia="Times New Roman"/>
                <w:sz w:val="20"/>
                <w:szCs w:val="20"/>
              </w:rPr>
            </w:pPr>
            <w:r>
              <w:rPr>
                <w:rFonts w:eastAsia="Times New Roman"/>
                <w:sz w:val="20"/>
                <w:szCs w:val="20"/>
              </w:rPr>
              <w:t>●</w:t>
            </w:r>
          </w:p>
        </w:tc>
        <w:tc>
          <w:tcPr>
            <w:tcW w:w="0" w:type="auto"/>
            <w:hideMark/>
          </w:tcPr>
          <w:p w14:paraId="2AC4DD4E" w14:textId="77777777" w:rsidR="00000000" w:rsidRDefault="002F725F">
            <w:pPr>
              <w:jc w:val="both"/>
              <w:rPr>
                <w:rFonts w:eastAsia="Times New Roman"/>
                <w:sz w:val="20"/>
                <w:szCs w:val="20"/>
              </w:rPr>
            </w:pPr>
            <w:r>
              <w:rPr>
                <w:rFonts w:eastAsia="Times New Roman"/>
                <w:sz w:val="20"/>
                <w:szCs w:val="20"/>
              </w:rPr>
              <w:t>“SPECIAL FACTORS—Reasons for the Merger and Recommendation of the Special Committee and the Board”</w:t>
            </w:r>
          </w:p>
        </w:tc>
      </w:tr>
    </w:tbl>
    <w:p w14:paraId="62742236"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C8136FD" w14:textId="77777777">
        <w:trPr>
          <w:divId w:val="305475121"/>
          <w:tblCellSpacing w:w="0" w:type="dxa"/>
        </w:trPr>
        <w:tc>
          <w:tcPr>
            <w:tcW w:w="1080" w:type="dxa"/>
            <w:hideMark/>
          </w:tcPr>
          <w:p w14:paraId="1C516CBA" w14:textId="77777777" w:rsidR="00000000" w:rsidRDefault="002F725F">
            <w:pPr>
              <w:rPr>
                <w:sz w:val="20"/>
                <w:szCs w:val="20"/>
              </w:rPr>
            </w:pPr>
          </w:p>
        </w:tc>
        <w:tc>
          <w:tcPr>
            <w:tcW w:w="360" w:type="dxa"/>
            <w:hideMark/>
          </w:tcPr>
          <w:p w14:paraId="7AC4DFC0" w14:textId="77777777" w:rsidR="00000000" w:rsidRDefault="002F725F">
            <w:pPr>
              <w:rPr>
                <w:rFonts w:eastAsia="Times New Roman"/>
                <w:sz w:val="20"/>
                <w:szCs w:val="20"/>
              </w:rPr>
            </w:pPr>
            <w:r>
              <w:rPr>
                <w:rFonts w:eastAsia="Times New Roman"/>
                <w:sz w:val="20"/>
                <w:szCs w:val="20"/>
              </w:rPr>
              <w:t>●</w:t>
            </w:r>
          </w:p>
        </w:tc>
        <w:tc>
          <w:tcPr>
            <w:tcW w:w="0" w:type="auto"/>
            <w:hideMark/>
          </w:tcPr>
          <w:p w14:paraId="6DC8D430" w14:textId="77777777" w:rsidR="00000000" w:rsidRDefault="002F725F">
            <w:pPr>
              <w:jc w:val="both"/>
              <w:rPr>
                <w:rFonts w:eastAsia="Times New Roman"/>
                <w:sz w:val="20"/>
                <w:szCs w:val="20"/>
              </w:rPr>
            </w:pPr>
            <w:r>
              <w:rPr>
                <w:rFonts w:eastAsia="Times New Roman"/>
                <w:sz w:val="20"/>
                <w:szCs w:val="20"/>
              </w:rPr>
              <w:t>“SPECIAL FACTORS—Prior Opinion of the Special Committee’s Financial Advisor”</w:t>
            </w:r>
          </w:p>
        </w:tc>
      </w:tr>
    </w:tbl>
    <w:p w14:paraId="14276400"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BA89984" w14:textId="77777777">
        <w:trPr>
          <w:divId w:val="305475121"/>
          <w:tblCellSpacing w:w="0" w:type="dxa"/>
        </w:trPr>
        <w:tc>
          <w:tcPr>
            <w:tcW w:w="1080" w:type="dxa"/>
            <w:hideMark/>
          </w:tcPr>
          <w:p w14:paraId="4634108B" w14:textId="77777777" w:rsidR="00000000" w:rsidRDefault="002F725F">
            <w:pPr>
              <w:rPr>
                <w:sz w:val="20"/>
                <w:szCs w:val="20"/>
              </w:rPr>
            </w:pPr>
          </w:p>
        </w:tc>
        <w:tc>
          <w:tcPr>
            <w:tcW w:w="360" w:type="dxa"/>
            <w:hideMark/>
          </w:tcPr>
          <w:p w14:paraId="566B7558" w14:textId="77777777" w:rsidR="00000000" w:rsidRDefault="002F725F">
            <w:pPr>
              <w:rPr>
                <w:rFonts w:eastAsia="Times New Roman"/>
                <w:sz w:val="20"/>
                <w:szCs w:val="20"/>
              </w:rPr>
            </w:pPr>
            <w:r>
              <w:rPr>
                <w:rFonts w:eastAsia="Times New Roman"/>
                <w:sz w:val="20"/>
                <w:szCs w:val="20"/>
              </w:rPr>
              <w:t>●</w:t>
            </w:r>
          </w:p>
        </w:tc>
        <w:tc>
          <w:tcPr>
            <w:tcW w:w="0" w:type="auto"/>
            <w:hideMark/>
          </w:tcPr>
          <w:p w14:paraId="73818A6E" w14:textId="77777777" w:rsidR="00000000" w:rsidRDefault="002F725F">
            <w:pPr>
              <w:jc w:val="both"/>
              <w:rPr>
                <w:rFonts w:eastAsia="Times New Roman"/>
                <w:sz w:val="20"/>
                <w:szCs w:val="20"/>
              </w:rPr>
            </w:pPr>
            <w:r>
              <w:rPr>
                <w:rFonts w:eastAsia="Times New Roman"/>
                <w:sz w:val="20"/>
                <w:szCs w:val="20"/>
              </w:rPr>
              <w:t>“SPECIAL FACTORS—</w:t>
            </w:r>
            <w:r>
              <w:rPr>
                <w:rFonts w:eastAsia="Times New Roman"/>
                <w:sz w:val="20"/>
                <w:szCs w:val="20"/>
              </w:rPr>
              <w:t>Opinion of the Special Committee’s Financial Advisor dated April 28, 2026”</w:t>
            </w:r>
          </w:p>
        </w:tc>
      </w:tr>
    </w:tbl>
    <w:p w14:paraId="1E164B06"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505DD0F" w14:textId="77777777">
        <w:trPr>
          <w:divId w:val="305475121"/>
          <w:tblCellSpacing w:w="0" w:type="dxa"/>
        </w:trPr>
        <w:tc>
          <w:tcPr>
            <w:tcW w:w="1080" w:type="dxa"/>
            <w:hideMark/>
          </w:tcPr>
          <w:p w14:paraId="5848F880" w14:textId="77777777" w:rsidR="00000000" w:rsidRDefault="002F725F">
            <w:pPr>
              <w:rPr>
                <w:sz w:val="20"/>
                <w:szCs w:val="20"/>
              </w:rPr>
            </w:pPr>
          </w:p>
        </w:tc>
        <w:tc>
          <w:tcPr>
            <w:tcW w:w="360" w:type="dxa"/>
            <w:hideMark/>
          </w:tcPr>
          <w:p w14:paraId="02721FBE" w14:textId="77777777" w:rsidR="00000000" w:rsidRDefault="002F725F">
            <w:pPr>
              <w:rPr>
                <w:rFonts w:eastAsia="Times New Roman"/>
                <w:sz w:val="20"/>
                <w:szCs w:val="20"/>
              </w:rPr>
            </w:pPr>
            <w:r>
              <w:rPr>
                <w:rFonts w:eastAsia="Times New Roman"/>
                <w:sz w:val="20"/>
                <w:szCs w:val="20"/>
              </w:rPr>
              <w:t>●</w:t>
            </w:r>
          </w:p>
        </w:tc>
        <w:tc>
          <w:tcPr>
            <w:tcW w:w="0" w:type="auto"/>
            <w:hideMark/>
          </w:tcPr>
          <w:p w14:paraId="6F387C4F" w14:textId="77777777" w:rsidR="00000000" w:rsidRDefault="002F725F">
            <w:pPr>
              <w:jc w:val="both"/>
              <w:rPr>
                <w:rFonts w:eastAsia="Times New Roman"/>
                <w:sz w:val="20"/>
                <w:szCs w:val="20"/>
              </w:rPr>
            </w:pPr>
            <w:r>
              <w:rPr>
                <w:rFonts w:eastAsia="Times New Roman"/>
                <w:sz w:val="20"/>
                <w:szCs w:val="20"/>
              </w:rPr>
              <w:t>“ANNEX C—FAIRNESS OPINION”</w:t>
            </w:r>
          </w:p>
        </w:tc>
      </w:tr>
    </w:tbl>
    <w:p w14:paraId="2CFE6AAF"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7A2C8C70" w14:textId="77777777">
        <w:trPr>
          <w:divId w:val="305475121"/>
          <w:tblCellSpacing w:w="0" w:type="dxa"/>
        </w:trPr>
        <w:tc>
          <w:tcPr>
            <w:tcW w:w="6" w:type="dxa"/>
            <w:hideMark/>
          </w:tcPr>
          <w:p w14:paraId="374F7412" w14:textId="77777777" w:rsidR="00000000" w:rsidRDefault="002F725F">
            <w:pPr>
              <w:rPr>
                <w:sz w:val="20"/>
                <w:szCs w:val="20"/>
              </w:rPr>
            </w:pPr>
          </w:p>
        </w:tc>
        <w:tc>
          <w:tcPr>
            <w:tcW w:w="1080" w:type="dxa"/>
            <w:hideMark/>
          </w:tcPr>
          <w:p w14:paraId="7E24AEBA" w14:textId="77777777" w:rsidR="00000000" w:rsidRDefault="002F725F">
            <w:pPr>
              <w:rPr>
                <w:rFonts w:eastAsia="Times New Roman"/>
                <w:sz w:val="20"/>
                <w:szCs w:val="20"/>
              </w:rPr>
            </w:pPr>
            <w:r>
              <w:rPr>
                <w:rFonts w:eastAsia="Times New Roman"/>
                <w:sz w:val="20"/>
                <w:szCs w:val="20"/>
              </w:rPr>
              <w:t>(e)</w:t>
            </w:r>
          </w:p>
        </w:tc>
        <w:tc>
          <w:tcPr>
            <w:tcW w:w="0" w:type="auto"/>
            <w:hideMark/>
          </w:tcPr>
          <w:p w14:paraId="60500DC1" w14:textId="77777777" w:rsidR="00000000" w:rsidRDefault="002F725F">
            <w:pPr>
              <w:jc w:val="both"/>
              <w:rPr>
                <w:rFonts w:eastAsia="Times New Roman"/>
                <w:sz w:val="20"/>
                <w:szCs w:val="20"/>
              </w:rPr>
            </w:pPr>
            <w:r>
              <w:rPr>
                <w:rFonts w:eastAsia="Times New Roman"/>
                <w:sz w:val="20"/>
                <w:szCs w:val="20"/>
              </w:rPr>
              <w:t>Approval of Directors. </w:t>
            </w:r>
            <w:r>
              <w:rPr>
                <w:rFonts w:eastAsia="Times New Roman"/>
                <w:sz w:val="20"/>
                <w:szCs w:val="20"/>
              </w:rPr>
              <w:t>The information set forth in the Proxy Statement under the following captions is incorporated herein by reference:</w:t>
            </w:r>
          </w:p>
        </w:tc>
      </w:tr>
    </w:tbl>
    <w:p w14:paraId="1A149109"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2205876" w14:textId="77777777">
        <w:trPr>
          <w:divId w:val="305475121"/>
          <w:tblCellSpacing w:w="0" w:type="dxa"/>
        </w:trPr>
        <w:tc>
          <w:tcPr>
            <w:tcW w:w="1080" w:type="dxa"/>
            <w:hideMark/>
          </w:tcPr>
          <w:p w14:paraId="220CD2EC" w14:textId="77777777" w:rsidR="00000000" w:rsidRDefault="002F725F">
            <w:pPr>
              <w:rPr>
                <w:sz w:val="20"/>
                <w:szCs w:val="20"/>
              </w:rPr>
            </w:pPr>
          </w:p>
        </w:tc>
        <w:tc>
          <w:tcPr>
            <w:tcW w:w="360" w:type="dxa"/>
            <w:hideMark/>
          </w:tcPr>
          <w:p w14:paraId="61047A9A" w14:textId="77777777" w:rsidR="00000000" w:rsidRDefault="002F725F">
            <w:pPr>
              <w:rPr>
                <w:rFonts w:eastAsia="Times New Roman"/>
                <w:sz w:val="20"/>
                <w:szCs w:val="20"/>
              </w:rPr>
            </w:pPr>
            <w:r>
              <w:rPr>
                <w:rFonts w:eastAsia="Times New Roman"/>
                <w:sz w:val="20"/>
                <w:szCs w:val="20"/>
              </w:rPr>
              <w:t>●</w:t>
            </w:r>
          </w:p>
        </w:tc>
        <w:tc>
          <w:tcPr>
            <w:tcW w:w="0" w:type="auto"/>
            <w:hideMark/>
          </w:tcPr>
          <w:p w14:paraId="03E0621B" w14:textId="77777777" w:rsidR="00000000" w:rsidRDefault="002F725F">
            <w:pPr>
              <w:jc w:val="both"/>
              <w:rPr>
                <w:rFonts w:eastAsia="Times New Roman"/>
                <w:sz w:val="20"/>
                <w:szCs w:val="20"/>
              </w:rPr>
            </w:pPr>
            <w:r>
              <w:rPr>
                <w:rFonts w:eastAsia="Times New Roman"/>
                <w:sz w:val="20"/>
                <w:szCs w:val="20"/>
              </w:rPr>
              <w:t>“QUESTIONS AND ANSWERS ABOUT THE EXTRAORDINARY GENERAL MEETING AND THE MERGER”</w:t>
            </w:r>
          </w:p>
        </w:tc>
      </w:tr>
    </w:tbl>
    <w:p w14:paraId="3DEE789D"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319651E" w14:textId="77777777">
        <w:trPr>
          <w:divId w:val="305475121"/>
          <w:tblCellSpacing w:w="0" w:type="dxa"/>
        </w:trPr>
        <w:tc>
          <w:tcPr>
            <w:tcW w:w="1080" w:type="dxa"/>
            <w:hideMark/>
          </w:tcPr>
          <w:p w14:paraId="0095FF66" w14:textId="77777777" w:rsidR="00000000" w:rsidRDefault="002F725F">
            <w:pPr>
              <w:rPr>
                <w:sz w:val="20"/>
                <w:szCs w:val="20"/>
              </w:rPr>
            </w:pPr>
          </w:p>
        </w:tc>
        <w:tc>
          <w:tcPr>
            <w:tcW w:w="360" w:type="dxa"/>
            <w:hideMark/>
          </w:tcPr>
          <w:p w14:paraId="15738FCC" w14:textId="77777777" w:rsidR="00000000" w:rsidRDefault="002F725F">
            <w:pPr>
              <w:rPr>
                <w:rFonts w:eastAsia="Times New Roman"/>
                <w:sz w:val="20"/>
                <w:szCs w:val="20"/>
              </w:rPr>
            </w:pPr>
            <w:r>
              <w:rPr>
                <w:rFonts w:eastAsia="Times New Roman"/>
                <w:sz w:val="20"/>
                <w:szCs w:val="20"/>
              </w:rPr>
              <w:t>●</w:t>
            </w:r>
          </w:p>
        </w:tc>
        <w:tc>
          <w:tcPr>
            <w:tcW w:w="0" w:type="auto"/>
            <w:hideMark/>
          </w:tcPr>
          <w:p w14:paraId="0D60513E" w14:textId="77777777" w:rsidR="00000000" w:rsidRDefault="002F725F">
            <w:pPr>
              <w:jc w:val="both"/>
              <w:rPr>
                <w:rFonts w:eastAsia="Times New Roman"/>
                <w:sz w:val="20"/>
                <w:szCs w:val="20"/>
              </w:rPr>
            </w:pPr>
            <w:r>
              <w:rPr>
                <w:rFonts w:eastAsia="Times New Roman"/>
                <w:sz w:val="20"/>
                <w:szCs w:val="20"/>
              </w:rPr>
              <w:t>“SPECIAL FACTORS—</w:t>
            </w:r>
            <w:r>
              <w:rPr>
                <w:rFonts w:eastAsia="Times New Roman"/>
                <w:sz w:val="20"/>
                <w:szCs w:val="20"/>
              </w:rPr>
              <w:t>Background of the Merger”</w:t>
            </w:r>
          </w:p>
        </w:tc>
      </w:tr>
    </w:tbl>
    <w:p w14:paraId="40490AD3"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B7657BF" w14:textId="77777777">
        <w:trPr>
          <w:divId w:val="305475121"/>
          <w:tblCellSpacing w:w="0" w:type="dxa"/>
        </w:trPr>
        <w:tc>
          <w:tcPr>
            <w:tcW w:w="1080" w:type="dxa"/>
            <w:hideMark/>
          </w:tcPr>
          <w:p w14:paraId="4D31176B" w14:textId="77777777" w:rsidR="00000000" w:rsidRDefault="002F725F">
            <w:pPr>
              <w:rPr>
                <w:sz w:val="20"/>
                <w:szCs w:val="20"/>
              </w:rPr>
            </w:pPr>
          </w:p>
        </w:tc>
        <w:tc>
          <w:tcPr>
            <w:tcW w:w="360" w:type="dxa"/>
            <w:hideMark/>
          </w:tcPr>
          <w:p w14:paraId="6F5C4ABF" w14:textId="77777777" w:rsidR="00000000" w:rsidRDefault="002F725F">
            <w:pPr>
              <w:rPr>
                <w:rFonts w:eastAsia="Times New Roman"/>
                <w:sz w:val="20"/>
                <w:szCs w:val="20"/>
              </w:rPr>
            </w:pPr>
            <w:r>
              <w:rPr>
                <w:rFonts w:eastAsia="Times New Roman"/>
                <w:sz w:val="20"/>
                <w:szCs w:val="20"/>
              </w:rPr>
              <w:t>●</w:t>
            </w:r>
          </w:p>
        </w:tc>
        <w:tc>
          <w:tcPr>
            <w:tcW w:w="0" w:type="auto"/>
            <w:hideMark/>
          </w:tcPr>
          <w:p w14:paraId="42AC6A49" w14:textId="77777777" w:rsidR="00000000" w:rsidRDefault="002F725F">
            <w:pPr>
              <w:jc w:val="both"/>
              <w:rPr>
                <w:rFonts w:eastAsia="Times New Roman"/>
                <w:sz w:val="20"/>
                <w:szCs w:val="20"/>
              </w:rPr>
            </w:pPr>
            <w:r>
              <w:rPr>
                <w:rFonts w:eastAsia="Times New Roman"/>
                <w:sz w:val="20"/>
                <w:szCs w:val="20"/>
              </w:rPr>
              <w:t>“SPECIAL FACTORS—Reasons for the Merger and Recommendation of the Special Committee and the Board”</w:t>
            </w:r>
          </w:p>
        </w:tc>
      </w:tr>
    </w:tbl>
    <w:p w14:paraId="36112370"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7FCC905C" w14:textId="77777777">
        <w:trPr>
          <w:divId w:val="305475121"/>
          <w:tblCellSpacing w:w="0" w:type="dxa"/>
        </w:trPr>
        <w:tc>
          <w:tcPr>
            <w:tcW w:w="6" w:type="dxa"/>
            <w:hideMark/>
          </w:tcPr>
          <w:p w14:paraId="4A894CA3" w14:textId="77777777" w:rsidR="00000000" w:rsidRDefault="002F725F">
            <w:pPr>
              <w:rPr>
                <w:sz w:val="20"/>
                <w:szCs w:val="20"/>
              </w:rPr>
            </w:pPr>
          </w:p>
        </w:tc>
        <w:tc>
          <w:tcPr>
            <w:tcW w:w="1080" w:type="dxa"/>
            <w:hideMark/>
          </w:tcPr>
          <w:p w14:paraId="104DF7F6" w14:textId="77777777" w:rsidR="00000000" w:rsidRDefault="002F725F">
            <w:pPr>
              <w:rPr>
                <w:rFonts w:eastAsia="Times New Roman"/>
                <w:sz w:val="20"/>
                <w:szCs w:val="20"/>
              </w:rPr>
            </w:pPr>
            <w:r>
              <w:rPr>
                <w:rFonts w:eastAsia="Times New Roman"/>
                <w:sz w:val="20"/>
                <w:szCs w:val="20"/>
              </w:rPr>
              <w:t>(f)</w:t>
            </w:r>
          </w:p>
        </w:tc>
        <w:tc>
          <w:tcPr>
            <w:tcW w:w="0" w:type="auto"/>
            <w:hideMark/>
          </w:tcPr>
          <w:p w14:paraId="1A2E5DAE" w14:textId="77777777" w:rsidR="00000000" w:rsidRDefault="002F725F">
            <w:pPr>
              <w:jc w:val="both"/>
              <w:rPr>
                <w:rFonts w:eastAsia="Times New Roman"/>
                <w:sz w:val="20"/>
                <w:szCs w:val="20"/>
              </w:rPr>
            </w:pPr>
            <w:r>
              <w:rPr>
                <w:rFonts w:eastAsia="Times New Roman"/>
                <w:sz w:val="20"/>
                <w:szCs w:val="20"/>
              </w:rPr>
              <w:t>Other Offers. The information set forth in the Proxy Statement under the following captions is incorporated herein by</w:t>
            </w:r>
            <w:r>
              <w:rPr>
                <w:rFonts w:eastAsia="Times New Roman"/>
                <w:sz w:val="20"/>
                <w:szCs w:val="20"/>
              </w:rPr>
              <w:t xml:space="preserve"> reference:</w:t>
            </w:r>
          </w:p>
        </w:tc>
      </w:tr>
    </w:tbl>
    <w:p w14:paraId="65CB0372"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FC6E561" w14:textId="77777777">
        <w:trPr>
          <w:divId w:val="305475121"/>
          <w:tblCellSpacing w:w="0" w:type="dxa"/>
        </w:trPr>
        <w:tc>
          <w:tcPr>
            <w:tcW w:w="1080" w:type="dxa"/>
            <w:hideMark/>
          </w:tcPr>
          <w:p w14:paraId="38500727" w14:textId="77777777" w:rsidR="00000000" w:rsidRDefault="002F725F">
            <w:pPr>
              <w:rPr>
                <w:sz w:val="20"/>
                <w:szCs w:val="20"/>
              </w:rPr>
            </w:pPr>
          </w:p>
        </w:tc>
        <w:tc>
          <w:tcPr>
            <w:tcW w:w="360" w:type="dxa"/>
            <w:hideMark/>
          </w:tcPr>
          <w:p w14:paraId="712F3BBB" w14:textId="77777777" w:rsidR="00000000" w:rsidRDefault="002F725F">
            <w:pPr>
              <w:rPr>
                <w:rFonts w:eastAsia="Times New Roman"/>
                <w:sz w:val="20"/>
                <w:szCs w:val="20"/>
              </w:rPr>
            </w:pPr>
            <w:r>
              <w:rPr>
                <w:rFonts w:eastAsia="Times New Roman"/>
                <w:sz w:val="20"/>
                <w:szCs w:val="20"/>
              </w:rPr>
              <w:t>●</w:t>
            </w:r>
          </w:p>
        </w:tc>
        <w:tc>
          <w:tcPr>
            <w:tcW w:w="0" w:type="auto"/>
            <w:hideMark/>
          </w:tcPr>
          <w:p w14:paraId="3C136999" w14:textId="77777777" w:rsidR="00000000" w:rsidRDefault="002F725F">
            <w:pPr>
              <w:jc w:val="both"/>
              <w:rPr>
                <w:rFonts w:eastAsia="Times New Roman"/>
                <w:sz w:val="20"/>
                <w:szCs w:val="20"/>
              </w:rPr>
            </w:pPr>
            <w:r>
              <w:rPr>
                <w:rFonts w:eastAsia="Times New Roman"/>
                <w:sz w:val="20"/>
                <w:szCs w:val="20"/>
              </w:rPr>
              <w:t>“SPECIAL FACTORS—Background of the Merger”</w:t>
            </w:r>
          </w:p>
        </w:tc>
      </w:tr>
    </w:tbl>
    <w:p w14:paraId="1C5A8911"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5FF93C8" w14:textId="77777777">
        <w:trPr>
          <w:divId w:val="305475121"/>
          <w:tblCellSpacing w:w="0" w:type="dxa"/>
        </w:trPr>
        <w:tc>
          <w:tcPr>
            <w:tcW w:w="1080" w:type="dxa"/>
            <w:hideMark/>
          </w:tcPr>
          <w:p w14:paraId="584907F2" w14:textId="77777777" w:rsidR="00000000" w:rsidRDefault="002F725F">
            <w:pPr>
              <w:rPr>
                <w:sz w:val="20"/>
                <w:szCs w:val="20"/>
              </w:rPr>
            </w:pPr>
          </w:p>
        </w:tc>
        <w:tc>
          <w:tcPr>
            <w:tcW w:w="360" w:type="dxa"/>
            <w:hideMark/>
          </w:tcPr>
          <w:p w14:paraId="04C2C6A7" w14:textId="77777777" w:rsidR="00000000" w:rsidRDefault="002F725F">
            <w:pPr>
              <w:rPr>
                <w:rFonts w:eastAsia="Times New Roman"/>
                <w:sz w:val="20"/>
                <w:szCs w:val="20"/>
              </w:rPr>
            </w:pPr>
            <w:r>
              <w:rPr>
                <w:rFonts w:eastAsia="Times New Roman"/>
                <w:sz w:val="20"/>
                <w:szCs w:val="20"/>
              </w:rPr>
              <w:t>●</w:t>
            </w:r>
          </w:p>
        </w:tc>
        <w:tc>
          <w:tcPr>
            <w:tcW w:w="0" w:type="auto"/>
            <w:hideMark/>
          </w:tcPr>
          <w:p w14:paraId="3F4BB22F" w14:textId="77777777" w:rsidR="00000000" w:rsidRDefault="002F725F">
            <w:pPr>
              <w:jc w:val="both"/>
              <w:rPr>
                <w:rFonts w:eastAsia="Times New Roman"/>
                <w:sz w:val="20"/>
                <w:szCs w:val="20"/>
              </w:rPr>
            </w:pPr>
            <w:r>
              <w:rPr>
                <w:rFonts w:eastAsia="Times New Roman"/>
                <w:sz w:val="20"/>
                <w:szCs w:val="20"/>
              </w:rPr>
              <w:t>“SPECIAL FACTORS—Reasons for the Merger and Recommendation of the Special Committee and the Board”</w:t>
            </w:r>
          </w:p>
        </w:tc>
      </w:tr>
    </w:tbl>
    <w:p w14:paraId="48D55046"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16EA188F" w14:textId="77777777">
        <w:trPr>
          <w:divId w:val="305475121"/>
          <w:tblCellSpacing w:w="0" w:type="dxa"/>
        </w:trPr>
        <w:tc>
          <w:tcPr>
            <w:tcW w:w="0" w:type="pct"/>
            <w:hideMark/>
          </w:tcPr>
          <w:p w14:paraId="3A75677F" w14:textId="77777777" w:rsidR="00000000" w:rsidRDefault="002F725F">
            <w:pPr>
              <w:rPr>
                <w:sz w:val="20"/>
                <w:szCs w:val="20"/>
              </w:rPr>
            </w:pPr>
            <w:bookmarkStart w:id="9" w:name="gfpea0289617-sc13e3a6_lake.htma_009"/>
            <w:bookmarkEnd w:id="9"/>
          </w:p>
        </w:tc>
        <w:tc>
          <w:tcPr>
            <w:tcW w:w="720" w:type="dxa"/>
            <w:hideMark/>
          </w:tcPr>
          <w:p w14:paraId="4510335A" w14:textId="77777777" w:rsidR="00000000" w:rsidRDefault="002F725F">
            <w:pPr>
              <w:rPr>
                <w:rFonts w:eastAsia="Times New Roman"/>
                <w:sz w:val="20"/>
                <w:szCs w:val="20"/>
              </w:rPr>
            </w:pPr>
            <w:r>
              <w:rPr>
                <w:rFonts w:eastAsia="Times New Roman"/>
                <w:b/>
                <w:bCs/>
                <w:sz w:val="20"/>
                <w:szCs w:val="20"/>
              </w:rPr>
              <w:t>Item 9</w:t>
            </w:r>
          </w:p>
        </w:tc>
        <w:tc>
          <w:tcPr>
            <w:tcW w:w="0" w:type="auto"/>
            <w:hideMark/>
          </w:tcPr>
          <w:p w14:paraId="198ED0B9" w14:textId="77777777" w:rsidR="00000000" w:rsidRDefault="002F725F">
            <w:pPr>
              <w:jc w:val="both"/>
              <w:rPr>
                <w:rFonts w:eastAsia="Times New Roman"/>
                <w:sz w:val="20"/>
                <w:szCs w:val="20"/>
              </w:rPr>
            </w:pPr>
            <w:r>
              <w:rPr>
                <w:rFonts w:eastAsia="Times New Roman"/>
                <w:b/>
                <w:bCs/>
                <w:sz w:val="20"/>
                <w:szCs w:val="20"/>
              </w:rPr>
              <w:t>Reports, Opinions, Appraisals and Negotiations</w:t>
            </w:r>
          </w:p>
        </w:tc>
      </w:tr>
    </w:tbl>
    <w:p w14:paraId="2DBCE723"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4C16A036" w14:textId="77777777">
        <w:trPr>
          <w:divId w:val="305475121"/>
          <w:tblCellSpacing w:w="0" w:type="dxa"/>
        </w:trPr>
        <w:tc>
          <w:tcPr>
            <w:tcW w:w="6" w:type="dxa"/>
            <w:hideMark/>
          </w:tcPr>
          <w:p w14:paraId="42FC049A" w14:textId="77777777" w:rsidR="00000000" w:rsidRDefault="002F725F">
            <w:pPr>
              <w:rPr>
                <w:sz w:val="20"/>
                <w:szCs w:val="20"/>
              </w:rPr>
            </w:pPr>
          </w:p>
        </w:tc>
        <w:tc>
          <w:tcPr>
            <w:tcW w:w="1080" w:type="dxa"/>
            <w:hideMark/>
          </w:tcPr>
          <w:p w14:paraId="59496E72" w14:textId="77777777" w:rsidR="00000000" w:rsidRDefault="002F725F">
            <w:pPr>
              <w:rPr>
                <w:rFonts w:eastAsia="Times New Roman"/>
                <w:sz w:val="20"/>
                <w:szCs w:val="20"/>
              </w:rPr>
            </w:pPr>
            <w:r>
              <w:rPr>
                <w:rFonts w:eastAsia="Times New Roman"/>
                <w:sz w:val="20"/>
                <w:szCs w:val="20"/>
              </w:rPr>
              <w:t>(a)</w:t>
            </w:r>
          </w:p>
        </w:tc>
        <w:tc>
          <w:tcPr>
            <w:tcW w:w="0" w:type="auto"/>
            <w:hideMark/>
          </w:tcPr>
          <w:p w14:paraId="711EF7D5" w14:textId="77777777" w:rsidR="00000000" w:rsidRDefault="002F725F">
            <w:pPr>
              <w:jc w:val="both"/>
              <w:rPr>
                <w:rFonts w:eastAsia="Times New Roman"/>
                <w:sz w:val="20"/>
                <w:szCs w:val="20"/>
              </w:rPr>
            </w:pPr>
            <w:r>
              <w:rPr>
                <w:rFonts w:eastAsia="Times New Roman"/>
                <w:sz w:val="20"/>
                <w:szCs w:val="20"/>
              </w:rPr>
              <w:t>Report, Opinion or Appraisal. The information set forth in the Proxy Statement under the following captions is incorporated herein by reference:</w:t>
            </w:r>
          </w:p>
        </w:tc>
      </w:tr>
    </w:tbl>
    <w:p w14:paraId="1B0D1EF2"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23D10A4" w14:textId="77777777">
        <w:trPr>
          <w:divId w:val="305475121"/>
          <w:tblCellSpacing w:w="0" w:type="dxa"/>
        </w:trPr>
        <w:tc>
          <w:tcPr>
            <w:tcW w:w="1080" w:type="dxa"/>
            <w:hideMark/>
          </w:tcPr>
          <w:p w14:paraId="6168EFE5" w14:textId="77777777" w:rsidR="00000000" w:rsidRDefault="002F725F">
            <w:pPr>
              <w:rPr>
                <w:sz w:val="20"/>
                <w:szCs w:val="20"/>
              </w:rPr>
            </w:pPr>
          </w:p>
        </w:tc>
        <w:tc>
          <w:tcPr>
            <w:tcW w:w="360" w:type="dxa"/>
            <w:hideMark/>
          </w:tcPr>
          <w:p w14:paraId="11C8170F" w14:textId="77777777" w:rsidR="00000000" w:rsidRDefault="002F725F">
            <w:pPr>
              <w:rPr>
                <w:rFonts w:eastAsia="Times New Roman"/>
                <w:sz w:val="20"/>
                <w:szCs w:val="20"/>
              </w:rPr>
            </w:pPr>
            <w:r>
              <w:rPr>
                <w:rFonts w:eastAsia="Times New Roman"/>
                <w:sz w:val="20"/>
                <w:szCs w:val="20"/>
              </w:rPr>
              <w:t>●</w:t>
            </w:r>
          </w:p>
        </w:tc>
        <w:tc>
          <w:tcPr>
            <w:tcW w:w="0" w:type="auto"/>
            <w:hideMark/>
          </w:tcPr>
          <w:p w14:paraId="44295F62" w14:textId="77777777" w:rsidR="00000000" w:rsidRDefault="002F725F">
            <w:pPr>
              <w:jc w:val="both"/>
              <w:rPr>
                <w:rFonts w:eastAsia="Times New Roman"/>
                <w:sz w:val="20"/>
                <w:szCs w:val="20"/>
              </w:rPr>
            </w:pPr>
            <w:r>
              <w:rPr>
                <w:rFonts w:eastAsia="Times New Roman"/>
                <w:sz w:val="20"/>
                <w:szCs w:val="20"/>
              </w:rPr>
              <w:t xml:space="preserve">“SUMMARY TERM SHEET—Opinions </w:t>
            </w:r>
            <w:r>
              <w:rPr>
                <w:rFonts w:eastAsia="Times New Roman"/>
                <w:sz w:val="20"/>
                <w:szCs w:val="20"/>
              </w:rPr>
              <w:t>of the Special Committee’s Financial Advisor”</w:t>
            </w:r>
          </w:p>
        </w:tc>
      </w:tr>
    </w:tbl>
    <w:p w14:paraId="7BB4157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FA114CF" w14:textId="77777777">
        <w:trPr>
          <w:divId w:val="305475121"/>
          <w:tblCellSpacing w:w="0" w:type="dxa"/>
        </w:trPr>
        <w:tc>
          <w:tcPr>
            <w:tcW w:w="1080" w:type="dxa"/>
            <w:hideMark/>
          </w:tcPr>
          <w:p w14:paraId="46A8E87A" w14:textId="77777777" w:rsidR="00000000" w:rsidRDefault="002F725F">
            <w:pPr>
              <w:rPr>
                <w:sz w:val="20"/>
                <w:szCs w:val="20"/>
              </w:rPr>
            </w:pPr>
          </w:p>
        </w:tc>
        <w:tc>
          <w:tcPr>
            <w:tcW w:w="360" w:type="dxa"/>
            <w:hideMark/>
          </w:tcPr>
          <w:p w14:paraId="58EB642A" w14:textId="77777777" w:rsidR="00000000" w:rsidRDefault="002F725F">
            <w:pPr>
              <w:rPr>
                <w:rFonts w:eastAsia="Times New Roman"/>
                <w:sz w:val="20"/>
                <w:szCs w:val="20"/>
              </w:rPr>
            </w:pPr>
            <w:r>
              <w:rPr>
                <w:rFonts w:eastAsia="Times New Roman"/>
                <w:sz w:val="20"/>
                <w:szCs w:val="20"/>
              </w:rPr>
              <w:t>●</w:t>
            </w:r>
          </w:p>
        </w:tc>
        <w:tc>
          <w:tcPr>
            <w:tcW w:w="0" w:type="auto"/>
            <w:hideMark/>
          </w:tcPr>
          <w:p w14:paraId="596E82E9" w14:textId="77777777" w:rsidR="00000000" w:rsidRDefault="002F725F">
            <w:pPr>
              <w:jc w:val="both"/>
              <w:rPr>
                <w:rFonts w:eastAsia="Times New Roman"/>
                <w:sz w:val="20"/>
                <w:szCs w:val="20"/>
              </w:rPr>
            </w:pPr>
            <w:r>
              <w:rPr>
                <w:rFonts w:eastAsia="Times New Roman"/>
                <w:sz w:val="20"/>
                <w:szCs w:val="20"/>
              </w:rPr>
              <w:t>“SPECIAL FACTORS—Background of the Merger”</w:t>
            </w:r>
          </w:p>
        </w:tc>
      </w:tr>
    </w:tbl>
    <w:p w14:paraId="61A8462E"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B9C7FEB" w14:textId="77777777">
        <w:trPr>
          <w:divId w:val="305475121"/>
          <w:tblCellSpacing w:w="0" w:type="dxa"/>
        </w:trPr>
        <w:tc>
          <w:tcPr>
            <w:tcW w:w="1080" w:type="dxa"/>
            <w:hideMark/>
          </w:tcPr>
          <w:p w14:paraId="0F992BA7" w14:textId="77777777" w:rsidR="00000000" w:rsidRDefault="002F725F">
            <w:pPr>
              <w:rPr>
                <w:sz w:val="20"/>
                <w:szCs w:val="20"/>
              </w:rPr>
            </w:pPr>
          </w:p>
        </w:tc>
        <w:tc>
          <w:tcPr>
            <w:tcW w:w="360" w:type="dxa"/>
            <w:hideMark/>
          </w:tcPr>
          <w:p w14:paraId="022C7073" w14:textId="77777777" w:rsidR="00000000" w:rsidRDefault="002F725F">
            <w:pPr>
              <w:rPr>
                <w:rFonts w:eastAsia="Times New Roman"/>
                <w:sz w:val="20"/>
                <w:szCs w:val="20"/>
              </w:rPr>
            </w:pPr>
            <w:r>
              <w:rPr>
                <w:rFonts w:eastAsia="Times New Roman"/>
                <w:sz w:val="20"/>
                <w:szCs w:val="20"/>
              </w:rPr>
              <w:t>●</w:t>
            </w:r>
          </w:p>
        </w:tc>
        <w:tc>
          <w:tcPr>
            <w:tcW w:w="0" w:type="auto"/>
            <w:hideMark/>
          </w:tcPr>
          <w:p w14:paraId="7DE2A9E4" w14:textId="77777777" w:rsidR="00000000" w:rsidRDefault="002F725F">
            <w:pPr>
              <w:jc w:val="both"/>
              <w:rPr>
                <w:rFonts w:eastAsia="Times New Roman"/>
                <w:sz w:val="20"/>
                <w:szCs w:val="20"/>
              </w:rPr>
            </w:pPr>
            <w:r>
              <w:rPr>
                <w:rFonts w:eastAsia="Times New Roman"/>
                <w:sz w:val="20"/>
                <w:szCs w:val="20"/>
              </w:rPr>
              <w:t>“SPECIAL FACTORS—Prior Opinion of the Special Committee’s Financial Advisor”</w:t>
            </w:r>
          </w:p>
        </w:tc>
      </w:tr>
    </w:tbl>
    <w:p w14:paraId="3DE46776"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376291E" w14:textId="77777777">
        <w:trPr>
          <w:divId w:val="305475121"/>
          <w:tblCellSpacing w:w="0" w:type="dxa"/>
        </w:trPr>
        <w:tc>
          <w:tcPr>
            <w:tcW w:w="1080" w:type="dxa"/>
            <w:hideMark/>
          </w:tcPr>
          <w:p w14:paraId="7E61F4E7" w14:textId="77777777" w:rsidR="00000000" w:rsidRDefault="002F725F">
            <w:pPr>
              <w:rPr>
                <w:sz w:val="20"/>
                <w:szCs w:val="20"/>
              </w:rPr>
            </w:pPr>
          </w:p>
        </w:tc>
        <w:tc>
          <w:tcPr>
            <w:tcW w:w="360" w:type="dxa"/>
            <w:hideMark/>
          </w:tcPr>
          <w:p w14:paraId="0EFD365C" w14:textId="77777777" w:rsidR="00000000" w:rsidRDefault="002F725F">
            <w:pPr>
              <w:rPr>
                <w:rFonts w:eastAsia="Times New Roman"/>
                <w:sz w:val="20"/>
                <w:szCs w:val="20"/>
              </w:rPr>
            </w:pPr>
            <w:r>
              <w:rPr>
                <w:rFonts w:eastAsia="Times New Roman"/>
                <w:sz w:val="20"/>
                <w:szCs w:val="20"/>
              </w:rPr>
              <w:t>●</w:t>
            </w:r>
          </w:p>
        </w:tc>
        <w:tc>
          <w:tcPr>
            <w:tcW w:w="0" w:type="auto"/>
            <w:hideMark/>
          </w:tcPr>
          <w:p w14:paraId="231B2564" w14:textId="77777777" w:rsidR="00000000" w:rsidRDefault="002F725F">
            <w:pPr>
              <w:jc w:val="both"/>
              <w:rPr>
                <w:rFonts w:eastAsia="Times New Roman"/>
                <w:sz w:val="20"/>
                <w:szCs w:val="20"/>
              </w:rPr>
            </w:pPr>
            <w:r>
              <w:rPr>
                <w:rFonts w:eastAsia="Times New Roman"/>
                <w:sz w:val="20"/>
                <w:szCs w:val="20"/>
              </w:rPr>
              <w:t>“SPECIAL FACTORS—Opinion of the Special Committee’s Financial Advisor da</w:t>
            </w:r>
            <w:r>
              <w:rPr>
                <w:rFonts w:eastAsia="Times New Roman"/>
                <w:sz w:val="20"/>
                <w:szCs w:val="20"/>
              </w:rPr>
              <w:t>ted April 28, 2026”</w:t>
            </w:r>
          </w:p>
        </w:tc>
      </w:tr>
    </w:tbl>
    <w:p w14:paraId="47146227"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02D7E34" w14:textId="77777777">
        <w:trPr>
          <w:divId w:val="305475121"/>
          <w:tblCellSpacing w:w="0" w:type="dxa"/>
        </w:trPr>
        <w:tc>
          <w:tcPr>
            <w:tcW w:w="1080" w:type="dxa"/>
            <w:hideMark/>
          </w:tcPr>
          <w:p w14:paraId="74064E7A" w14:textId="77777777" w:rsidR="00000000" w:rsidRDefault="002F725F">
            <w:pPr>
              <w:rPr>
                <w:sz w:val="20"/>
                <w:szCs w:val="20"/>
              </w:rPr>
            </w:pPr>
          </w:p>
        </w:tc>
        <w:tc>
          <w:tcPr>
            <w:tcW w:w="360" w:type="dxa"/>
            <w:hideMark/>
          </w:tcPr>
          <w:p w14:paraId="30FD9622" w14:textId="77777777" w:rsidR="00000000" w:rsidRDefault="002F725F">
            <w:pPr>
              <w:rPr>
                <w:rFonts w:eastAsia="Times New Roman"/>
                <w:sz w:val="20"/>
                <w:szCs w:val="20"/>
              </w:rPr>
            </w:pPr>
            <w:r>
              <w:rPr>
                <w:rFonts w:eastAsia="Times New Roman"/>
                <w:sz w:val="20"/>
                <w:szCs w:val="20"/>
              </w:rPr>
              <w:t>●</w:t>
            </w:r>
          </w:p>
        </w:tc>
        <w:tc>
          <w:tcPr>
            <w:tcW w:w="0" w:type="auto"/>
            <w:hideMark/>
          </w:tcPr>
          <w:p w14:paraId="0B755AEA" w14:textId="77777777" w:rsidR="00000000" w:rsidRDefault="002F725F">
            <w:pPr>
              <w:jc w:val="both"/>
              <w:rPr>
                <w:rFonts w:eastAsia="Times New Roman"/>
                <w:sz w:val="20"/>
                <w:szCs w:val="20"/>
              </w:rPr>
            </w:pPr>
            <w:r>
              <w:rPr>
                <w:rFonts w:eastAsia="Times New Roman"/>
                <w:sz w:val="20"/>
                <w:szCs w:val="20"/>
              </w:rPr>
              <w:t>“ANNEX C—FAIRNESS OPINION”</w:t>
            </w:r>
          </w:p>
        </w:tc>
      </w:tr>
    </w:tbl>
    <w:p w14:paraId="5C4F5766"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p w14:paraId="6AD8BAF8" w14:textId="77777777" w:rsidR="00000000" w:rsidRDefault="002F725F">
      <w:pPr>
        <w:pStyle w:val="NormalWeb"/>
        <w:spacing w:before="0" w:beforeAutospacing="0" w:after="0" w:afterAutospacing="0"/>
        <w:jc w:val="center"/>
        <w:divId w:val="1994018869"/>
        <w:rPr>
          <w:sz w:val="20"/>
          <w:szCs w:val="20"/>
        </w:rPr>
      </w:pPr>
      <w:r>
        <w:rPr>
          <w:sz w:val="20"/>
          <w:szCs w:val="20"/>
        </w:rPr>
        <w:t>1</w:t>
      </w:r>
      <w:r>
        <w:rPr>
          <w:sz w:val="20"/>
          <w:szCs w:val="20"/>
        </w:rPr>
        <w:t>0</w:t>
      </w:r>
    </w:p>
    <w:p w14:paraId="1789B0E9"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25D60CF0" w14:textId="77777777">
        <w:trPr>
          <w:divId w:val="305475121"/>
          <w:tblCellSpacing w:w="0" w:type="dxa"/>
        </w:trPr>
        <w:tc>
          <w:tcPr>
            <w:tcW w:w="6" w:type="dxa"/>
            <w:hideMark/>
          </w:tcPr>
          <w:p w14:paraId="18549504" w14:textId="77777777" w:rsidR="00000000" w:rsidRDefault="002F725F">
            <w:pPr>
              <w:rPr>
                <w:sz w:val="20"/>
                <w:szCs w:val="20"/>
              </w:rPr>
            </w:pPr>
          </w:p>
        </w:tc>
        <w:tc>
          <w:tcPr>
            <w:tcW w:w="1080" w:type="dxa"/>
            <w:hideMark/>
          </w:tcPr>
          <w:p w14:paraId="7FE58108" w14:textId="77777777" w:rsidR="00000000" w:rsidRDefault="002F725F">
            <w:pPr>
              <w:rPr>
                <w:rFonts w:eastAsia="Times New Roman"/>
                <w:sz w:val="20"/>
                <w:szCs w:val="20"/>
              </w:rPr>
            </w:pPr>
            <w:r>
              <w:rPr>
                <w:rFonts w:eastAsia="Times New Roman"/>
                <w:sz w:val="20"/>
                <w:szCs w:val="20"/>
              </w:rPr>
              <w:t>(b)</w:t>
            </w:r>
          </w:p>
        </w:tc>
        <w:tc>
          <w:tcPr>
            <w:tcW w:w="0" w:type="auto"/>
            <w:hideMark/>
          </w:tcPr>
          <w:p w14:paraId="22941428" w14:textId="77777777" w:rsidR="00000000" w:rsidRDefault="002F725F">
            <w:pPr>
              <w:jc w:val="both"/>
              <w:rPr>
                <w:rFonts w:eastAsia="Times New Roman"/>
                <w:sz w:val="20"/>
                <w:szCs w:val="20"/>
              </w:rPr>
            </w:pPr>
            <w:r>
              <w:rPr>
                <w:rFonts w:eastAsia="Times New Roman"/>
                <w:sz w:val="20"/>
                <w:szCs w:val="20"/>
              </w:rPr>
              <w:t xml:space="preserve">Preparer and Summary of the Report, Opinion or Appraisal. The information set forth in the Proxy Statement </w:t>
            </w:r>
            <w:r>
              <w:rPr>
                <w:rFonts w:eastAsia="Times New Roman"/>
                <w:sz w:val="20"/>
                <w:szCs w:val="20"/>
              </w:rPr>
              <w:t>under the following captions is incorporated herein by reference:</w:t>
            </w:r>
          </w:p>
        </w:tc>
      </w:tr>
    </w:tbl>
    <w:p w14:paraId="1FBB14D4"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6B2263A" w14:textId="77777777">
        <w:trPr>
          <w:divId w:val="305475121"/>
          <w:tblCellSpacing w:w="0" w:type="dxa"/>
        </w:trPr>
        <w:tc>
          <w:tcPr>
            <w:tcW w:w="1080" w:type="dxa"/>
            <w:hideMark/>
          </w:tcPr>
          <w:p w14:paraId="671AC0FC" w14:textId="77777777" w:rsidR="00000000" w:rsidRDefault="002F725F">
            <w:pPr>
              <w:rPr>
                <w:sz w:val="20"/>
                <w:szCs w:val="20"/>
              </w:rPr>
            </w:pPr>
          </w:p>
        </w:tc>
        <w:tc>
          <w:tcPr>
            <w:tcW w:w="360" w:type="dxa"/>
            <w:hideMark/>
          </w:tcPr>
          <w:p w14:paraId="086A77B0" w14:textId="77777777" w:rsidR="00000000" w:rsidRDefault="002F725F">
            <w:pPr>
              <w:rPr>
                <w:rFonts w:eastAsia="Times New Roman"/>
                <w:sz w:val="20"/>
                <w:szCs w:val="20"/>
              </w:rPr>
            </w:pPr>
            <w:r>
              <w:rPr>
                <w:rFonts w:eastAsia="Times New Roman"/>
                <w:sz w:val="20"/>
                <w:szCs w:val="20"/>
              </w:rPr>
              <w:t>●</w:t>
            </w:r>
          </w:p>
        </w:tc>
        <w:tc>
          <w:tcPr>
            <w:tcW w:w="0" w:type="auto"/>
            <w:hideMark/>
          </w:tcPr>
          <w:p w14:paraId="777E633E" w14:textId="77777777" w:rsidR="00000000" w:rsidRDefault="002F725F">
            <w:pPr>
              <w:jc w:val="both"/>
              <w:rPr>
                <w:rFonts w:eastAsia="Times New Roman"/>
                <w:sz w:val="20"/>
                <w:szCs w:val="20"/>
              </w:rPr>
            </w:pPr>
            <w:r>
              <w:rPr>
                <w:rFonts w:eastAsia="Times New Roman"/>
                <w:sz w:val="20"/>
                <w:szCs w:val="20"/>
              </w:rPr>
              <w:t>“SUMMARY TERM SHEET—Opinions of the Special Committee’s Financial Advisor”</w:t>
            </w:r>
          </w:p>
        </w:tc>
      </w:tr>
    </w:tbl>
    <w:p w14:paraId="3B715DB5"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4797B89" w14:textId="77777777">
        <w:trPr>
          <w:divId w:val="305475121"/>
          <w:tblCellSpacing w:w="0" w:type="dxa"/>
        </w:trPr>
        <w:tc>
          <w:tcPr>
            <w:tcW w:w="1080" w:type="dxa"/>
            <w:hideMark/>
          </w:tcPr>
          <w:p w14:paraId="0724AC0B" w14:textId="77777777" w:rsidR="00000000" w:rsidRDefault="002F725F">
            <w:pPr>
              <w:rPr>
                <w:sz w:val="20"/>
                <w:szCs w:val="20"/>
              </w:rPr>
            </w:pPr>
          </w:p>
        </w:tc>
        <w:tc>
          <w:tcPr>
            <w:tcW w:w="360" w:type="dxa"/>
            <w:hideMark/>
          </w:tcPr>
          <w:p w14:paraId="24E8D9D2" w14:textId="77777777" w:rsidR="00000000" w:rsidRDefault="002F725F">
            <w:pPr>
              <w:rPr>
                <w:rFonts w:eastAsia="Times New Roman"/>
                <w:sz w:val="20"/>
                <w:szCs w:val="20"/>
              </w:rPr>
            </w:pPr>
            <w:r>
              <w:rPr>
                <w:rFonts w:eastAsia="Times New Roman"/>
                <w:sz w:val="20"/>
                <w:szCs w:val="20"/>
              </w:rPr>
              <w:t>●</w:t>
            </w:r>
          </w:p>
        </w:tc>
        <w:tc>
          <w:tcPr>
            <w:tcW w:w="0" w:type="auto"/>
            <w:hideMark/>
          </w:tcPr>
          <w:p w14:paraId="13F90D22" w14:textId="77777777" w:rsidR="00000000" w:rsidRDefault="002F725F">
            <w:pPr>
              <w:jc w:val="both"/>
              <w:rPr>
                <w:rFonts w:eastAsia="Times New Roman"/>
                <w:sz w:val="20"/>
                <w:szCs w:val="20"/>
              </w:rPr>
            </w:pPr>
            <w:r>
              <w:rPr>
                <w:rFonts w:eastAsia="Times New Roman"/>
                <w:sz w:val="20"/>
                <w:szCs w:val="20"/>
              </w:rPr>
              <w:t>“SPECIAL FACTORS—Background of the Merger”</w:t>
            </w:r>
          </w:p>
        </w:tc>
      </w:tr>
    </w:tbl>
    <w:p w14:paraId="53851AB9"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9F734DF" w14:textId="77777777">
        <w:trPr>
          <w:divId w:val="305475121"/>
          <w:tblCellSpacing w:w="0" w:type="dxa"/>
        </w:trPr>
        <w:tc>
          <w:tcPr>
            <w:tcW w:w="1080" w:type="dxa"/>
            <w:hideMark/>
          </w:tcPr>
          <w:p w14:paraId="345F10E3" w14:textId="77777777" w:rsidR="00000000" w:rsidRDefault="002F725F">
            <w:pPr>
              <w:rPr>
                <w:sz w:val="20"/>
                <w:szCs w:val="20"/>
              </w:rPr>
            </w:pPr>
          </w:p>
        </w:tc>
        <w:tc>
          <w:tcPr>
            <w:tcW w:w="360" w:type="dxa"/>
            <w:hideMark/>
          </w:tcPr>
          <w:p w14:paraId="3E179A99" w14:textId="77777777" w:rsidR="00000000" w:rsidRDefault="002F725F">
            <w:pPr>
              <w:rPr>
                <w:rFonts w:eastAsia="Times New Roman"/>
                <w:sz w:val="20"/>
                <w:szCs w:val="20"/>
              </w:rPr>
            </w:pPr>
            <w:r>
              <w:rPr>
                <w:rFonts w:eastAsia="Times New Roman"/>
                <w:sz w:val="20"/>
                <w:szCs w:val="20"/>
              </w:rPr>
              <w:t>●</w:t>
            </w:r>
          </w:p>
        </w:tc>
        <w:tc>
          <w:tcPr>
            <w:tcW w:w="0" w:type="auto"/>
            <w:hideMark/>
          </w:tcPr>
          <w:p w14:paraId="2A92BA06" w14:textId="77777777" w:rsidR="00000000" w:rsidRDefault="002F725F">
            <w:pPr>
              <w:jc w:val="both"/>
              <w:rPr>
                <w:rFonts w:eastAsia="Times New Roman"/>
                <w:sz w:val="20"/>
                <w:szCs w:val="20"/>
              </w:rPr>
            </w:pPr>
            <w:r>
              <w:rPr>
                <w:rFonts w:eastAsia="Times New Roman"/>
                <w:sz w:val="20"/>
                <w:szCs w:val="20"/>
              </w:rPr>
              <w:t xml:space="preserve">“SPECIAL FACTORS—Prior </w:t>
            </w:r>
            <w:r>
              <w:rPr>
                <w:rFonts w:eastAsia="Times New Roman"/>
                <w:sz w:val="20"/>
                <w:szCs w:val="20"/>
              </w:rPr>
              <w:t>Opinion of the Special Committee’s Financial Advisor”</w:t>
            </w:r>
          </w:p>
        </w:tc>
      </w:tr>
    </w:tbl>
    <w:p w14:paraId="7BB42DCB"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890E507" w14:textId="77777777">
        <w:trPr>
          <w:divId w:val="305475121"/>
          <w:tblCellSpacing w:w="0" w:type="dxa"/>
        </w:trPr>
        <w:tc>
          <w:tcPr>
            <w:tcW w:w="0" w:type="auto"/>
            <w:hideMark/>
          </w:tcPr>
          <w:p w14:paraId="4A4DBC55" w14:textId="77777777" w:rsidR="00000000" w:rsidRDefault="002F725F">
            <w:pPr>
              <w:rPr>
                <w:rFonts w:eastAsia="Times New Roman"/>
                <w:sz w:val="20"/>
                <w:szCs w:val="20"/>
              </w:rPr>
            </w:pPr>
            <w:r>
              <w:rPr>
                <w:rFonts w:eastAsia="Times New Roman"/>
                <w:sz w:val="20"/>
                <w:szCs w:val="20"/>
              </w:rPr>
              <w:t> </w:t>
            </w:r>
          </w:p>
        </w:tc>
        <w:tc>
          <w:tcPr>
            <w:tcW w:w="0" w:type="auto"/>
            <w:hideMark/>
          </w:tcPr>
          <w:p w14:paraId="233EDED3" w14:textId="77777777" w:rsidR="00000000" w:rsidRDefault="002F725F">
            <w:pPr>
              <w:rPr>
                <w:rFonts w:eastAsia="Times New Roman"/>
                <w:sz w:val="20"/>
                <w:szCs w:val="20"/>
              </w:rPr>
            </w:pPr>
            <w:r>
              <w:rPr>
                <w:rFonts w:eastAsia="Times New Roman"/>
                <w:sz w:val="20"/>
                <w:szCs w:val="20"/>
              </w:rPr>
              <w:t>●</w:t>
            </w:r>
          </w:p>
        </w:tc>
        <w:tc>
          <w:tcPr>
            <w:tcW w:w="0" w:type="auto"/>
            <w:hideMark/>
          </w:tcPr>
          <w:p w14:paraId="3DF7053E" w14:textId="77777777" w:rsidR="00000000" w:rsidRDefault="002F725F">
            <w:pPr>
              <w:jc w:val="both"/>
              <w:rPr>
                <w:rFonts w:eastAsia="Times New Roman"/>
                <w:sz w:val="20"/>
                <w:szCs w:val="20"/>
              </w:rPr>
            </w:pPr>
            <w:r>
              <w:rPr>
                <w:rFonts w:eastAsia="Times New Roman"/>
                <w:sz w:val="20"/>
                <w:szCs w:val="20"/>
              </w:rPr>
              <w:t>“SPECIAL FACTORS—Opinion of the Special Committee’s Financial Advisor dated April 28, 2026”</w:t>
            </w:r>
          </w:p>
        </w:tc>
      </w:tr>
      <w:tr w:rsidR="00000000" w14:paraId="1E90840E" w14:textId="77777777">
        <w:trPr>
          <w:divId w:val="305475121"/>
          <w:tblCellSpacing w:w="0" w:type="dxa"/>
        </w:trPr>
        <w:tc>
          <w:tcPr>
            <w:tcW w:w="0" w:type="auto"/>
            <w:hideMark/>
          </w:tcPr>
          <w:p w14:paraId="79AF1EA6" w14:textId="77777777" w:rsidR="00000000" w:rsidRDefault="002F725F">
            <w:pPr>
              <w:rPr>
                <w:rFonts w:eastAsia="Times New Roman"/>
                <w:sz w:val="20"/>
                <w:szCs w:val="20"/>
              </w:rPr>
            </w:pPr>
            <w:r>
              <w:rPr>
                <w:rFonts w:eastAsia="Times New Roman"/>
                <w:sz w:val="20"/>
                <w:szCs w:val="20"/>
              </w:rPr>
              <w:t> </w:t>
            </w:r>
          </w:p>
        </w:tc>
        <w:tc>
          <w:tcPr>
            <w:tcW w:w="0" w:type="auto"/>
            <w:hideMark/>
          </w:tcPr>
          <w:p w14:paraId="4E37AFBA" w14:textId="77777777" w:rsidR="00000000" w:rsidRDefault="002F725F">
            <w:pPr>
              <w:rPr>
                <w:rFonts w:eastAsia="Times New Roman"/>
                <w:sz w:val="20"/>
                <w:szCs w:val="20"/>
              </w:rPr>
            </w:pPr>
            <w:r>
              <w:rPr>
                <w:rFonts w:eastAsia="Times New Roman"/>
                <w:sz w:val="20"/>
                <w:szCs w:val="20"/>
              </w:rPr>
              <w:t> </w:t>
            </w:r>
          </w:p>
        </w:tc>
        <w:tc>
          <w:tcPr>
            <w:tcW w:w="0" w:type="auto"/>
            <w:hideMark/>
          </w:tcPr>
          <w:p w14:paraId="495D624A" w14:textId="77777777" w:rsidR="00000000" w:rsidRDefault="002F725F">
            <w:pPr>
              <w:jc w:val="both"/>
              <w:rPr>
                <w:rFonts w:eastAsia="Times New Roman"/>
                <w:sz w:val="20"/>
                <w:szCs w:val="20"/>
              </w:rPr>
            </w:pPr>
            <w:r>
              <w:rPr>
                <w:rFonts w:eastAsia="Times New Roman"/>
                <w:sz w:val="20"/>
                <w:szCs w:val="20"/>
              </w:rPr>
              <w:t> </w:t>
            </w:r>
          </w:p>
        </w:tc>
      </w:tr>
      <w:tr w:rsidR="00000000" w14:paraId="79DB1EE4" w14:textId="77777777">
        <w:trPr>
          <w:divId w:val="305475121"/>
          <w:tblCellSpacing w:w="0" w:type="dxa"/>
        </w:trPr>
        <w:tc>
          <w:tcPr>
            <w:tcW w:w="1080" w:type="dxa"/>
            <w:hideMark/>
          </w:tcPr>
          <w:p w14:paraId="2926D864" w14:textId="77777777" w:rsidR="00000000" w:rsidRDefault="002F725F">
            <w:pPr>
              <w:jc w:val="both"/>
              <w:rPr>
                <w:rFonts w:eastAsia="Times New Roman"/>
                <w:sz w:val="20"/>
                <w:szCs w:val="20"/>
              </w:rPr>
            </w:pPr>
          </w:p>
        </w:tc>
        <w:tc>
          <w:tcPr>
            <w:tcW w:w="360" w:type="dxa"/>
            <w:hideMark/>
          </w:tcPr>
          <w:p w14:paraId="52483CDC" w14:textId="77777777" w:rsidR="00000000" w:rsidRDefault="002F725F">
            <w:pPr>
              <w:rPr>
                <w:rFonts w:eastAsia="Times New Roman"/>
                <w:sz w:val="20"/>
                <w:szCs w:val="20"/>
              </w:rPr>
            </w:pPr>
            <w:r>
              <w:rPr>
                <w:rFonts w:eastAsia="Times New Roman"/>
                <w:sz w:val="20"/>
                <w:szCs w:val="20"/>
              </w:rPr>
              <w:t>●</w:t>
            </w:r>
          </w:p>
        </w:tc>
        <w:tc>
          <w:tcPr>
            <w:tcW w:w="0" w:type="auto"/>
            <w:hideMark/>
          </w:tcPr>
          <w:p w14:paraId="3853972B" w14:textId="77777777" w:rsidR="00000000" w:rsidRDefault="002F725F">
            <w:pPr>
              <w:jc w:val="both"/>
              <w:rPr>
                <w:rFonts w:eastAsia="Times New Roman"/>
                <w:sz w:val="20"/>
                <w:szCs w:val="20"/>
              </w:rPr>
            </w:pPr>
            <w:r>
              <w:rPr>
                <w:rFonts w:eastAsia="Times New Roman"/>
                <w:sz w:val="20"/>
                <w:szCs w:val="20"/>
              </w:rPr>
              <w:t>“ANNEX C—FAIRNESS OPINION”</w:t>
            </w:r>
          </w:p>
        </w:tc>
      </w:tr>
    </w:tbl>
    <w:p w14:paraId="663CFB99"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2AA522E7" w14:textId="77777777">
        <w:trPr>
          <w:divId w:val="305475121"/>
          <w:tblCellSpacing w:w="0" w:type="dxa"/>
        </w:trPr>
        <w:tc>
          <w:tcPr>
            <w:tcW w:w="6" w:type="dxa"/>
            <w:hideMark/>
          </w:tcPr>
          <w:p w14:paraId="4C8D16A4" w14:textId="77777777" w:rsidR="00000000" w:rsidRDefault="002F725F">
            <w:pPr>
              <w:rPr>
                <w:sz w:val="20"/>
                <w:szCs w:val="20"/>
              </w:rPr>
            </w:pPr>
          </w:p>
        </w:tc>
        <w:tc>
          <w:tcPr>
            <w:tcW w:w="1080" w:type="dxa"/>
            <w:hideMark/>
          </w:tcPr>
          <w:p w14:paraId="5BAA674B" w14:textId="77777777" w:rsidR="00000000" w:rsidRDefault="002F725F">
            <w:pPr>
              <w:rPr>
                <w:rFonts w:eastAsia="Times New Roman"/>
                <w:sz w:val="20"/>
                <w:szCs w:val="20"/>
              </w:rPr>
            </w:pPr>
            <w:r>
              <w:rPr>
                <w:rFonts w:eastAsia="Times New Roman"/>
                <w:sz w:val="20"/>
                <w:szCs w:val="20"/>
              </w:rPr>
              <w:t>(c)</w:t>
            </w:r>
          </w:p>
        </w:tc>
        <w:tc>
          <w:tcPr>
            <w:tcW w:w="0" w:type="auto"/>
            <w:hideMark/>
          </w:tcPr>
          <w:p w14:paraId="3349A0A8" w14:textId="77777777" w:rsidR="00000000" w:rsidRDefault="002F725F">
            <w:pPr>
              <w:jc w:val="both"/>
              <w:rPr>
                <w:rFonts w:eastAsia="Times New Roman"/>
                <w:sz w:val="20"/>
                <w:szCs w:val="20"/>
              </w:rPr>
            </w:pPr>
            <w:r>
              <w:rPr>
                <w:rFonts w:eastAsia="Times New Roman"/>
                <w:sz w:val="20"/>
                <w:szCs w:val="20"/>
              </w:rPr>
              <w:t>Availability of Documents. </w:t>
            </w:r>
            <w:r>
              <w:rPr>
                <w:rFonts w:eastAsia="Times New Roman"/>
                <w:sz w:val="20"/>
                <w:szCs w:val="20"/>
              </w:rPr>
              <w:t>The information set forth in the Proxy Statement under the following caption is incorporated herein by reference:</w:t>
            </w:r>
          </w:p>
        </w:tc>
      </w:tr>
    </w:tbl>
    <w:p w14:paraId="1C38B18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E32DB6A" w14:textId="77777777">
        <w:trPr>
          <w:divId w:val="305475121"/>
          <w:tblCellSpacing w:w="0" w:type="dxa"/>
        </w:trPr>
        <w:tc>
          <w:tcPr>
            <w:tcW w:w="1080" w:type="dxa"/>
            <w:hideMark/>
          </w:tcPr>
          <w:p w14:paraId="45FFC8C2" w14:textId="77777777" w:rsidR="00000000" w:rsidRDefault="002F725F">
            <w:pPr>
              <w:rPr>
                <w:sz w:val="20"/>
                <w:szCs w:val="20"/>
              </w:rPr>
            </w:pPr>
          </w:p>
        </w:tc>
        <w:tc>
          <w:tcPr>
            <w:tcW w:w="360" w:type="dxa"/>
            <w:hideMark/>
          </w:tcPr>
          <w:p w14:paraId="00C59B37" w14:textId="77777777" w:rsidR="00000000" w:rsidRDefault="002F725F">
            <w:pPr>
              <w:rPr>
                <w:rFonts w:eastAsia="Times New Roman"/>
                <w:sz w:val="20"/>
                <w:szCs w:val="20"/>
              </w:rPr>
            </w:pPr>
            <w:r>
              <w:rPr>
                <w:rFonts w:eastAsia="Times New Roman"/>
                <w:sz w:val="20"/>
                <w:szCs w:val="20"/>
              </w:rPr>
              <w:t>●</w:t>
            </w:r>
          </w:p>
        </w:tc>
        <w:tc>
          <w:tcPr>
            <w:tcW w:w="0" w:type="auto"/>
            <w:hideMark/>
          </w:tcPr>
          <w:p w14:paraId="37E02D33" w14:textId="77777777" w:rsidR="00000000" w:rsidRDefault="002F725F">
            <w:pPr>
              <w:jc w:val="both"/>
              <w:rPr>
                <w:rFonts w:eastAsia="Times New Roman"/>
                <w:sz w:val="20"/>
                <w:szCs w:val="20"/>
              </w:rPr>
            </w:pPr>
            <w:r>
              <w:rPr>
                <w:rFonts w:eastAsia="Times New Roman"/>
                <w:sz w:val="20"/>
                <w:szCs w:val="20"/>
              </w:rPr>
              <w:t>“WHERE YOU CAN FIND MORE INFORMATION”</w:t>
            </w:r>
          </w:p>
        </w:tc>
      </w:tr>
    </w:tbl>
    <w:p w14:paraId="7018474C"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6E742DFC" w14:textId="77777777" w:rsidR="00000000" w:rsidRDefault="002F725F">
      <w:pPr>
        <w:pStyle w:val="NormalWeb"/>
        <w:spacing w:before="0" w:beforeAutospacing="0" w:after="0" w:afterAutospacing="0"/>
        <w:ind w:firstLine="720"/>
        <w:jc w:val="both"/>
        <w:divId w:val="305475121"/>
        <w:rPr>
          <w:sz w:val="20"/>
          <w:szCs w:val="20"/>
        </w:rPr>
      </w:pPr>
      <w:r>
        <w:rPr>
          <w:sz w:val="20"/>
          <w:szCs w:val="20"/>
        </w:rPr>
        <w:t>The reports, opinions or appraisals referenced in this Item </w:t>
      </w:r>
      <w:r>
        <w:rPr>
          <w:sz w:val="20"/>
          <w:szCs w:val="20"/>
        </w:rPr>
        <w:t>9 will be made available for inspection and copying at the principal executive offices of the Company during its regular business hours by any interested holder of the Shares or his, her or its representative who has been so designated in writing.</w:t>
      </w:r>
    </w:p>
    <w:p w14:paraId="7A1514A7"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67D9E5D6" w14:textId="77777777">
        <w:trPr>
          <w:divId w:val="305475121"/>
          <w:tblCellSpacing w:w="0" w:type="dxa"/>
        </w:trPr>
        <w:tc>
          <w:tcPr>
            <w:tcW w:w="0" w:type="pct"/>
            <w:hideMark/>
          </w:tcPr>
          <w:p w14:paraId="15C65178" w14:textId="77777777" w:rsidR="00000000" w:rsidRDefault="002F725F">
            <w:pPr>
              <w:rPr>
                <w:sz w:val="20"/>
                <w:szCs w:val="20"/>
              </w:rPr>
            </w:pPr>
            <w:bookmarkStart w:id="10" w:name="gfpea0289617-sc13e3a6_lake.htma_010"/>
            <w:bookmarkEnd w:id="10"/>
          </w:p>
        </w:tc>
        <w:tc>
          <w:tcPr>
            <w:tcW w:w="720" w:type="dxa"/>
            <w:hideMark/>
          </w:tcPr>
          <w:p w14:paraId="74301360" w14:textId="77777777" w:rsidR="00000000" w:rsidRDefault="002F725F">
            <w:pPr>
              <w:rPr>
                <w:rFonts w:eastAsia="Times New Roman"/>
                <w:sz w:val="20"/>
                <w:szCs w:val="20"/>
              </w:rPr>
            </w:pPr>
            <w:r>
              <w:rPr>
                <w:rFonts w:eastAsia="Times New Roman"/>
                <w:b/>
                <w:bCs/>
                <w:sz w:val="20"/>
                <w:szCs w:val="20"/>
              </w:rPr>
              <w:t>Item </w:t>
            </w:r>
            <w:r>
              <w:rPr>
                <w:rFonts w:eastAsia="Times New Roman"/>
                <w:b/>
                <w:bCs/>
                <w:sz w:val="20"/>
                <w:szCs w:val="20"/>
              </w:rPr>
              <w:t>10</w:t>
            </w:r>
          </w:p>
        </w:tc>
        <w:tc>
          <w:tcPr>
            <w:tcW w:w="0" w:type="auto"/>
            <w:hideMark/>
          </w:tcPr>
          <w:p w14:paraId="73643F36" w14:textId="77777777" w:rsidR="00000000" w:rsidRDefault="002F725F">
            <w:pPr>
              <w:jc w:val="both"/>
              <w:rPr>
                <w:rFonts w:eastAsia="Times New Roman"/>
                <w:sz w:val="20"/>
                <w:szCs w:val="20"/>
              </w:rPr>
            </w:pPr>
            <w:r>
              <w:rPr>
                <w:rFonts w:eastAsia="Times New Roman"/>
                <w:b/>
                <w:bCs/>
                <w:sz w:val="20"/>
                <w:szCs w:val="20"/>
              </w:rPr>
              <w:t>Source and Amount of Funds or Other Consideration</w:t>
            </w:r>
          </w:p>
        </w:tc>
      </w:tr>
    </w:tbl>
    <w:p w14:paraId="2D534040"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39E1EADB" w14:textId="77777777">
        <w:trPr>
          <w:divId w:val="305475121"/>
          <w:tblCellSpacing w:w="0" w:type="dxa"/>
        </w:trPr>
        <w:tc>
          <w:tcPr>
            <w:tcW w:w="6" w:type="dxa"/>
            <w:hideMark/>
          </w:tcPr>
          <w:p w14:paraId="6DD4943D" w14:textId="77777777" w:rsidR="00000000" w:rsidRDefault="002F725F">
            <w:pPr>
              <w:rPr>
                <w:sz w:val="20"/>
                <w:szCs w:val="20"/>
              </w:rPr>
            </w:pPr>
          </w:p>
        </w:tc>
        <w:tc>
          <w:tcPr>
            <w:tcW w:w="1080" w:type="dxa"/>
            <w:hideMark/>
          </w:tcPr>
          <w:p w14:paraId="0F47E2D2" w14:textId="77777777" w:rsidR="00000000" w:rsidRDefault="002F725F">
            <w:pPr>
              <w:rPr>
                <w:rFonts w:eastAsia="Times New Roman"/>
                <w:sz w:val="20"/>
                <w:szCs w:val="20"/>
              </w:rPr>
            </w:pPr>
            <w:r>
              <w:rPr>
                <w:rFonts w:eastAsia="Times New Roman"/>
                <w:sz w:val="20"/>
                <w:szCs w:val="20"/>
              </w:rPr>
              <w:t>(a)</w:t>
            </w:r>
          </w:p>
        </w:tc>
        <w:tc>
          <w:tcPr>
            <w:tcW w:w="0" w:type="auto"/>
            <w:hideMark/>
          </w:tcPr>
          <w:p w14:paraId="53D5531A" w14:textId="77777777" w:rsidR="00000000" w:rsidRDefault="002F725F">
            <w:pPr>
              <w:jc w:val="both"/>
              <w:rPr>
                <w:rFonts w:eastAsia="Times New Roman"/>
                <w:sz w:val="20"/>
                <w:szCs w:val="20"/>
              </w:rPr>
            </w:pPr>
            <w:r>
              <w:rPr>
                <w:rFonts w:eastAsia="Times New Roman"/>
                <w:sz w:val="20"/>
                <w:szCs w:val="20"/>
              </w:rPr>
              <w:t>Source of Funds. The information set forth in the Proxy Statement under the following captions is incorporated herein by reference:</w:t>
            </w:r>
          </w:p>
        </w:tc>
      </w:tr>
    </w:tbl>
    <w:p w14:paraId="2AFBA84E"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797B3E2" w14:textId="77777777">
        <w:trPr>
          <w:divId w:val="305475121"/>
          <w:tblCellSpacing w:w="0" w:type="dxa"/>
        </w:trPr>
        <w:tc>
          <w:tcPr>
            <w:tcW w:w="1080" w:type="dxa"/>
            <w:hideMark/>
          </w:tcPr>
          <w:p w14:paraId="13747C86" w14:textId="77777777" w:rsidR="00000000" w:rsidRDefault="002F725F">
            <w:pPr>
              <w:rPr>
                <w:sz w:val="20"/>
                <w:szCs w:val="20"/>
              </w:rPr>
            </w:pPr>
          </w:p>
        </w:tc>
        <w:tc>
          <w:tcPr>
            <w:tcW w:w="360" w:type="dxa"/>
            <w:hideMark/>
          </w:tcPr>
          <w:p w14:paraId="76D9DF64" w14:textId="77777777" w:rsidR="00000000" w:rsidRDefault="002F725F">
            <w:pPr>
              <w:rPr>
                <w:rFonts w:eastAsia="Times New Roman"/>
                <w:sz w:val="20"/>
                <w:szCs w:val="20"/>
              </w:rPr>
            </w:pPr>
            <w:r>
              <w:rPr>
                <w:rFonts w:eastAsia="Times New Roman"/>
                <w:sz w:val="20"/>
                <w:szCs w:val="20"/>
              </w:rPr>
              <w:t>●</w:t>
            </w:r>
          </w:p>
        </w:tc>
        <w:tc>
          <w:tcPr>
            <w:tcW w:w="0" w:type="auto"/>
            <w:hideMark/>
          </w:tcPr>
          <w:p w14:paraId="1F5C00CE" w14:textId="77777777" w:rsidR="00000000" w:rsidRDefault="002F725F">
            <w:pPr>
              <w:jc w:val="both"/>
              <w:rPr>
                <w:rFonts w:eastAsia="Times New Roman"/>
                <w:sz w:val="20"/>
                <w:szCs w:val="20"/>
              </w:rPr>
            </w:pPr>
            <w:r>
              <w:rPr>
                <w:rFonts w:eastAsia="Times New Roman"/>
                <w:sz w:val="20"/>
                <w:szCs w:val="20"/>
              </w:rPr>
              <w:t>“SUMMARY TERM SHEET—Financing of the Merger”</w:t>
            </w:r>
          </w:p>
        </w:tc>
      </w:tr>
    </w:tbl>
    <w:p w14:paraId="01DC9ECD"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CE85B7A" w14:textId="77777777">
        <w:trPr>
          <w:divId w:val="305475121"/>
          <w:tblCellSpacing w:w="0" w:type="dxa"/>
        </w:trPr>
        <w:tc>
          <w:tcPr>
            <w:tcW w:w="1080" w:type="dxa"/>
            <w:hideMark/>
          </w:tcPr>
          <w:p w14:paraId="07C4CCB5" w14:textId="77777777" w:rsidR="00000000" w:rsidRDefault="002F725F">
            <w:pPr>
              <w:rPr>
                <w:sz w:val="20"/>
                <w:szCs w:val="20"/>
              </w:rPr>
            </w:pPr>
          </w:p>
        </w:tc>
        <w:tc>
          <w:tcPr>
            <w:tcW w:w="360" w:type="dxa"/>
            <w:hideMark/>
          </w:tcPr>
          <w:p w14:paraId="23EDF202" w14:textId="77777777" w:rsidR="00000000" w:rsidRDefault="002F725F">
            <w:pPr>
              <w:rPr>
                <w:rFonts w:eastAsia="Times New Roman"/>
                <w:sz w:val="20"/>
                <w:szCs w:val="20"/>
              </w:rPr>
            </w:pPr>
            <w:r>
              <w:rPr>
                <w:rFonts w:eastAsia="Times New Roman"/>
                <w:sz w:val="20"/>
                <w:szCs w:val="20"/>
              </w:rPr>
              <w:t>●</w:t>
            </w:r>
          </w:p>
        </w:tc>
        <w:tc>
          <w:tcPr>
            <w:tcW w:w="0" w:type="auto"/>
            <w:hideMark/>
          </w:tcPr>
          <w:p w14:paraId="7A69EE50" w14:textId="77777777" w:rsidR="00000000" w:rsidRDefault="002F725F">
            <w:pPr>
              <w:jc w:val="both"/>
              <w:rPr>
                <w:rFonts w:eastAsia="Times New Roman"/>
                <w:sz w:val="20"/>
                <w:szCs w:val="20"/>
              </w:rPr>
            </w:pPr>
            <w:r>
              <w:rPr>
                <w:rFonts w:eastAsia="Times New Roman"/>
                <w:sz w:val="20"/>
                <w:szCs w:val="20"/>
              </w:rPr>
              <w:t>“</w:t>
            </w:r>
            <w:r>
              <w:rPr>
                <w:rFonts w:eastAsia="Times New Roman"/>
                <w:sz w:val="20"/>
                <w:szCs w:val="20"/>
              </w:rPr>
              <w:t>SPECIAL FACTORS—Financing of the Merger”</w:t>
            </w:r>
          </w:p>
        </w:tc>
      </w:tr>
    </w:tbl>
    <w:p w14:paraId="090A227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9E90BDA" w14:textId="77777777">
        <w:trPr>
          <w:divId w:val="305475121"/>
          <w:tblCellSpacing w:w="0" w:type="dxa"/>
        </w:trPr>
        <w:tc>
          <w:tcPr>
            <w:tcW w:w="1080" w:type="dxa"/>
            <w:hideMark/>
          </w:tcPr>
          <w:p w14:paraId="64D95CEA" w14:textId="77777777" w:rsidR="00000000" w:rsidRDefault="002F725F">
            <w:pPr>
              <w:rPr>
                <w:sz w:val="20"/>
                <w:szCs w:val="20"/>
              </w:rPr>
            </w:pPr>
          </w:p>
        </w:tc>
        <w:tc>
          <w:tcPr>
            <w:tcW w:w="360" w:type="dxa"/>
            <w:hideMark/>
          </w:tcPr>
          <w:p w14:paraId="01CE5880" w14:textId="77777777" w:rsidR="00000000" w:rsidRDefault="002F725F">
            <w:pPr>
              <w:rPr>
                <w:rFonts w:eastAsia="Times New Roman"/>
                <w:sz w:val="20"/>
                <w:szCs w:val="20"/>
              </w:rPr>
            </w:pPr>
            <w:r>
              <w:rPr>
                <w:rFonts w:eastAsia="Times New Roman"/>
                <w:sz w:val="20"/>
                <w:szCs w:val="20"/>
              </w:rPr>
              <w:t>●</w:t>
            </w:r>
          </w:p>
        </w:tc>
        <w:tc>
          <w:tcPr>
            <w:tcW w:w="0" w:type="auto"/>
            <w:hideMark/>
          </w:tcPr>
          <w:p w14:paraId="6425D1A8" w14:textId="77777777" w:rsidR="00000000" w:rsidRDefault="002F725F">
            <w:pPr>
              <w:jc w:val="both"/>
              <w:rPr>
                <w:rFonts w:eastAsia="Times New Roman"/>
                <w:sz w:val="20"/>
                <w:szCs w:val="20"/>
              </w:rPr>
            </w:pPr>
            <w:r>
              <w:rPr>
                <w:rFonts w:eastAsia="Times New Roman"/>
                <w:sz w:val="20"/>
                <w:szCs w:val="20"/>
              </w:rPr>
              <w:t>“THE MERGER AGREEMENT”</w:t>
            </w:r>
          </w:p>
        </w:tc>
      </w:tr>
    </w:tbl>
    <w:p w14:paraId="1C78714E"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06566CC" w14:textId="77777777">
        <w:trPr>
          <w:divId w:val="305475121"/>
          <w:tblCellSpacing w:w="0" w:type="dxa"/>
        </w:trPr>
        <w:tc>
          <w:tcPr>
            <w:tcW w:w="1080" w:type="dxa"/>
            <w:hideMark/>
          </w:tcPr>
          <w:p w14:paraId="539F7F46" w14:textId="77777777" w:rsidR="00000000" w:rsidRDefault="002F725F">
            <w:pPr>
              <w:rPr>
                <w:sz w:val="20"/>
                <w:szCs w:val="20"/>
              </w:rPr>
            </w:pPr>
          </w:p>
        </w:tc>
        <w:tc>
          <w:tcPr>
            <w:tcW w:w="360" w:type="dxa"/>
            <w:hideMark/>
          </w:tcPr>
          <w:p w14:paraId="28E27447" w14:textId="77777777" w:rsidR="00000000" w:rsidRDefault="002F725F">
            <w:pPr>
              <w:rPr>
                <w:rFonts w:eastAsia="Times New Roman"/>
                <w:sz w:val="20"/>
                <w:szCs w:val="20"/>
              </w:rPr>
            </w:pPr>
            <w:r>
              <w:rPr>
                <w:rFonts w:eastAsia="Times New Roman"/>
                <w:sz w:val="20"/>
                <w:szCs w:val="20"/>
              </w:rPr>
              <w:t>●</w:t>
            </w:r>
          </w:p>
        </w:tc>
        <w:tc>
          <w:tcPr>
            <w:tcW w:w="0" w:type="auto"/>
            <w:hideMark/>
          </w:tcPr>
          <w:p w14:paraId="12938516" w14:textId="77777777" w:rsidR="00000000" w:rsidRDefault="002F725F">
            <w:pPr>
              <w:jc w:val="both"/>
              <w:rPr>
                <w:rFonts w:eastAsia="Times New Roman"/>
                <w:sz w:val="20"/>
                <w:szCs w:val="20"/>
              </w:rPr>
            </w:pPr>
            <w:r>
              <w:rPr>
                <w:rFonts w:eastAsia="Times New Roman"/>
                <w:sz w:val="20"/>
                <w:szCs w:val="20"/>
              </w:rPr>
              <w:t>“ANNEX A—AGREEMENT AND PLAN OF MERGER AND AMENDMENT NO. 1 TO AGREEMENT AND PLAN OF MERGER”</w:t>
            </w:r>
          </w:p>
        </w:tc>
      </w:tr>
    </w:tbl>
    <w:p w14:paraId="0D2576BB"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2DF35F5" w14:textId="77777777">
        <w:trPr>
          <w:divId w:val="305475121"/>
          <w:tblCellSpacing w:w="0" w:type="dxa"/>
        </w:trPr>
        <w:tc>
          <w:tcPr>
            <w:tcW w:w="1080" w:type="dxa"/>
            <w:hideMark/>
          </w:tcPr>
          <w:p w14:paraId="71489682" w14:textId="77777777" w:rsidR="00000000" w:rsidRDefault="002F725F">
            <w:pPr>
              <w:rPr>
                <w:sz w:val="20"/>
                <w:szCs w:val="20"/>
              </w:rPr>
            </w:pPr>
          </w:p>
        </w:tc>
        <w:tc>
          <w:tcPr>
            <w:tcW w:w="360" w:type="dxa"/>
            <w:hideMark/>
          </w:tcPr>
          <w:p w14:paraId="08C2EA5F" w14:textId="77777777" w:rsidR="00000000" w:rsidRDefault="002F725F">
            <w:pPr>
              <w:rPr>
                <w:rFonts w:eastAsia="Times New Roman"/>
                <w:sz w:val="20"/>
                <w:szCs w:val="20"/>
              </w:rPr>
            </w:pPr>
            <w:r>
              <w:rPr>
                <w:rFonts w:eastAsia="Times New Roman"/>
                <w:sz w:val="20"/>
                <w:szCs w:val="20"/>
              </w:rPr>
              <w:t>●</w:t>
            </w:r>
          </w:p>
        </w:tc>
        <w:tc>
          <w:tcPr>
            <w:tcW w:w="0" w:type="auto"/>
            <w:hideMark/>
          </w:tcPr>
          <w:p w14:paraId="38A5FCC7" w14:textId="77777777" w:rsidR="00000000" w:rsidRDefault="002F725F">
            <w:pPr>
              <w:jc w:val="both"/>
              <w:rPr>
                <w:rFonts w:eastAsia="Times New Roman"/>
                <w:sz w:val="20"/>
                <w:szCs w:val="20"/>
              </w:rPr>
            </w:pPr>
            <w:r>
              <w:rPr>
                <w:rFonts w:eastAsia="Times New Roman"/>
                <w:sz w:val="20"/>
                <w:szCs w:val="20"/>
              </w:rPr>
              <w:t>“ANNEX B—PLAN OF MERGER”</w:t>
            </w:r>
          </w:p>
        </w:tc>
      </w:tr>
    </w:tbl>
    <w:p w14:paraId="5825E5C6"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18C25032" w14:textId="77777777">
        <w:trPr>
          <w:divId w:val="305475121"/>
          <w:tblCellSpacing w:w="0" w:type="dxa"/>
        </w:trPr>
        <w:tc>
          <w:tcPr>
            <w:tcW w:w="6" w:type="dxa"/>
            <w:hideMark/>
          </w:tcPr>
          <w:p w14:paraId="40ECBABD" w14:textId="77777777" w:rsidR="00000000" w:rsidRDefault="002F725F">
            <w:pPr>
              <w:rPr>
                <w:sz w:val="20"/>
                <w:szCs w:val="20"/>
              </w:rPr>
            </w:pPr>
          </w:p>
        </w:tc>
        <w:tc>
          <w:tcPr>
            <w:tcW w:w="1080" w:type="dxa"/>
            <w:hideMark/>
          </w:tcPr>
          <w:p w14:paraId="54C4CE62" w14:textId="77777777" w:rsidR="00000000" w:rsidRDefault="002F725F">
            <w:pPr>
              <w:rPr>
                <w:rFonts w:eastAsia="Times New Roman"/>
                <w:sz w:val="20"/>
                <w:szCs w:val="20"/>
              </w:rPr>
            </w:pPr>
            <w:r>
              <w:rPr>
                <w:rFonts w:eastAsia="Times New Roman"/>
                <w:sz w:val="20"/>
                <w:szCs w:val="20"/>
              </w:rPr>
              <w:t>(b)</w:t>
            </w:r>
          </w:p>
        </w:tc>
        <w:tc>
          <w:tcPr>
            <w:tcW w:w="0" w:type="auto"/>
            <w:hideMark/>
          </w:tcPr>
          <w:p w14:paraId="1D2E6AC2" w14:textId="77777777" w:rsidR="00000000" w:rsidRDefault="002F725F">
            <w:pPr>
              <w:jc w:val="both"/>
              <w:rPr>
                <w:rFonts w:eastAsia="Times New Roman"/>
                <w:sz w:val="20"/>
                <w:szCs w:val="20"/>
              </w:rPr>
            </w:pPr>
            <w:r>
              <w:rPr>
                <w:rFonts w:eastAsia="Times New Roman"/>
                <w:sz w:val="20"/>
                <w:szCs w:val="20"/>
              </w:rPr>
              <w:t>Conditions. </w:t>
            </w:r>
            <w:r>
              <w:rPr>
                <w:rFonts w:eastAsia="Times New Roman"/>
                <w:sz w:val="20"/>
                <w:szCs w:val="20"/>
              </w:rPr>
              <w:t>The information set forth in the Proxy Statement under the following captions is incorporated herein by reference:</w:t>
            </w:r>
          </w:p>
        </w:tc>
      </w:tr>
    </w:tbl>
    <w:p w14:paraId="718B5F15"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C1EEB7E" w14:textId="77777777">
        <w:trPr>
          <w:divId w:val="305475121"/>
          <w:tblCellSpacing w:w="0" w:type="dxa"/>
        </w:trPr>
        <w:tc>
          <w:tcPr>
            <w:tcW w:w="1080" w:type="dxa"/>
            <w:hideMark/>
          </w:tcPr>
          <w:p w14:paraId="0ACBAF6E" w14:textId="77777777" w:rsidR="00000000" w:rsidRDefault="002F725F">
            <w:pPr>
              <w:rPr>
                <w:sz w:val="20"/>
                <w:szCs w:val="20"/>
              </w:rPr>
            </w:pPr>
          </w:p>
        </w:tc>
        <w:tc>
          <w:tcPr>
            <w:tcW w:w="360" w:type="dxa"/>
            <w:hideMark/>
          </w:tcPr>
          <w:p w14:paraId="4315B9BF" w14:textId="77777777" w:rsidR="00000000" w:rsidRDefault="002F725F">
            <w:pPr>
              <w:rPr>
                <w:rFonts w:eastAsia="Times New Roman"/>
                <w:sz w:val="20"/>
                <w:szCs w:val="20"/>
              </w:rPr>
            </w:pPr>
            <w:r>
              <w:rPr>
                <w:rFonts w:eastAsia="Times New Roman"/>
                <w:sz w:val="20"/>
                <w:szCs w:val="20"/>
              </w:rPr>
              <w:t>●</w:t>
            </w:r>
          </w:p>
        </w:tc>
        <w:tc>
          <w:tcPr>
            <w:tcW w:w="0" w:type="auto"/>
            <w:hideMark/>
          </w:tcPr>
          <w:p w14:paraId="3383A35D" w14:textId="77777777" w:rsidR="00000000" w:rsidRDefault="002F725F">
            <w:pPr>
              <w:jc w:val="both"/>
              <w:rPr>
                <w:rFonts w:eastAsia="Times New Roman"/>
                <w:sz w:val="20"/>
                <w:szCs w:val="20"/>
              </w:rPr>
            </w:pPr>
            <w:r>
              <w:rPr>
                <w:rFonts w:eastAsia="Times New Roman"/>
                <w:sz w:val="20"/>
                <w:szCs w:val="20"/>
              </w:rPr>
              <w:t>“SUMMARY TERM SHEET—Financing of the Merger”</w:t>
            </w:r>
          </w:p>
        </w:tc>
      </w:tr>
    </w:tbl>
    <w:p w14:paraId="293D3045"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69F5584" w14:textId="77777777">
        <w:trPr>
          <w:divId w:val="305475121"/>
          <w:tblCellSpacing w:w="0" w:type="dxa"/>
        </w:trPr>
        <w:tc>
          <w:tcPr>
            <w:tcW w:w="1080" w:type="dxa"/>
            <w:hideMark/>
          </w:tcPr>
          <w:p w14:paraId="2B718555" w14:textId="77777777" w:rsidR="00000000" w:rsidRDefault="002F725F">
            <w:pPr>
              <w:rPr>
                <w:sz w:val="20"/>
                <w:szCs w:val="20"/>
              </w:rPr>
            </w:pPr>
          </w:p>
        </w:tc>
        <w:tc>
          <w:tcPr>
            <w:tcW w:w="360" w:type="dxa"/>
            <w:hideMark/>
          </w:tcPr>
          <w:p w14:paraId="3D14E58C" w14:textId="77777777" w:rsidR="00000000" w:rsidRDefault="002F725F">
            <w:pPr>
              <w:rPr>
                <w:rFonts w:eastAsia="Times New Roman"/>
                <w:sz w:val="20"/>
                <w:szCs w:val="20"/>
              </w:rPr>
            </w:pPr>
            <w:r>
              <w:rPr>
                <w:rFonts w:eastAsia="Times New Roman"/>
                <w:sz w:val="20"/>
                <w:szCs w:val="20"/>
              </w:rPr>
              <w:t>●</w:t>
            </w:r>
          </w:p>
        </w:tc>
        <w:tc>
          <w:tcPr>
            <w:tcW w:w="0" w:type="auto"/>
            <w:hideMark/>
          </w:tcPr>
          <w:p w14:paraId="65B6F344" w14:textId="77777777" w:rsidR="00000000" w:rsidRDefault="002F725F">
            <w:pPr>
              <w:jc w:val="both"/>
              <w:rPr>
                <w:rFonts w:eastAsia="Times New Roman"/>
                <w:sz w:val="20"/>
                <w:szCs w:val="20"/>
              </w:rPr>
            </w:pPr>
            <w:r>
              <w:rPr>
                <w:rFonts w:eastAsia="Times New Roman"/>
                <w:sz w:val="20"/>
                <w:szCs w:val="20"/>
              </w:rPr>
              <w:t>“SPECIAL FACTORS—Financing of the Merger”</w:t>
            </w:r>
          </w:p>
        </w:tc>
      </w:tr>
    </w:tbl>
    <w:p w14:paraId="19A06C51"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236260BB" w14:textId="77777777">
        <w:trPr>
          <w:divId w:val="305475121"/>
          <w:tblCellSpacing w:w="0" w:type="dxa"/>
        </w:trPr>
        <w:tc>
          <w:tcPr>
            <w:tcW w:w="6" w:type="dxa"/>
            <w:hideMark/>
          </w:tcPr>
          <w:p w14:paraId="3A681E37" w14:textId="77777777" w:rsidR="00000000" w:rsidRDefault="002F725F">
            <w:pPr>
              <w:rPr>
                <w:sz w:val="20"/>
                <w:szCs w:val="20"/>
              </w:rPr>
            </w:pPr>
          </w:p>
        </w:tc>
        <w:tc>
          <w:tcPr>
            <w:tcW w:w="1080" w:type="dxa"/>
            <w:hideMark/>
          </w:tcPr>
          <w:p w14:paraId="475C0610" w14:textId="77777777" w:rsidR="00000000" w:rsidRDefault="002F725F">
            <w:pPr>
              <w:rPr>
                <w:rFonts w:eastAsia="Times New Roman"/>
                <w:sz w:val="20"/>
                <w:szCs w:val="20"/>
              </w:rPr>
            </w:pPr>
            <w:r>
              <w:rPr>
                <w:rFonts w:eastAsia="Times New Roman"/>
                <w:sz w:val="20"/>
                <w:szCs w:val="20"/>
              </w:rPr>
              <w:t>(c)</w:t>
            </w:r>
          </w:p>
        </w:tc>
        <w:tc>
          <w:tcPr>
            <w:tcW w:w="0" w:type="auto"/>
            <w:hideMark/>
          </w:tcPr>
          <w:p w14:paraId="306164BD" w14:textId="77777777" w:rsidR="00000000" w:rsidRDefault="002F725F">
            <w:pPr>
              <w:jc w:val="both"/>
              <w:rPr>
                <w:rFonts w:eastAsia="Times New Roman"/>
                <w:sz w:val="20"/>
                <w:szCs w:val="20"/>
              </w:rPr>
            </w:pPr>
            <w:r>
              <w:rPr>
                <w:rFonts w:eastAsia="Times New Roman"/>
                <w:sz w:val="20"/>
                <w:szCs w:val="20"/>
              </w:rPr>
              <w:t>Expenses. The information set fort</w:t>
            </w:r>
            <w:r>
              <w:rPr>
                <w:rFonts w:eastAsia="Times New Roman"/>
                <w:sz w:val="20"/>
                <w:szCs w:val="20"/>
              </w:rPr>
              <w:t>h in the Proxy Statement under the following caption is incorporated herein by reference:</w:t>
            </w:r>
          </w:p>
        </w:tc>
      </w:tr>
    </w:tbl>
    <w:p w14:paraId="1025B702"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38C1B3F" w14:textId="77777777">
        <w:trPr>
          <w:divId w:val="305475121"/>
          <w:tblCellSpacing w:w="0" w:type="dxa"/>
        </w:trPr>
        <w:tc>
          <w:tcPr>
            <w:tcW w:w="1080" w:type="dxa"/>
            <w:hideMark/>
          </w:tcPr>
          <w:p w14:paraId="11EA8FBC" w14:textId="77777777" w:rsidR="00000000" w:rsidRDefault="002F725F">
            <w:pPr>
              <w:rPr>
                <w:sz w:val="20"/>
                <w:szCs w:val="20"/>
              </w:rPr>
            </w:pPr>
          </w:p>
        </w:tc>
        <w:tc>
          <w:tcPr>
            <w:tcW w:w="360" w:type="dxa"/>
            <w:hideMark/>
          </w:tcPr>
          <w:p w14:paraId="6E98E820" w14:textId="77777777" w:rsidR="00000000" w:rsidRDefault="002F725F">
            <w:pPr>
              <w:rPr>
                <w:rFonts w:eastAsia="Times New Roman"/>
                <w:sz w:val="20"/>
                <w:szCs w:val="20"/>
              </w:rPr>
            </w:pPr>
            <w:r>
              <w:rPr>
                <w:rFonts w:eastAsia="Times New Roman"/>
                <w:sz w:val="20"/>
                <w:szCs w:val="20"/>
              </w:rPr>
              <w:t>●</w:t>
            </w:r>
          </w:p>
        </w:tc>
        <w:tc>
          <w:tcPr>
            <w:tcW w:w="0" w:type="auto"/>
            <w:hideMark/>
          </w:tcPr>
          <w:p w14:paraId="7B0E02BE" w14:textId="77777777" w:rsidR="00000000" w:rsidRDefault="002F725F">
            <w:pPr>
              <w:jc w:val="both"/>
              <w:rPr>
                <w:rFonts w:eastAsia="Times New Roman"/>
                <w:sz w:val="20"/>
                <w:szCs w:val="20"/>
              </w:rPr>
            </w:pPr>
            <w:r>
              <w:rPr>
                <w:rFonts w:eastAsia="Times New Roman"/>
                <w:sz w:val="20"/>
                <w:szCs w:val="20"/>
              </w:rPr>
              <w:t>“SPECIAL FACTORS—Fees and Expenses”</w:t>
            </w:r>
          </w:p>
        </w:tc>
      </w:tr>
    </w:tbl>
    <w:p w14:paraId="10FE3334"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0DFF4604" w14:textId="77777777">
        <w:trPr>
          <w:divId w:val="305475121"/>
          <w:tblCellSpacing w:w="0" w:type="dxa"/>
        </w:trPr>
        <w:tc>
          <w:tcPr>
            <w:tcW w:w="6" w:type="dxa"/>
            <w:hideMark/>
          </w:tcPr>
          <w:p w14:paraId="02FF1A47" w14:textId="77777777" w:rsidR="00000000" w:rsidRDefault="002F725F">
            <w:pPr>
              <w:rPr>
                <w:sz w:val="20"/>
                <w:szCs w:val="20"/>
              </w:rPr>
            </w:pPr>
          </w:p>
        </w:tc>
        <w:tc>
          <w:tcPr>
            <w:tcW w:w="1080" w:type="dxa"/>
            <w:hideMark/>
          </w:tcPr>
          <w:p w14:paraId="0F9FB4BE" w14:textId="77777777" w:rsidR="00000000" w:rsidRDefault="002F725F">
            <w:pPr>
              <w:rPr>
                <w:rFonts w:eastAsia="Times New Roman"/>
                <w:sz w:val="20"/>
                <w:szCs w:val="20"/>
              </w:rPr>
            </w:pPr>
            <w:r>
              <w:rPr>
                <w:rFonts w:eastAsia="Times New Roman"/>
                <w:sz w:val="20"/>
                <w:szCs w:val="20"/>
              </w:rPr>
              <w:t>(d)</w:t>
            </w:r>
          </w:p>
        </w:tc>
        <w:tc>
          <w:tcPr>
            <w:tcW w:w="0" w:type="auto"/>
            <w:hideMark/>
          </w:tcPr>
          <w:p w14:paraId="7CE5912C" w14:textId="77777777" w:rsidR="00000000" w:rsidRDefault="002F725F">
            <w:pPr>
              <w:jc w:val="both"/>
              <w:rPr>
                <w:rFonts w:eastAsia="Times New Roman"/>
                <w:sz w:val="20"/>
                <w:szCs w:val="20"/>
              </w:rPr>
            </w:pPr>
            <w:r>
              <w:rPr>
                <w:rFonts w:eastAsia="Times New Roman"/>
                <w:sz w:val="20"/>
                <w:szCs w:val="20"/>
              </w:rPr>
              <w:t>Borrowed Funds. </w:t>
            </w:r>
            <w:r>
              <w:rPr>
                <w:rFonts w:eastAsia="Times New Roman"/>
                <w:sz w:val="20"/>
                <w:szCs w:val="20"/>
              </w:rPr>
              <w:t>The information set forth in the Proxy Statement under the following caption is incorporated herein by reference:</w:t>
            </w:r>
          </w:p>
        </w:tc>
      </w:tr>
    </w:tbl>
    <w:p w14:paraId="152DB2D7"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9C4D127" w14:textId="77777777">
        <w:trPr>
          <w:divId w:val="305475121"/>
          <w:tblCellSpacing w:w="0" w:type="dxa"/>
        </w:trPr>
        <w:tc>
          <w:tcPr>
            <w:tcW w:w="1080" w:type="dxa"/>
            <w:hideMark/>
          </w:tcPr>
          <w:p w14:paraId="15329C1A" w14:textId="77777777" w:rsidR="00000000" w:rsidRDefault="002F725F">
            <w:pPr>
              <w:rPr>
                <w:sz w:val="20"/>
                <w:szCs w:val="20"/>
              </w:rPr>
            </w:pPr>
          </w:p>
        </w:tc>
        <w:tc>
          <w:tcPr>
            <w:tcW w:w="360" w:type="dxa"/>
            <w:hideMark/>
          </w:tcPr>
          <w:p w14:paraId="519B5B8C" w14:textId="77777777" w:rsidR="00000000" w:rsidRDefault="002F725F">
            <w:pPr>
              <w:rPr>
                <w:rFonts w:eastAsia="Times New Roman"/>
                <w:sz w:val="20"/>
                <w:szCs w:val="20"/>
              </w:rPr>
            </w:pPr>
            <w:r>
              <w:rPr>
                <w:rFonts w:eastAsia="Times New Roman"/>
                <w:sz w:val="20"/>
                <w:szCs w:val="20"/>
              </w:rPr>
              <w:t>●</w:t>
            </w:r>
          </w:p>
        </w:tc>
        <w:tc>
          <w:tcPr>
            <w:tcW w:w="0" w:type="auto"/>
            <w:hideMark/>
          </w:tcPr>
          <w:p w14:paraId="5013FC59" w14:textId="77777777" w:rsidR="00000000" w:rsidRDefault="002F725F">
            <w:pPr>
              <w:jc w:val="both"/>
              <w:rPr>
                <w:rFonts w:eastAsia="Times New Roman"/>
                <w:sz w:val="20"/>
                <w:szCs w:val="20"/>
              </w:rPr>
            </w:pPr>
            <w:r>
              <w:rPr>
                <w:rFonts w:eastAsia="Times New Roman"/>
                <w:sz w:val="20"/>
                <w:szCs w:val="20"/>
              </w:rPr>
              <w:t>“SUMMARY TERM SHEET—Financing of the Merger”</w:t>
            </w:r>
          </w:p>
        </w:tc>
      </w:tr>
    </w:tbl>
    <w:p w14:paraId="7E989171"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2B6116F" w14:textId="77777777">
        <w:trPr>
          <w:divId w:val="305475121"/>
          <w:tblCellSpacing w:w="0" w:type="dxa"/>
        </w:trPr>
        <w:tc>
          <w:tcPr>
            <w:tcW w:w="1080" w:type="dxa"/>
            <w:hideMark/>
          </w:tcPr>
          <w:p w14:paraId="3E1098CF" w14:textId="77777777" w:rsidR="00000000" w:rsidRDefault="002F725F">
            <w:pPr>
              <w:rPr>
                <w:sz w:val="20"/>
                <w:szCs w:val="20"/>
              </w:rPr>
            </w:pPr>
          </w:p>
        </w:tc>
        <w:tc>
          <w:tcPr>
            <w:tcW w:w="360" w:type="dxa"/>
            <w:hideMark/>
          </w:tcPr>
          <w:p w14:paraId="1DC30150" w14:textId="77777777" w:rsidR="00000000" w:rsidRDefault="002F725F">
            <w:pPr>
              <w:rPr>
                <w:rFonts w:eastAsia="Times New Roman"/>
                <w:sz w:val="20"/>
                <w:szCs w:val="20"/>
              </w:rPr>
            </w:pPr>
            <w:r>
              <w:rPr>
                <w:rFonts w:eastAsia="Times New Roman"/>
                <w:sz w:val="20"/>
                <w:szCs w:val="20"/>
              </w:rPr>
              <w:t>●</w:t>
            </w:r>
          </w:p>
        </w:tc>
        <w:tc>
          <w:tcPr>
            <w:tcW w:w="0" w:type="auto"/>
            <w:hideMark/>
          </w:tcPr>
          <w:p w14:paraId="5D1611CF" w14:textId="77777777" w:rsidR="00000000" w:rsidRDefault="002F725F">
            <w:pPr>
              <w:jc w:val="both"/>
              <w:rPr>
                <w:rFonts w:eastAsia="Times New Roman"/>
                <w:sz w:val="20"/>
                <w:szCs w:val="20"/>
              </w:rPr>
            </w:pPr>
            <w:r>
              <w:rPr>
                <w:rFonts w:eastAsia="Times New Roman"/>
                <w:sz w:val="20"/>
                <w:szCs w:val="20"/>
              </w:rPr>
              <w:t>“SPECIAL FACTORS—Financing of the Merger”</w:t>
            </w:r>
          </w:p>
        </w:tc>
      </w:tr>
    </w:tbl>
    <w:p w14:paraId="0DC7A3FF"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64B4387" w14:textId="77777777">
        <w:trPr>
          <w:divId w:val="305475121"/>
          <w:tblCellSpacing w:w="0" w:type="dxa"/>
        </w:trPr>
        <w:tc>
          <w:tcPr>
            <w:tcW w:w="1080" w:type="dxa"/>
            <w:hideMark/>
          </w:tcPr>
          <w:p w14:paraId="3EEB2ADB" w14:textId="77777777" w:rsidR="00000000" w:rsidRDefault="002F725F">
            <w:pPr>
              <w:rPr>
                <w:sz w:val="20"/>
                <w:szCs w:val="20"/>
              </w:rPr>
            </w:pPr>
          </w:p>
        </w:tc>
        <w:tc>
          <w:tcPr>
            <w:tcW w:w="360" w:type="dxa"/>
            <w:hideMark/>
          </w:tcPr>
          <w:p w14:paraId="5ED7D665" w14:textId="77777777" w:rsidR="00000000" w:rsidRDefault="002F725F">
            <w:pPr>
              <w:rPr>
                <w:rFonts w:eastAsia="Times New Roman"/>
                <w:sz w:val="20"/>
                <w:szCs w:val="20"/>
              </w:rPr>
            </w:pPr>
            <w:r>
              <w:rPr>
                <w:rFonts w:eastAsia="Times New Roman"/>
                <w:sz w:val="20"/>
                <w:szCs w:val="20"/>
              </w:rPr>
              <w:t>●</w:t>
            </w:r>
          </w:p>
        </w:tc>
        <w:tc>
          <w:tcPr>
            <w:tcW w:w="0" w:type="auto"/>
            <w:hideMark/>
          </w:tcPr>
          <w:p w14:paraId="1948BB6F" w14:textId="77777777" w:rsidR="00000000" w:rsidRDefault="002F725F">
            <w:pPr>
              <w:jc w:val="both"/>
              <w:rPr>
                <w:rFonts w:eastAsia="Times New Roman"/>
                <w:sz w:val="20"/>
                <w:szCs w:val="20"/>
              </w:rPr>
            </w:pPr>
            <w:r>
              <w:rPr>
                <w:rFonts w:eastAsia="Times New Roman"/>
                <w:sz w:val="20"/>
                <w:szCs w:val="20"/>
              </w:rPr>
              <w:t>“</w:t>
            </w:r>
            <w:r>
              <w:rPr>
                <w:rFonts w:eastAsia="Times New Roman"/>
                <w:sz w:val="20"/>
                <w:szCs w:val="20"/>
              </w:rPr>
              <w:t>THE MERGER AGREEMENT—Financing”</w:t>
            </w:r>
          </w:p>
        </w:tc>
      </w:tr>
    </w:tbl>
    <w:p w14:paraId="606A6057" w14:textId="77777777" w:rsidR="00000000" w:rsidRDefault="002F725F">
      <w:pPr>
        <w:pStyle w:val="NormalWeb"/>
        <w:spacing w:before="0" w:beforeAutospacing="0" w:after="0" w:afterAutospacing="0"/>
        <w:jc w:val="both"/>
        <w:divId w:val="305475121"/>
        <w:rPr>
          <w:sz w:val="20"/>
          <w:szCs w:val="20"/>
        </w:rPr>
      </w:pPr>
      <w:r>
        <w:rPr>
          <w:b/>
          <w:bCs/>
          <w:sz w:val="20"/>
          <w:szCs w:val="20"/>
        </w:rPr>
        <w:t> </w:t>
      </w:r>
    </w:p>
    <w:p w14:paraId="6BFEE2B0" w14:textId="77777777" w:rsidR="00000000" w:rsidRDefault="002F725F">
      <w:pPr>
        <w:pStyle w:val="NormalWeb"/>
        <w:spacing w:before="0" w:beforeAutospacing="0" w:after="0" w:afterAutospacing="0"/>
        <w:jc w:val="center"/>
        <w:divId w:val="1198080400"/>
        <w:rPr>
          <w:sz w:val="20"/>
          <w:szCs w:val="20"/>
        </w:rPr>
      </w:pPr>
      <w:r>
        <w:rPr>
          <w:sz w:val="20"/>
          <w:szCs w:val="20"/>
        </w:rPr>
        <w:t>1</w:t>
      </w:r>
      <w:r>
        <w:rPr>
          <w:sz w:val="20"/>
          <w:szCs w:val="20"/>
        </w:rPr>
        <w:t>1</w:t>
      </w:r>
    </w:p>
    <w:p w14:paraId="2C4B6829" w14:textId="77777777" w:rsidR="00000000" w:rsidRDefault="002F725F">
      <w:pPr>
        <w:pStyle w:val="NormalWeb"/>
        <w:spacing w:before="0" w:beforeAutospacing="0" w:after="0" w:afterAutospacing="0"/>
        <w:jc w:val="both"/>
        <w:divId w:val="305475121"/>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2B19E9BC" w14:textId="77777777">
        <w:trPr>
          <w:divId w:val="305475121"/>
          <w:tblCellSpacing w:w="0" w:type="dxa"/>
        </w:trPr>
        <w:tc>
          <w:tcPr>
            <w:tcW w:w="0" w:type="pct"/>
            <w:hideMark/>
          </w:tcPr>
          <w:p w14:paraId="63E7A7DC" w14:textId="77777777" w:rsidR="00000000" w:rsidRDefault="002F725F">
            <w:pPr>
              <w:rPr>
                <w:sz w:val="20"/>
                <w:szCs w:val="20"/>
              </w:rPr>
            </w:pPr>
            <w:bookmarkStart w:id="11" w:name="gfpea0289617-sc13e3a6_lake.htma_011"/>
            <w:bookmarkEnd w:id="11"/>
          </w:p>
        </w:tc>
        <w:tc>
          <w:tcPr>
            <w:tcW w:w="720" w:type="dxa"/>
            <w:hideMark/>
          </w:tcPr>
          <w:p w14:paraId="491FA140" w14:textId="77777777" w:rsidR="00000000" w:rsidRDefault="002F725F">
            <w:pPr>
              <w:rPr>
                <w:rFonts w:eastAsia="Times New Roman"/>
                <w:sz w:val="20"/>
                <w:szCs w:val="20"/>
              </w:rPr>
            </w:pPr>
            <w:r>
              <w:rPr>
                <w:rFonts w:eastAsia="Times New Roman"/>
                <w:b/>
                <w:bCs/>
                <w:sz w:val="20"/>
                <w:szCs w:val="20"/>
              </w:rPr>
              <w:t>Item 11</w:t>
            </w:r>
          </w:p>
        </w:tc>
        <w:tc>
          <w:tcPr>
            <w:tcW w:w="0" w:type="auto"/>
            <w:hideMark/>
          </w:tcPr>
          <w:p w14:paraId="5D79F787" w14:textId="77777777" w:rsidR="00000000" w:rsidRDefault="002F725F">
            <w:pPr>
              <w:jc w:val="both"/>
              <w:rPr>
                <w:rFonts w:eastAsia="Times New Roman"/>
                <w:sz w:val="20"/>
                <w:szCs w:val="20"/>
              </w:rPr>
            </w:pPr>
            <w:r>
              <w:rPr>
                <w:rFonts w:eastAsia="Times New Roman"/>
                <w:b/>
                <w:bCs/>
                <w:sz w:val="20"/>
                <w:szCs w:val="20"/>
              </w:rPr>
              <w:t>Interest in Securities of the Subject Company</w:t>
            </w:r>
          </w:p>
        </w:tc>
      </w:tr>
    </w:tbl>
    <w:p w14:paraId="1C289629"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78578BF3" w14:textId="77777777">
        <w:trPr>
          <w:divId w:val="305475121"/>
          <w:tblCellSpacing w:w="0" w:type="dxa"/>
        </w:trPr>
        <w:tc>
          <w:tcPr>
            <w:tcW w:w="6" w:type="dxa"/>
            <w:hideMark/>
          </w:tcPr>
          <w:p w14:paraId="5C155399" w14:textId="77777777" w:rsidR="00000000" w:rsidRDefault="002F725F">
            <w:pPr>
              <w:rPr>
                <w:sz w:val="20"/>
                <w:szCs w:val="20"/>
              </w:rPr>
            </w:pPr>
          </w:p>
        </w:tc>
        <w:tc>
          <w:tcPr>
            <w:tcW w:w="1080" w:type="dxa"/>
            <w:hideMark/>
          </w:tcPr>
          <w:p w14:paraId="3934F0F8" w14:textId="77777777" w:rsidR="00000000" w:rsidRDefault="002F725F">
            <w:pPr>
              <w:rPr>
                <w:rFonts w:eastAsia="Times New Roman"/>
                <w:sz w:val="20"/>
                <w:szCs w:val="20"/>
              </w:rPr>
            </w:pPr>
            <w:r>
              <w:rPr>
                <w:rFonts w:eastAsia="Times New Roman"/>
                <w:sz w:val="20"/>
                <w:szCs w:val="20"/>
              </w:rPr>
              <w:t>(a)</w:t>
            </w:r>
          </w:p>
        </w:tc>
        <w:tc>
          <w:tcPr>
            <w:tcW w:w="0" w:type="auto"/>
            <w:hideMark/>
          </w:tcPr>
          <w:p w14:paraId="3F0D3282" w14:textId="77777777" w:rsidR="00000000" w:rsidRDefault="002F725F">
            <w:pPr>
              <w:jc w:val="both"/>
              <w:rPr>
                <w:rFonts w:eastAsia="Times New Roman"/>
                <w:sz w:val="20"/>
                <w:szCs w:val="20"/>
              </w:rPr>
            </w:pPr>
            <w:r>
              <w:rPr>
                <w:rFonts w:eastAsia="Times New Roman"/>
                <w:sz w:val="20"/>
                <w:szCs w:val="20"/>
              </w:rPr>
              <w:t>Securities Ownership. </w:t>
            </w:r>
            <w:r>
              <w:rPr>
                <w:rFonts w:eastAsia="Times New Roman"/>
                <w:sz w:val="20"/>
                <w:szCs w:val="20"/>
              </w:rPr>
              <w:t>The information set forth in the Proxy Statement under the following captions is incorporated herein by reference:</w:t>
            </w:r>
          </w:p>
        </w:tc>
      </w:tr>
    </w:tbl>
    <w:p w14:paraId="51A0EA9A"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188A80E" w14:textId="77777777">
        <w:trPr>
          <w:divId w:val="305475121"/>
          <w:tblCellSpacing w:w="0" w:type="dxa"/>
        </w:trPr>
        <w:tc>
          <w:tcPr>
            <w:tcW w:w="1080" w:type="dxa"/>
            <w:hideMark/>
          </w:tcPr>
          <w:p w14:paraId="25550391" w14:textId="77777777" w:rsidR="00000000" w:rsidRDefault="002F725F">
            <w:pPr>
              <w:rPr>
                <w:sz w:val="20"/>
                <w:szCs w:val="20"/>
              </w:rPr>
            </w:pPr>
          </w:p>
        </w:tc>
        <w:tc>
          <w:tcPr>
            <w:tcW w:w="360" w:type="dxa"/>
            <w:hideMark/>
          </w:tcPr>
          <w:p w14:paraId="4976A18D" w14:textId="77777777" w:rsidR="00000000" w:rsidRDefault="002F725F">
            <w:pPr>
              <w:rPr>
                <w:rFonts w:eastAsia="Times New Roman"/>
                <w:sz w:val="20"/>
                <w:szCs w:val="20"/>
              </w:rPr>
            </w:pPr>
            <w:r>
              <w:rPr>
                <w:rFonts w:eastAsia="Times New Roman"/>
                <w:sz w:val="20"/>
                <w:szCs w:val="20"/>
              </w:rPr>
              <w:t>●</w:t>
            </w:r>
          </w:p>
        </w:tc>
        <w:tc>
          <w:tcPr>
            <w:tcW w:w="0" w:type="auto"/>
            <w:hideMark/>
          </w:tcPr>
          <w:p w14:paraId="672069D3" w14:textId="77777777" w:rsidR="00000000" w:rsidRDefault="002F725F">
            <w:pPr>
              <w:jc w:val="both"/>
              <w:rPr>
                <w:rFonts w:eastAsia="Times New Roman"/>
                <w:sz w:val="20"/>
                <w:szCs w:val="20"/>
              </w:rPr>
            </w:pPr>
            <w:r>
              <w:rPr>
                <w:rFonts w:eastAsia="Times New Roman"/>
                <w:sz w:val="20"/>
                <w:szCs w:val="20"/>
              </w:rPr>
              <w:t>“SUMMARY TERM SHEET—Interests of the Company’s Executive Officers and Directors in the Merger”</w:t>
            </w:r>
          </w:p>
        </w:tc>
      </w:tr>
    </w:tbl>
    <w:p w14:paraId="52A40A36"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6780455" w14:textId="77777777">
        <w:trPr>
          <w:divId w:val="305475121"/>
          <w:tblCellSpacing w:w="0" w:type="dxa"/>
        </w:trPr>
        <w:tc>
          <w:tcPr>
            <w:tcW w:w="1080" w:type="dxa"/>
            <w:hideMark/>
          </w:tcPr>
          <w:p w14:paraId="7A288D62" w14:textId="77777777" w:rsidR="00000000" w:rsidRDefault="002F725F">
            <w:pPr>
              <w:rPr>
                <w:sz w:val="20"/>
                <w:szCs w:val="20"/>
              </w:rPr>
            </w:pPr>
          </w:p>
        </w:tc>
        <w:tc>
          <w:tcPr>
            <w:tcW w:w="360" w:type="dxa"/>
            <w:hideMark/>
          </w:tcPr>
          <w:p w14:paraId="00C4EBA8" w14:textId="77777777" w:rsidR="00000000" w:rsidRDefault="002F725F">
            <w:pPr>
              <w:rPr>
                <w:rFonts w:eastAsia="Times New Roman"/>
                <w:sz w:val="20"/>
                <w:szCs w:val="20"/>
              </w:rPr>
            </w:pPr>
            <w:r>
              <w:rPr>
                <w:rFonts w:eastAsia="Times New Roman"/>
                <w:sz w:val="20"/>
                <w:szCs w:val="20"/>
              </w:rPr>
              <w:t>●</w:t>
            </w:r>
          </w:p>
        </w:tc>
        <w:tc>
          <w:tcPr>
            <w:tcW w:w="0" w:type="auto"/>
            <w:hideMark/>
          </w:tcPr>
          <w:p w14:paraId="1D9133AC" w14:textId="77777777" w:rsidR="00000000" w:rsidRDefault="002F725F">
            <w:pPr>
              <w:jc w:val="both"/>
              <w:rPr>
                <w:rFonts w:eastAsia="Times New Roman"/>
                <w:sz w:val="20"/>
                <w:szCs w:val="20"/>
              </w:rPr>
            </w:pPr>
            <w:r>
              <w:rPr>
                <w:rFonts w:eastAsia="Times New Roman"/>
                <w:sz w:val="20"/>
                <w:szCs w:val="20"/>
              </w:rPr>
              <w:t>“SPECIAL FACTORS—Interests of Cert</w:t>
            </w:r>
            <w:r>
              <w:rPr>
                <w:rFonts w:eastAsia="Times New Roman"/>
                <w:sz w:val="20"/>
                <w:szCs w:val="20"/>
              </w:rPr>
              <w:t>ain Persons in the Merger”</w:t>
            </w:r>
          </w:p>
        </w:tc>
      </w:tr>
    </w:tbl>
    <w:p w14:paraId="254B14B9"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D6E8EC7" w14:textId="77777777">
        <w:trPr>
          <w:divId w:val="305475121"/>
          <w:tblCellSpacing w:w="0" w:type="dxa"/>
        </w:trPr>
        <w:tc>
          <w:tcPr>
            <w:tcW w:w="1080" w:type="dxa"/>
            <w:hideMark/>
          </w:tcPr>
          <w:p w14:paraId="4C66C54A" w14:textId="77777777" w:rsidR="00000000" w:rsidRDefault="002F725F">
            <w:pPr>
              <w:rPr>
                <w:sz w:val="20"/>
                <w:szCs w:val="20"/>
              </w:rPr>
            </w:pPr>
          </w:p>
        </w:tc>
        <w:tc>
          <w:tcPr>
            <w:tcW w:w="360" w:type="dxa"/>
            <w:hideMark/>
          </w:tcPr>
          <w:p w14:paraId="1DAB77AF" w14:textId="77777777" w:rsidR="00000000" w:rsidRDefault="002F725F">
            <w:pPr>
              <w:rPr>
                <w:rFonts w:eastAsia="Times New Roman"/>
                <w:sz w:val="20"/>
                <w:szCs w:val="20"/>
              </w:rPr>
            </w:pPr>
            <w:r>
              <w:rPr>
                <w:rFonts w:eastAsia="Times New Roman"/>
                <w:sz w:val="20"/>
                <w:szCs w:val="20"/>
              </w:rPr>
              <w:t>●</w:t>
            </w:r>
          </w:p>
        </w:tc>
        <w:tc>
          <w:tcPr>
            <w:tcW w:w="0" w:type="auto"/>
            <w:hideMark/>
          </w:tcPr>
          <w:p w14:paraId="561B3935" w14:textId="77777777" w:rsidR="00000000" w:rsidRDefault="002F725F">
            <w:pPr>
              <w:jc w:val="both"/>
              <w:rPr>
                <w:rFonts w:eastAsia="Times New Roman"/>
                <w:sz w:val="20"/>
                <w:szCs w:val="20"/>
              </w:rPr>
            </w:pPr>
            <w:r>
              <w:rPr>
                <w:rFonts w:eastAsia="Times New Roman"/>
                <w:sz w:val="20"/>
                <w:szCs w:val="20"/>
              </w:rPr>
              <w:t>“SECURITY OWNERSHIP OF CERTAIN BENEFICIAL OWNERS AND MANAGEMENT OF THE COMPANY”</w:t>
            </w:r>
          </w:p>
        </w:tc>
      </w:tr>
    </w:tbl>
    <w:p w14:paraId="4568510B"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6FEE054A" w14:textId="77777777">
        <w:trPr>
          <w:divId w:val="305475121"/>
          <w:tblCellSpacing w:w="0" w:type="dxa"/>
        </w:trPr>
        <w:tc>
          <w:tcPr>
            <w:tcW w:w="6" w:type="dxa"/>
            <w:hideMark/>
          </w:tcPr>
          <w:p w14:paraId="4DF9EA70" w14:textId="77777777" w:rsidR="00000000" w:rsidRDefault="002F725F">
            <w:pPr>
              <w:rPr>
                <w:sz w:val="20"/>
                <w:szCs w:val="20"/>
              </w:rPr>
            </w:pPr>
          </w:p>
        </w:tc>
        <w:tc>
          <w:tcPr>
            <w:tcW w:w="1080" w:type="dxa"/>
            <w:hideMark/>
          </w:tcPr>
          <w:p w14:paraId="07A3A38E" w14:textId="77777777" w:rsidR="00000000" w:rsidRDefault="002F725F">
            <w:pPr>
              <w:rPr>
                <w:rFonts w:eastAsia="Times New Roman"/>
                <w:sz w:val="20"/>
                <w:szCs w:val="20"/>
              </w:rPr>
            </w:pPr>
            <w:r>
              <w:rPr>
                <w:rFonts w:eastAsia="Times New Roman"/>
                <w:sz w:val="20"/>
                <w:szCs w:val="20"/>
              </w:rPr>
              <w:t>(b)</w:t>
            </w:r>
          </w:p>
        </w:tc>
        <w:tc>
          <w:tcPr>
            <w:tcW w:w="0" w:type="auto"/>
            <w:hideMark/>
          </w:tcPr>
          <w:p w14:paraId="2BC64266" w14:textId="77777777" w:rsidR="00000000" w:rsidRDefault="002F725F">
            <w:pPr>
              <w:jc w:val="both"/>
              <w:rPr>
                <w:rFonts w:eastAsia="Times New Roman"/>
                <w:sz w:val="20"/>
                <w:szCs w:val="20"/>
              </w:rPr>
            </w:pPr>
            <w:r>
              <w:rPr>
                <w:rFonts w:eastAsia="Times New Roman"/>
                <w:sz w:val="20"/>
                <w:szCs w:val="20"/>
              </w:rPr>
              <w:t>Securities Transactions. </w:t>
            </w:r>
            <w:r>
              <w:rPr>
                <w:rFonts w:eastAsia="Times New Roman"/>
                <w:sz w:val="20"/>
                <w:szCs w:val="20"/>
              </w:rPr>
              <w:t>The information set forth in the Proxy Statement under the following caption is incorporated herein by reference:</w:t>
            </w:r>
          </w:p>
        </w:tc>
      </w:tr>
    </w:tbl>
    <w:p w14:paraId="194DD79B"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022DDB0" w14:textId="77777777">
        <w:trPr>
          <w:divId w:val="305475121"/>
          <w:tblCellSpacing w:w="0" w:type="dxa"/>
        </w:trPr>
        <w:tc>
          <w:tcPr>
            <w:tcW w:w="1080" w:type="dxa"/>
            <w:hideMark/>
          </w:tcPr>
          <w:p w14:paraId="5A550230" w14:textId="77777777" w:rsidR="00000000" w:rsidRDefault="002F725F">
            <w:pPr>
              <w:rPr>
                <w:sz w:val="20"/>
                <w:szCs w:val="20"/>
              </w:rPr>
            </w:pPr>
          </w:p>
        </w:tc>
        <w:tc>
          <w:tcPr>
            <w:tcW w:w="360" w:type="dxa"/>
            <w:hideMark/>
          </w:tcPr>
          <w:p w14:paraId="0A41E413" w14:textId="77777777" w:rsidR="00000000" w:rsidRDefault="002F725F">
            <w:pPr>
              <w:rPr>
                <w:rFonts w:eastAsia="Times New Roman"/>
                <w:sz w:val="20"/>
                <w:szCs w:val="20"/>
              </w:rPr>
            </w:pPr>
            <w:r>
              <w:rPr>
                <w:rFonts w:eastAsia="Times New Roman"/>
                <w:sz w:val="20"/>
                <w:szCs w:val="20"/>
              </w:rPr>
              <w:t>●</w:t>
            </w:r>
          </w:p>
        </w:tc>
        <w:tc>
          <w:tcPr>
            <w:tcW w:w="0" w:type="auto"/>
            <w:hideMark/>
          </w:tcPr>
          <w:p w14:paraId="1CD77150" w14:textId="77777777" w:rsidR="00000000" w:rsidRDefault="002F725F">
            <w:pPr>
              <w:jc w:val="both"/>
              <w:rPr>
                <w:rFonts w:eastAsia="Times New Roman"/>
                <w:sz w:val="20"/>
                <w:szCs w:val="20"/>
              </w:rPr>
            </w:pPr>
            <w:r>
              <w:rPr>
                <w:rFonts w:eastAsia="Times New Roman"/>
                <w:sz w:val="20"/>
                <w:szCs w:val="20"/>
              </w:rPr>
              <w:t>“TRANSACTIONS IN THE SHARES AND WARRANTS”</w:t>
            </w:r>
          </w:p>
        </w:tc>
      </w:tr>
    </w:tbl>
    <w:p w14:paraId="249F5153"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01E0E4A2" w14:textId="77777777">
        <w:trPr>
          <w:divId w:val="305475121"/>
          <w:tblCellSpacing w:w="0" w:type="dxa"/>
        </w:trPr>
        <w:tc>
          <w:tcPr>
            <w:tcW w:w="0" w:type="pct"/>
            <w:hideMark/>
          </w:tcPr>
          <w:p w14:paraId="0EFFB353" w14:textId="77777777" w:rsidR="00000000" w:rsidRDefault="002F725F">
            <w:pPr>
              <w:rPr>
                <w:sz w:val="20"/>
                <w:szCs w:val="20"/>
              </w:rPr>
            </w:pPr>
            <w:bookmarkStart w:id="12" w:name="gfpea0289617-sc13e3a6_lake.htma_012"/>
            <w:bookmarkEnd w:id="12"/>
          </w:p>
        </w:tc>
        <w:tc>
          <w:tcPr>
            <w:tcW w:w="720" w:type="dxa"/>
            <w:hideMark/>
          </w:tcPr>
          <w:p w14:paraId="028F2649" w14:textId="77777777" w:rsidR="00000000" w:rsidRDefault="002F725F">
            <w:pPr>
              <w:rPr>
                <w:rFonts w:eastAsia="Times New Roman"/>
                <w:sz w:val="20"/>
                <w:szCs w:val="20"/>
              </w:rPr>
            </w:pPr>
            <w:r>
              <w:rPr>
                <w:rFonts w:eastAsia="Times New Roman"/>
                <w:b/>
                <w:bCs/>
                <w:sz w:val="20"/>
                <w:szCs w:val="20"/>
              </w:rPr>
              <w:t>Item 12</w:t>
            </w:r>
          </w:p>
        </w:tc>
        <w:tc>
          <w:tcPr>
            <w:tcW w:w="0" w:type="auto"/>
            <w:hideMark/>
          </w:tcPr>
          <w:p w14:paraId="48BC7BA9" w14:textId="77777777" w:rsidR="00000000" w:rsidRDefault="002F725F">
            <w:pPr>
              <w:jc w:val="both"/>
              <w:rPr>
                <w:rFonts w:eastAsia="Times New Roman"/>
                <w:sz w:val="20"/>
                <w:szCs w:val="20"/>
              </w:rPr>
            </w:pPr>
            <w:r>
              <w:rPr>
                <w:rFonts w:eastAsia="Times New Roman"/>
                <w:b/>
                <w:bCs/>
                <w:sz w:val="20"/>
                <w:szCs w:val="20"/>
              </w:rPr>
              <w:t>The Solicitation or Recommendation</w:t>
            </w:r>
          </w:p>
        </w:tc>
      </w:tr>
    </w:tbl>
    <w:p w14:paraId="2BAFC3FD"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071C70CB" w14:textId="77777777">
        <w:trPr>
          <w:divId w:val="305475121"/>
          <w:tblCellSpacing w:w="0" w:type="dxa"/>
        </w:trPr>
        <w:tc>
          <w:tcPr>
            <w:tcW w:w="6" w:type="dxa"/>
            <w:hideMark/>
          </w:tcPr>
          <w:p w14:paraId="10FE900A" w14:textId="77777777" w:rsidR="00000000" w:rsidRDefault="002F725F">
            <w:pPr>
              <w:rPr>
                <w:sz w:val="20"/>
                <w:szCs w:val="20"/>
              </w:rPr>
            </w:pPr>
          </w:p>
        </w:tc>
        <w:tc>
          <w:tcPr>
            <w:tcW w:w="1080" w:type="dxa"/>
            <w:hideMark/>
          </w:tcPr>
          <w:p w14:paraId="10E892EC" w14:textId="77777777" w:rsidR="00000000" w:rsidRDefault="002F725F">
            <w:pPr>
              <w:rPr>
                <w:rFonts w:eastAsia="Times New Roman"/>
                <w:sz w:val="20"/>
                <w:szCs w:val="20"/>
              </w:rPr>
            </w:pPr>
            <w:r>
              <w:rPr>
                <w:rFonts w:eastAsia="Times New Roman"/>
                <w:sz w:val="20"/>
                <w:szCs w:val="20"/>
              </w:rPr>
              <w:t>(d)</w:t>
            </w:r>
          </w:p>
        </w:tc>
        <w:tc>
          <w:tcPr>
            <w:tcW w:w="0" w:type="auto"/>
            <w:hideMark/>
          </w:tcPr>
          <w:p w14:paraId="45591F8E" w14:textId="77777777" w:rsidR="00000000" w:rsidRDefault="002F725F">
            <w:pPr>
              <w:jc w:val="both"/>
              <w:rPr>
                <w:rFonts w:eastAsia="Times New Roman"/>
                <w:sz w:val="20"/>
                <w:szCs w:val="20"/>
              </w:rPr>
            </w:pPr>
            <w:r>
              <w:rPr>
                <w:rFonts w:eastAsia="Times New Roman"/>
                <w:sz w:val="20"/>
                <w:szCs w:val="20"/>
              </w:rPr>
              <w:t>Intent to Tender or Vote in a Going-Pri</w:t>
            </w:r>
            <w:r>
              <w:rPr>
                <w:rFonts w:eastAsia="Times New Roman"/>
                <w:sz w:val="20"/>
                <w:szCs w:val="20"/>
              </w:rPr>
              <w:t>vate Transaction. The information set forth in the Proxy Statement under the following captions is incorporated herein by reference:</w:t>
            </w:r>
          </w:p>
        </w:tc>
      </w:tr>
    </w:tbl>
    <w:p w14:paraId="691FC5EE"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564307B" w14:textId="77777777">
        <w:trPr>
          <w:divId w:val="305475121"/>
          <w:tblCellSpacing w:w="0" w:type="dxa"/>
        </w:trPr>
        <w:tc>
          <w:tcPr>
            <w:tcW w:w="1080" w:type="dxa"/>
            <w:hideMark/>
          </w:tcPr>
          <w:p w14:paraId="02F91F6B" w14:textId="77777777" w:rsidR="00000000" w:rsidRDefault="002F725F">
            <w:pPr>
              <w:rPr>
                <w:sz w:val="20"/>
                <w:szCs w:val="20"/>
              </w:rPr>
            </w:pPr>
          </w:p>
        </w:tc>
        <w:tc>
          <w:tcPr>
            <w:tcW w:w="360" w:type="dxa"/>
            <w:hideMark/>
          </w:tcPr>
          <w:p w14:paraId="2A370B30" w14:textId="77777777" w:rsidR="00000000" w:rsidRDefault="002F725F">
            <w:pPr>
              <w:rPr>
                <w:rFonts w:eastAsia="Times New Roman"/>
                <w:sz w:val="20"/>
                <w:szCs w:val="20"/>
              </w:rPr>
            </w:pPr>
            <w:r>
              <w:rPr>
                <w:rFonts w:eastAsia="Times New Roman"/>
                <w:sz w:val="20"/>
                <w:szCs w:val="20"/>
              </w:rPr>
              <w:t>●</w:t>
            </w:r>
          </w:p>
        </w:tc>
        <w:tc>
          <w:tcPr>
            <w:tcW w:w="0" w:type="auto"/>
            <w:hideMark/>
          </w:tcPr>
          <w:p w14:paraId="1CB4F693" w14:textId="77777777" w:rsidR="00000000" w:rsidRDefault="002F725F">
            <w:pPr>
              <w:jc w:val="both"/>
              <w:rPr>
                <w:rFonts w:eastAsia="Times New Roman"/>
                <w:sz w:val="20"/>
                <w:szCs w:val="20"/>
              </w:rPr>
            </w:pPr>
            <w:r>
              <w:rPr>
                <w:rFonts w:eastAsia="Times New Roman"/>
                <w:sz w:val="20"/>
                <w:szCs w:val="20"/>
              </w:rPr>
              <w:t>“SUMMARY TERM SHEET—Support Agreement”</w:t>
            </w:r>
          </w:p>
        </w:tc>
      </w:tr>
    </w:tbl>
    <w:p w14:paraId="4FA4B8AC"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D116CB4" w14:textId="77777777">
        <w:trPr>
          <w:divId w:val="305475121"/>
          <w:tblCellSpacing w:w="0" w:type="dxa"/>
        </w:trPr>
        <w:tc>
          <w:tcPr>
            <w:tcW w:w="1080" w:type="dxa"/>
            <w:hideMark/>
          </w:tcPr>
          <w:p w14:paraId="7D4D7E17" w14:textId="77777777" w:rsidR="00000000" w:rsidRDefault="002F725F">
            <w:pPr>
              <w:rPr>
                <w:sz w:val="20"/>
                <w:szCs w:val="20"/>
              </w:rPr>
            </w:pPr>
          </w:p>
        </w:tc>
        <w:tc>
          <w:tcPr>
            <w:tcW w:w="360" w:type="dxa"/>
            <w:hideMark/>
          </w:tcPr>
          <w:p w14:paraId="20EB2FDE" w14:textId="77777777" w:rsidR="00000000" w:rsidRDefault="002F725F">
            <w:pPr>
              <w:rPr>
                <w:rFonts w:eastAsia="Times New Roman"/>
                <w:sz w:val="20"/>
                <w:szCs w:val="20"/>
              </w:rPr>
            </w:pPr>
            <w:r>
              <w:rPr>
                <w:rFonts w:eastAsia="Times New Roman"/>
                <w:sz w:val="20"/>
                <w:szCs w:val="20"/>
              </w:rPr>
              <w:t>●</w:t>
            </w:r>
          </w:p>
        </w:tc>
        <w:tc>
          <w:tcPr>
            <w:tcW w:w="0" w:type="auto"/>
            <w:hideMark/>
          </w:tcPr>
          <w:p w14:paraId="799826B2" w14:textId="77777777" w:rsidR="00000000" w:rsidRDefault="002F725F">
            <w:pPr>
              <w:jc w:val="both"/>
              <w:rPr>
                <w:rFonts w:eastAsia="Times New Roman"/>
                <w:sz w:val="20"/>
                <w:szCs w:val="20"/>
              </w:rPr>
            </w:pPr>
            <w:r>
              <w:rPr>
                <w:rFonts w:eastAsia="Times New Roman"/>
                <w:sz w:val="20"/>
                <w:szCs w:val="20"/>
              </w:rPr>
              <w:t>“SUMMARY TERM SHEET—</w:t>
            </w:r>
            <w:r>
              <w:rPr>
                <w:rFonts w:eastAsia="Times New Roman"/>
                <w:sz w:val="20"/>
                <w:szCs w:val="20"/>
              </w:rPr>
              <w:t>Interim Investors Agreement”</w:t>
            </w:r>
          </w:p>
        </w:tc>
      </w:tr>
    </w:tbl>
    <w:p w14:paraId="008420EB"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923D229" w14:textId="77777777">
        <w:trPr>
          <w:divId w:val="305475121"/>
          <w:tblCellSpacing w:w="0" w:type="dxa"/>
        </w:trPr>
        <w:tc>
          <w:tcPr>
            <w:tcW w:w="1080" w:type="dxa"/>
            <w:hideMark/>
          </w:tcPr>
          <w:p w14:paraId="67EF7D95" w14:textId="77777777" w:rsidR="00000000" w:rsidRDefault="002F725F">
            <w:pPr>
              <w:rPr>
                <w:sz w:val="20"/>
                <w:szCs w:val="20"/>
              </w:rPr>
            </w:pPr>
          </w:p>
        </w:tc>
        <w:tc>
          <w:tcPr>
            <w:tcW w:w="360" w:type="dxa"/>
            <w:hideMark/>
          </w:tcPr>
          <w:p w14:paraId="69B1AF65" w14:textId="77777777" w:rsidR="00000000" w:rsidRDefault="002F725F">
            <w:pPr>
              <w:rPr>
                <w:rFonts w:eastAsia="Times New Roman"/>
                <w:sz w:val="20"/>
                <w:szCs w:val="20"/>
              </w:rPr>
            </w:pPr>
            <w:r>
              <w:rPr>
                <w:rFonts w:eastAsia="Times New Roman"/>
                <w:sz w:val="20"/>
                <w:szCs w:val="20"/>
              </w:rPr>
              <w:t>●</w:t>
            </w:r>
          </w:p>
        </w:tc>
        <w:tc>
          <w:tcPr>
            <w:tcW w:w="0" w:type="auto"/>
            <w:hideMark/>
          </w:tcPr>
          <w:p w14:paraId="60A29B11" w14:textId="77777777" w:rsidR="00000000" w:rsidRDefault="002F725F">
            <w:pPr>
              <w:jc w:val="both"/>
              <w:rPr>
                <w:rFonts w:eastAsia="Times New Roman"/>
                <w:sz w:val="20"/>
                <w:szCs w:val="20"/>
              </w:rPr>
            </w:pPr>
            <w:r>
              <w:rPr>
                <w:rFonts w:eastAsia="Times New Roman"/>
                <w:sz w:val="20"/>
                <w:szCs w:val="20"/>
              </w:rPr>
              <w:t>“SUMMARY TERM SHEET—Interests of the Company’s Executive Officers and Directors in the Merger”</w:t>
            </w:r>
          </w:p>
        </w:tc>
      </w:tr>
    </w:tbl>
    <w:p w14:paraId="4E4259D1"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C752451" w14:textId="77777777">
        <w:trPr>
          <w:divId w:val="305475121"/>
          <w:tblCellSpacing w:w="0" w:type="dxa"/>
        </w:trPr>
        <w:tc>
          <w:tcPr>
            <w:tcW w:w="1080" w:type="dxa"/>
            <w:hideMark/>
          </w:tcPr>
          <w:p w14:paraId="627C887B" w14:textId="77777777" w:rsidR="00000000" w:rsidRDefault="002F725F">
            <w:pPr>
              <w:rPr>
                <w:sz w:val="20"/>
                <w:szCs w:val="20"/>
              </w:rPr>
            </w:pPr>
          </w:p>
        </w:tc>
        <w:tc>
          <w:tcPr>
            <w:tcW w:w="360" w:type="dxa"/>
            <w:hideMark/>
          </w:tcPr>
          <w:p w14:paraId="5E8CC38E" w14:textId="77777777" w:rsidR="00000000" w:rsidRDefault="002F725F">
            <w:pPr>
              <w:rPr>
                <w:rFonts w:eastAsia="Times New Roman"/>
                <w:sz w:val="20"/>
                <w:szCs w:val="20"/>
              </w:rPr>
            </w:pPr>
            <w:r>
              <w:rPr>
                <w:rFonts w:eastAsia="Times New Roman"/>
                <w:sz w:val="20"/>
                <w:szCs w:val="20"/>
              </w:rPr>
              <w:t>●</w:t>
            </w:r>
          </w:p>
        </w:tc>
        <w:tc>
          <w:tcPr>
            <w:tcW w:w="0" w:type="auto"/>
            <w:hideMark/>
          </w:tcPr>
          <w:p w14:paraId="5936F580" w14:textId="77777777" w:rsidR="00000000" w:rsidRDefault="002F725F">
            <w:pPr>
              <w:jc w:val="both"/>
              <w:rPr>
                <w:rFonts w:eastAsia="Times New Roman"/>
                <w:sz w:val="20"/>
                <w:szCs w:val="20"/>
              </w:rPr>
            </w:pPr>
            <w:r>
              <w:rPr>
                <w:rFonts w:eastAsia="Times New Roman"/>
                <w:sz w:val="20"/>
                <w:szCs w:val="20"/>
              </w:rPr>
              <w:t>“QUESTIONS AND ANSWERS ABOUT THE EXTRAORDINARY GENERAL MEETING AND THE MERGER”</w:t>
            </w:r>
          </w:p>
        </w:tc>
      </w:tr>
    </w:tbl>
    <w:p w14:paraId="24FEF1B9"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88194DE" w14:textId="77777777">
        <w:trPr>
          <w:divId w:val="305475121"/>
          <w:tblCellSpacing w:w="0" w:type="dxa"/>
        </w:trPr>
        <w:tc>
          <w:tcPr>
            <w:tcW w:w="1080" w:type="dxa"/>
            <w:hideMark/>
          </w:tcPr>
          <w:p w14:paraId="638C05D2" w14:textId="77777777" w:rsidR="00000000" w:rsidRDefault="002F725F">
            <w:pPr>
              <w:rPr>
                <w:sz w:val="20"/>
                <w:szCs w:val="20"/>
              </w:rPr>
            </w:pPr>
          </w:p>
        </w:tc>
        <w:tc>
          <w:tcPr>
            <w:tcW w:w="360" w:type="dxa"/>
            <w:hideMark/>
          </w:tcPr>
          <w:p w14:paraId="0DC82B4C" w14:textId="77777777" w:rsidR="00000000" w:rsidRDefault="002F725F">
            <w:pPr>
              <w:rPr>
                <w:rFonts w:eastAsia="Times New Roman"/>
                <w:sz w:val="20"/>
                <w:szCs w:val="20"/>
              </w:rPr>
            </w:pPr>
            <w:r>
              <w:rPr>
                <w:rFonts w:eastAsia="Times New Roman"/>
                <w:sz w:val="20"/>
                <w:szCs w:val="20"/>
              </w:rPr>
              <w:t>●</w:t>
            </w:r>
          </w:p>
        </w:tc>
        <w:tc>
          <w:tcPr>
            <w:tcW w:w="0" w:type="auto"/>
            <w:hideMark/>
          </w:tcPr>
          <w:p w14:paraId="5331CC90" w14:textId="77777777" w:rsidR="00000000" w:rsidRDefault="002F725F">
            <w:pPr>
              <w:jc w:val="both"/>
              <w:rPr>
                <w:rFonts w:eastAsia="Times New Roman"/>
                <w:sz w:val="20"/>
                <w:szCs w:val="20"/>
              </w:rPr>
            </w:pPr>
            <w:r>
              <w:rPr>
                <w:rFonts w:eastAsia="Times New Roman"/>
                <w:sz w:val="20"/>
                <w:szCs w:val="20"/>
              </w:rPr>
              <w:t>“SPECIAL FACTORS—</w:t>
            </w:r>
            <w:r>
              <w:rPr>
                <w:rFonts w:eastAsia="Times New Roman"/>
                <w:sz w:val="20"/>
                <w:szCs w:val="20"/>
              </w:rPr>
              <w:t>Support Agreement”</w:t>
            </w:r>
          </w:p>
        </w:tc>
      </w:tr>
    </w:tbl>
    <w:p w14:paraId="5E38D958"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D5EDEBC" w14:textId="77777777">
        <w:trPr>
          <w:divId w:val="305475121"/>
          <w:tblCellSpacing w:w="0" w:type="dxa"/>
        </w:trPr>
        <w:tc>
          <w:tcPr>
            <w:tcW w:w="1080" w:type="dxa"/>
            <w:hideMark/>
          </w:tcPr>
          <w:p w14:paraId="45F6F6DC" w14:textId="77777777" w:rsidR="00000000" w:rsidRDefault="002F725F">
            <w:pPr>
              <w:rPr>
                <w:sz w:val="20"/>
                <w:szCs w:val="20"/>
              </w:rPr>
            </w:pPr>
          </w:p>
        </w:tc>
        <w:tc>
          <w:tcPr>
            <w:tcW w:w="360" w:type="dxa"/>
            <w:hideMark/>
          </w:tcPr>
          <w:p w14:paraId="2E69335C" w14:textId="77777777" w:rsidR="00000000" w:rsidRDefault="002F725F">
            <w:pPr>
              <w:rPr>
                <w:rFonts w:eastAsia="Times New Roman"/>
                <w:sz w:val="20"/>
                <w:szCs w:val="20"/>
              </w:rPr>
            </w:pPr>
            <w:r>
              <w:rPr>
                <w:rFonts w:eastAsia="Times New Roman"/>
                <w:sz w:val="20"/>
                <w:szCs w:val="20"/>
              </w:rPr>
              <w:t>●</w:t>
            </w:r>
          </w:p>
        </w:tc>
        <w:tc>
          <w:tcPr>
            <w:tcW w:w="0" w:type="auto"/>
            <w:hideMark/>
          </w:tcPr>
          <w:p w14:paraId="14E4174F" w14:textId="77777777" w:rsidR="00000000" w:rsidRDefault="002F725F">
            <w:pPr>
              <w:jc w:val="both"/>
              <w:rPr>
                <w:rFonts w:eastAsia="Times New Roman"/>
                <w:sz w:val="20"/>
                <w:szCs w:val="20"/>
              </w:rPr>
            </w:pPr>
            <w:r>
              <w:rPr>
                <w:rFonts w:eastAsia="Times New Roman"/>
                <w:sz w:val="20"/>
                <w:szCs w:val="20"/>
              </w:rPr>
              <w:t>“SPECIAL FACTORS—Interim Investors Agreement”</w:t>
            </w:r>
          </w:p>
        </w:tc>
      </w:tr>
    </w:tbl>
    <w:p w14:paraId="0B938C25"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DBEB1B6" w14:textId="77777777">
        <w:trPr>
          <w:divId w:val="305475121"/>
          <w:tblCellSpacing w:w="0" w:type="dxa"/>
        </w:trPr>
        <w:tc>
          <w:tcPr>
            <w:tcW w:w="1080" w:type="dxa"/>
            <w:hideMark/>
          </w:tcPr>
          <w:p w14:paraId="3674239C" w14:textId="77777777" w:rsidR="00000000" w:rsidRDefault="002F725F">
            <w:pPr>
              <w:rPr>
                <w:sz w:val="20"/>
                <w:szCs w:val="20"/>
              </w:rPr>
            </w:pPr>
          </w:p>
        </w:tc>
        <w:tc>
          <w:tcPr>
            <w:tcW w:w="360" w:type="dxa"/>
            <w:hideMark/>
          </w:tcPr>
          <w:p w14:paraId="2086EC0B" w14:textId="77777777" w:rsidR="00000000" w:rsidRDefault="002F725F">
            <w:pPr>
              <w:rPr>
                <w:rFonts w:eastAsia="Times New Roman"/>
                <w:sz w:val="20"/>
                <w:szCs w:val="20"/>
              </w:rPr>
            </w:pPr>
            <w:r>
              <w:rPr>
                <w:rFonts w:eastAsia="Times New Roman"/>
                <w:sz w:val="20"/>
                <w:szCs w:val="20"/>
              </w:rPr>
              <w:t>●</w:t>
            </w:r>
          </w:p>
        </w:tc>
        <w:tc>
          <w:tcPr>
            <w:tcW w:w="0" w:type="auto"/>
            <w:hideMark/>
          </w:tcPr>
          <w:p w14:paraId="731A29B3" w14:textId="77777777" w:rsidR="00000000" w:rsidRDefault="002F725F">
            <w:pPr>
              <w:jc w:val="both"/>
              <w:rPr>
                <w:rFonts w:eastAsia="Times New Roman"/>
                <w:sz w:val="20"/>
                <w:szCs w:val="20"/>
              </w:rPr>
            </w:pPr>
            <w:r>
              <w:rPr>
                <w:rFonts w:eastAsia="Times New Roman"/>
                <w:sz w:val="20"/>
                <w:szCs w:val="20"/>
              </w:rPr>
              <w:t>“SPECIAL FACTORS—Interests of Certain Persons in the Merger”</w:t>
            </w:r>
          </w:p>
        </w:tc>
      </w:tr>
    </w:tbl>
    <w:p w14:paraId="27B46C5C"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E911AC3" w14:textId="77777777">
        <w:trPr>
          <w:divId w:val="305475121"/>
          <w:tblCellSpacing w:w="0" w:type="dxa"/>
        </w:trPr>
        <w:tc>
          <w:tcPr>
            <w:tcW w:w="1080" w:type="dxa"/>
            <w:hideMark/>
          </w:tcPr>
          <w:p w14:paraId="4FADC5B6" w14:textId="77777777" w:rsidR="00000000" w:rsidRDefault="002F725F">
            <w:pPr>
              <w:rPr>
                <w:sz w:val="20"/>
                <w:szCs w:val="20"/>
              </w:rPr>
            </w:pPr>
          </w:p>
        </w:tc>
        <w:tc>
          <w:tcPr>
            <w:tcW w:w="360" w:type="dxa"/>
            <w:hideMark/>
          </w:tcPr>
          <w:p w14:paraId="5886AB1C" w14:textId="77777777" w:rsidR="00000000" w:rsidRDefault="002F725F">
            <w:pPr>
              <w:rPr>
                <w:rFonts w:eastAsia="Times New Roman"/>
                <w:sz w:val="20"/>
                <w:szCs w:val="20"/>
              </w:rPr>
            </w:pPr>
            <w:r>
              <w:rPr>
                <w:rFonts w:eastAsia="Times New Roman"/>
                <w:sz w:val="20"/>
                <w:szCs w:val="20"/>
              </w:rPr>
              <w:t>●</w:t>
            </w:r>
          </w:p>
        </w:tc>
        <w:tc>
          <w:tcPr>
            <w:tcW w:w="0" w:type="auto"/>
            <w:hideMark/>
          </w:tcPr>
          <w:p w14:paraId="415F42C3" w14:textId="77777777" w:rsidR="00000000" w:rsidRDefault="002F725F">
            <w:pPr>
              <w:jc w:val="both"/>
              <w:rPr>
                <w:rFonts w:eastAsia="Times New Roman"/>
                <w:sz w:val="20"/>
                <w:szCs w:val="20"/>
              </w:rPr>
            </w:pPr>
            <w:r>
              <w:rPr>
                <w:rFonts w:eastAsia="Times New Roman"/>
                <w:sz w:val="20"/>
                <w:szCs w:val="20"/>
              </w:rPr>
              <w:t>“SPECIAL FACTORS—Voting by the Buyer Group at the Extraordinary General Meeting”</w:t>
            </w:r>
          </w:p>
        </w:tc>
      </w:tr>
    </w:tbl>
    <w:p w14:paraId="1FBCA892"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CEA3CE9" w14:textId="77777777">
        <w:trPr>
          <w:divId w:val="305475121"/>
          <w:tblCellSpacing w:w="0" w:type="dxa"/>
        </w:trPr>
        <w:tc>
          <w:tcPr>
            <w:tcW w:w="1080" w:type="dxa"/>
            <w:hideMark/>
          </w:tcPr>
          <w:p w14:paraId="239BBB16" w14:textId="77777777" w:rsidR="00000000" w:rsidRDefault="002F725F">
            <w:pPr>
              <w:rPr>
                <w:sz w:val="20"/>
                <w:szCs w:val="20"/>
              </w:rPr>
            </w:pPr>
          </w:p>
        </w:tc>
        <w:tc>
          <w:tcPr>
            <w:tcW w:w="360" w:type="dxa"/>
            <w:hideMark/>
          </w:tcPr>
          <w:p w14:paraId="286510DD" w14:textId="77777777" w:rsidR="00000000" w:rsidRDefault="002F725F">
            <w:pPr>
              <w:rPr>
                <w:rFonts w:eastAsia="Times New Roman"/>
                <w:sz w:val="20"/>
                <w:szCs w:val="20"/>
              </w:rPr>
            </w:pPr>
            <w:r>
              <w:rPr>
                <w:rFonts w:eastAsia="Times New Roman"/>
                <w:sz w:val="20"/>
                <w:szCs w:val="20"/>
              </w:rPr>
              <w:t>●</w:t>
            </w:r>
          </w:p>
        </w:tc>
        <w:tc>
          <w:tcPr>
            <w:tcW w:w="0" w:type="auto"/>
            <w:hideMark/>
          </w:tcPr>
          <w:p w14:paraId="4844A7E8" w14:textId="77777777" w:rsidR="00000000" w:rsidRDefault="002F725F">
            <w:pPr>
              <w:jc w:val="both"/>
              <w:rPr>
                <w:rFonts w:eastAsia="Times New Roman"/>
                <w:sz w:val="20"/>
                <w:szCs w:val="20"/>
              </w:rPr>
            </w:pPr>
            <w:r>
              <w:rPr>
                <w:rFonts w:eastAsia="Times New Roman"/>
                <w:sz w:val="20"/>
                <w:szCs w:val="20"/>
              </w:rPr>
              <w:t>“</w:t>
            </w:r>
            <w:r>
              <w:rPr>
                <w:rFonts w:eastAsia="Times New Roman"/>
                <w:sz w:val="20"/>
                <w:szCs w:val="20"/>
              </w:rPr>
              <w:t>THE EXTRAORDINARY GENERAL MEETING—Vote Required”</w:t>
            </w:r>
          </w:p>
        </w:tc>
      </w:tr>
    </w:tbl>
    <w:p w14:paraId="112F7104"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8E9D0F4" w14:textId="77777777">
        <w:trPr>
          <w:divId w:val="305475121"/>
          <w:tblCellSpacing w:w="0" w:type="dxa"/>
        </w:trPr>
        <w:tc>
          <w:tcPr>
            <w:tcW w:w="1080" w:type="dxa"/>
            <w:hideMark/>
          </w:tcPr>
          <w:p w14:paraId="640F6D09" w14:textId="77777777" w:rsidR="00000000" w:rsidRDefault="002F725F">
            <w:pPr>
              <w:rPr>
                <w:sz w:val="20"/>
                <w:szCs w:val="20"/>
              </w:rPr>
            </w:pPr>
          </w:p>
        </w:tc>
        <w:tc>
          <w:tcPr>
            <w:tcW w:w="360" w:type="dxa"/>
            <w:hideMark/>
          </w:tcPr>
          <w:p w14:paraId="3ED6D028" w14:textId="77777777" w:rsidR="00000000" w:rsidRDefault="002F725F">
            <w:pPr>
              <w:rPr>
                <w:rFonts w:eastAsia="Times New Roman"/>
                <w:sz w:val="20"/>
                <w:szCs w:val="20"/>
              </w:rPr>
            </w:pPr>
            <w:r>
              <w:rPr>
                <w:rFonts w:eastAsia="Times New Roman"/>
                <w:sz w:val="20"/>
                <w:szCs w:val="20"/>
              </w:rPr>
              <w:t>●</w:t>
            </w:r>
          </w:p>
        </w:tc>
        <w:tc>
          <w:tcPr>
            <w:tcW w:w="0" w:type="auto"/>
            <w:hideMark/>
          </w:tcPr>
          <w:p w14:paraId="51FC58DC" w14:textId="77777777" w:rsidR="00000000" w:rsidRDefault="002F725F">
            <w:pPr>
              <w:jc w:val="both"/>
              <w:rPr>
                <w:rFonts w:eastAsia="Times New Roman"/>
                <w:sz w:val="20"/>
                <w:szCs w:val="20"/>
              </w:rPr>
            </w:pPr>
            <w:r>
              <w:rPr>
                <w:rFonts w:eastAsia="Times New Roman"/>
                <w:sz w:val="20"/>
                <w:szCs w:val="20"/>
              </w:rPr>
              <w:t>“SECURITY OWNERSHIP OF CERTAIN BENEFICIAL OWNERS AND MANAGEMENT OF THE COMPANY”</w:t>
            </w:r>
          </w:p>
        </w:tc>
      </w:tr>
    </w:tbl>
    <w:p w14:paraId="1D020319"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29DA098D" w14:textId="77777777">
        <w:trPr>
          <w:divId w:val="305475121"/>
          <w:tblCellSpacing w:w="0" w:type="dxa"/>
        </w:trPr>
        <w:tc>
          <w:tcPr>
            <w:tcW w:w="6" w:type="dxa"/>
            <w:hideMark/>
          </w:tcPr>
          <w:p w14:paraId="713DA37B" w14:textId="77777777" w:rsidR="00000000" w:rsidRDefault="002F725F">
            <w:pPr>
              <w:rPr>
                <w:sz w:val="20"/>
                <w:szCs w:val="20"/>
              </w:rPr>
            </w:pPr>
          </w:p>
        </w:tc>
        <w:tc>
          <w:tcPr>
            <w:tcW w:w="1080" w:type="dxa"/>
            <w:hideMark/>
          </w:tcPr>
          <w:p w14:paraId="64B597DF" w14:textId="77777777" w:rsidR="00000000" w:rsidRDefault="002F725F">
            <w:pPr>
              <w:rPr>
                <w:rFonts w:eastAsia="Times New Roman"/>
                <w:sz w:val="20"/>
                <w:szCs w:val="20"/>
              </w:rPr>
            </w:pPr>
            <w:r>
              <w:rPr>
                <w:rFonts w:eastAsia="Times New Roman"/>
                <w:sz w:val="20"/>
                <w:szCs w:val="20"/>
              </w:rPr>
              <w:t>(e)</w:t>
            </w:r>
          </w:p>
        </w:tc>
        <w:tc>
          <w:tcPr>
            <w:tcW w:w="0" w:type="auto"/>
            <w:hideMark/>
          </w:tcPr>
          <w:p w14:paraId="25903F53" w14:textId="77777777" w:rsidR="00000000" w:rsidRDefault="002F725F">
            <w:pPr>
              <w:jc w:val="both"/>
              <w:rPr>
                <w:rFonts w:eastAsia="Times New Roman"/>
                <w:sz w:val="20"/>
                <w:szCs w:val="20"/>
              </w:rPr>
            </w:pPr>
            <w:r>
              <w:rPr>
                <w:rFonts w:eastAsia="Times New Roman"/>
                <w:sz w:val="20"/>
                <w:szCs w:val="20"/>
              </w:rPr>
              <w:t>Recommendations of Others. The information set forth in the Proxy Statement under the following captions is incor</w:t>
            </w:r>
            <w:r>
              <w:rPr>
                <w:rFonts w:eastAsia="Times New Roman"/>
                <w:sz w:val="20"/>
                <w:szCs w:val="20"/>
              </w:rPr>
              <w:t>porated herein by reference:</w:t>
            </w:r>
          </w:p>
        </w:tc>
      </w:tr>
    </w:tbl>
    <w:p w14:paraId="2CAD3B1E"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314858F" w14:textId="77777777">
        <w:trPr>
          <w:divId w:val="305475121"/>
          <w:tblCellSpacing w:w="0" w:type="dxa"/>
        </w:trPr>
        <w:tc>
          <w:tcPr>
            <w:tcW w:w="1080" w:type="dxa"/>
            <w:hideMark/>
          </w:tcPr>
          <w:p w14:paraId="0CC1C006" w14:textId="77777777" w:rsidR="00000000" w:rsidRDefault="002F725F">
            <w:pPr>
              <w:rPr>
                <w:sz w:val="20"/>
                <w:szCs w:val="20"/>
              </w:rPr>
            </w:pPr>
          </w:p>
        </w:tc>
        <w:tc>
          <w:tcPr>
            <w:tcW w:w="360" w:type="dxa"/>
            <w:hideMark/>
          </w:tcPr>
          <w:p w14:paraId="7FF05CA6" w14:textId="77777777" w:rsidR="00000000" w:rsidRDefault="002F725F">
            <w:pPr>
              <w:rPr>
                <w:rFonts w:eastAsia="Times New Roman"/>
                <w:sz w:val="20"/>
                <w:szCs w:val="20"/>
              </w:rPr>
            </w:pPr>
            <w:r>
              <w:rPr>
                <w:rFonts w:eastAsia="Times New Roman"/>
                <w:sz w:val="20"/>
                <w:szCs w:val="20"/>
              </w:rPr>
              <w:t>●</w:t>
            </w:r>
          </w:p>
        </w:tc>
        <w:tc>
          <w:tcPr>
            <w:tcW w:w="0" w:type="auto"/>
            <w:hideMark/>
          </w:tcPr>
          <w:p w14:paraId="431F4E88" w14:textId="77777777" w:rsidR="00000000" w:rsidRDefault="002F725F">
            <w:pPr>
              <w:jc w:val="both"/>
              <w:rPr>
                <w:rFonts w:eastAsia="Times New Roman"/>
                <w:sz w:val="20"/>
                <w:szCs w:val="20"/>
              </w:rPr>
            </w:pPr>
            <w:r>
              <w:rPr>
                <w:rFonts w:eastAsia="Times New Roman"/>
                <w:sz w:val="20"/>
                <w:szCs w:val="20"/>
              </w:rPr>
              <w:t>“SUMMARY TERM SHEET—Position of the Buyer Filing Persons as to the Fairness of the Merger”</w:t>
            </w:r>
          </w:p>
        </w:tc>
      </w:tr>
    </w:tbl>
    <w:p w14:paraId="655483BB"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B91EAED" w14:textId="77777777">
        <w:trPr>
          <w:divId w:val="305475121"/>
          <w:tblCellSpacing w:w="0" w:type="dxa"/>
        </w:trPr>
        <w:tc>
          <w:tcPr>
            <w:tcW w:w="1080" w:type="dxa"/>
            <w:hideMark/>
          </w:tcPr>
          <w:p w14:paraId="764E9364" w14:textId="77777777" w:rsidR="00000000" w:rsidRDefault="002F725F">
            <w:pPr>
              <w:rPr>
                <w:sz w:val="20"/>
                <w:szCs w:val="20"/>
              </w:rPr>
            </w:pPr>
          </w:p>
        </w:tc>
        <w:tc>
          <w:tcPr>
            <w:tcW w:w="360" w:type="dxa"/>
            <w:hideMark/>
          </w:tcPr>
          <w:p w14:paraId="3F796A33" w14:textId="77777777" w:rsidR="00000000" w:rsidRDefault="002F725F">
            <w:pPr>
              <w:rPr>
                <w:rFonts w:eastAsia="Times New Roman"/>
                <w:sz w:val="20"/>
                <w:szCs w:val="20"/>
              </w:rPr>
            </w:pPr>
            <w:r>
              <w:rPr>
                <w:rFonts w:eastAsia="Times New Roman"/>
                <w:sz w:val="20"/>
                <w:szCs w:val="20"/>
              </w:rPr>
              <w:t>●</w:t>
            </w:r>
          </w:p>
        </w:tc>
        <w:tc>
          <w:tcPr>
            <w:tcW w:w="0" w:type="auto"/>
            <w:hideMark/>
          </w:tcPr>
          <w:p w14:paraId="2FEBFE92" w14:textId="77777777" w:rsidR="00000000" w:rsidRDefault="002F725F">
            <w:pPr>
              <w:jc w:val="both"/>
              <w:rPr>
                <w:rFonts w:eastAsia="Times New Roman"/>
                <w:sz w:val="20"/>
                <w:szCs w:val="20"/>
              </w:rPr>
            </w:pPr>
            <w:r>
              <w:rPr>
                <w:rFonts w:eastAsia="Times New Roman"/>
                <w:sz w:val="20"/>
                <w:szCs w:val="20"/>
              </w:rPr>
              <w:t>“SUMMARY TERM SHEET—Support Agreement”</w:t>
            </w:r>
          </w:p>
        </w:tc>
      </w:tr>
    </w:tbl>
    <w:p w14:paraId="77EE4F4D"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90F6DB8" w14:textId="77777777">
        <w:trPr>
          <w:divId w:val="305475121"/>
          <w:tblCellSpacing w:w="0" w:type="dxa"/>
        </w:trPr>
        <w:tc>
          <w:tcPr>
            <w:tcW w:w="1080" w:type="dxa"/>
            <w:hideMark/>
          </w:tcPr>
          <w:p w14:paraId="0C652893" w14:textId="77777777" w:rsidR="00000000" w:rsidRDefault="002F725F">
            <w:pPr>
              <w:rPr>
                <w:sz w:val="20"/>
                <w:szCs w:val="20"/>
              </w:rPr>
            </w:pPr>
          </w:p>
        </w:tc>
        <w:tc>
          <w:tcPr>
            <w:tcW w:w="360" w:type="dxa"/>
            <w:hideMark/>
          </w:tcPr>
          <w:p w14:paraId="1FD23C96" w14:textId="77777777" w:rsidR="00000000" w:rsidRDefault="002F725F">
            <w:pPr>
              <w:rPr>
                <w:rFonts w:eastAsia="Times New Roman"/>
                <w:sz w:val="20"/>
                <w:szCs w:val="20"/>
              </w:rPr>
            </w:pPr>
            <w:r>
              <w:rPr>
                <w:rFonts w:eastAsia="Times New Roman"/>
                <w:sz w:val="20"/>
                <w:szCs w:val="20"/>
              </w:rPr>
              <w:t>●</w:t>
            </w:r>
          </w:p>
        </w:tc>
        <w:tc>
          <w:tcPr>
            <w:tcW w:w="0" w:type="auto"/>
            <w:hideMark/>
          </w:tcPr>
          <w:p w14:paraId="5F6B0E46" w14:textId="77777777" w:rsidR="00000000" w:rsidRDefault="002F725F">
            <w:pPr>
              <w:jc w:val="both"/>
              <w:rPr>
                <w:rFonts w:eastAsia="Times New Roman"/>
                <w:sz w:val="20"/>
                <w:szCs w:val="20"/>
              </w:rPr>
            </w:pPr>
            <w:r>
              <w:rPr>
                <w:rFonts w:eastAsia="Times New Roman"/>
                <w:sz w:val="20"/>
                <w:szCs w:val="20"/>
              </w:rPr>
              <w:t>“SPECIAL FACTORS—</w:t>
            </w:r>
            <w:r>
              <w:rPr>
                <w:rFonts w:eastAsia="Times New Roman"/>
                <w:sz w:val="20"/>
                <w:szCs w:val="20"/>
              </w:rPr>
              <w:t>Reasons for the Merger and Recommendation of the Special Committee and the Board”</w:t>
            </w:r>
          </w:p>
        </w:tc>
      </w:tr>
    </w:tbl>
    <w:p w14:paraId="4FF100F6"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1341B11" w14:textId="77777777">
        <w:trPr>
          <w:divId w:val="305475121"/>
          <w:tblCellSpacing w:w="0" w:type="dxa"/>
        </w:trPr>
        <w:tc>
          <w:tcPr>
            <w:tcW w:w="1080" w:type="dxa"/>
            <w:hideMark/>
          </w:tcPr>
          <w:p w14:paraId="6BBEC464" w14:textId="77777777" w:rsidR="00000000" w:rsidRDefault="002F725F">
            <w:pPr>
              <w:rPr>
                <w:sz w:val="20"/>
                <w:szCs w:val="20"/>
              </w:rPr>
            </w:pPr>
          </w:p>
        </w:tc>
        <w:tc>
          <w:tcPr>
            <w:tcW w:w="360" w:type="dxa"/>
            <w:hideMark/>
          </w:tcPr>
          <w:p w14:paraId="1081272B" w14:textId="77777777" w:rsidR="00000000" w:rsidRDefault="002F725F">
            <w:pPr>
              <w:rPr>
                <w:rFonts w:eastAsia="Times New Roman"/>
                <w:sz w:val="20"/>
                <w:szCs w:val="20"/>
              </w:rPr>
            </w:pPr>
            <w:r>
              <w:rPr>
                <w:rFonts w:eastAsia="Times New Roman"/>
                <w:sz w:val="20"/>
                <w:szCs w:val="20"/>
              </w:rPr>
              <w:t>●</w:t>
            </w:r>
          </w:p>
        </w:tc>
        <w:tc>
          <w:tcPr>
            <w:tcW w:w="0" w:type="auto"/>
            <w:hideMark/>
          </w:tcPr>
          <w:p w14:paraId="45C85365" w14:textId="77777777" w:rsidR="00000000" w:rsidRDefault="002F725F">
            <w:pPr>
              <w:jc w:val="both"/>
              <w:rPr>
                <w:rFonts w:eastAsia="Times New Roman"/>
                <w:sz w:val="20"/>
                <w:szCs w:val="20"/>
              </w:rPr>
            </w:pPr>
            <w:r>
              <w:rPr>
                <w:rFonts w:eastAsia="Times New Roman"/>
                <w:sz w:val="20"/>
                <w:szCs w:val="20"/>
              </w:rPr>
              <w:t>“SPECIAL FACTORS—Position of the Buyer Filing Persons as to the Fairness of the Merger”</w:t>
            </w:r>
          </w:p>
        </w:tc>
      </w:tr>
    </w:tbl>
    <w:p w14:paraId="36FF18B1"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6E08115A" w14:textId="77777777">
        <w:trPr>
          <w:divId w:val="305475121"/>
          <w:tblCellSpacing w:w="0" w:type="dxa"/>
        </w:trPr>
        <w:tc>
          <w:tcPr>
            <w:tcW w:w="1080" w:type="dxa"/>
            <w:hideMark/>
          </w:tcPr>
          <w:p w14:paraId="73631D02" w14:textId="77777777" w:rsidR="00000000" w:rsidRDefault="002F725F">
            <w:pPr>
              <w:rPr>
                <w:sz w:val="20"/>
                <w:szCs w:val="20"/>
              </w:rPr>
            </w:pPr>
          </w:p>
        </w:tc>
        <w:tc>
          <w:tcPr>
            <w:tcW w:w="360" w:type="dxa"/>
            <w:hideMark/>
          </w:tcPr>
          <w:p w14:paraId="3C5CC658" w14:textId="77777777" w:rsidR="00000000" w:rsidRDefault="002F725F">
            <w:pPr>
              <w:rPr>
                <w:rFonts w:eastAsia="Times New Roman"/>
                <w:sz w:val="20"/>
                <w:szCs w:val="20"/>
              </w:rPr>
            </w:pPr>
            <w:r>
              <w:rPr>
                <w:rFonts w:eastAsia="Times New Roman"/>
                <w:sz w:val="20"/>
                <w:szCs w:val="20"/>
              </w:rPr>
              <w:t>●</w:t>
            </w:r>
          </w:p>
        </w:tc>
        <w:tc>
          <w:tcPr>
            <w:tcW w:w="0" w:type="auto"/>
            <w:hideMark/>
          </w:tcPr>
          <w:p w14:paraId="4E31F81B" w14:textId="77777777" w:rsidR="00000000" w:rsidRDefault="002F725F">
            <w:pPr>
              <w:jc w:val="both"/>
              <w:rPr>
                <w:rFonts w:eastAsia="Times New Roman"/>
                <w:sz w:val="20"/>
                <w:szCs w:val="20"/>
              </w:rPr>
            </w:pPr>
            <w:r>
              <w:rPr>
                <w:rFonts w:eastAsia="Times New Roman"/>
                <w:sz w:val="20"/>
                <w:szCs w:val="20"/>
              </w:rPr>
              <w:t>“SPECIAL FACTORS—Support Agreement”</w:t>
            </w:r>
          </w:p>
        </w:tc>
      </w:tr>
    </w:tbl>
    <w:p w14:paraId="468E98F7"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A36BC5C" w14:textId="77777777">
        <w:trPr>
          <w:divId w:val="305475121"/>
          <w:tblCellSpacing w:w="0" w:type="dxa"/>
        </w:trPr>
        <w:tc>
          <w:tcPr>
            <w:tcW w:w="1080" w:type="dxa"/>
            <w:hideMark/>
          </w:tcPr>
          <w:p w14:paraId="678F0B87" w14:textId="77777777" w:rsidR="00000000" w:rsidRDefault="002F725F">
            <w:pPr>
              <w:rPr>
                <w:sz w:val="20"/>
                <w:szCs w:val="20"/>
              </w:rPr>
            </w:pPr>
          </w:p>
        </w:tc>
        <w:tc>
          <w:tcPr>
            <w:tcW w:w="360" w:type="dxa"/>
            <w:hideMark/>
          </w:tcPr>
          <w:p w14:paraId="75BA250A" w14:textId="77777777" w:rsidR="00000000" w:rsidRDefault="002F725F">
            <w:pPr>
              <w:rPr>
                <w:rFonts w:eastAsia="Times New Roman"/>
                <w:sz w:val="20"/>
                <w:szCs w:val="20"/>
              </w:rPr>
            </w:pPr>
            <w:r>
              <w:rPr>
                <w:rFonts w:eastAsia="Times New Roman"/>
                <w:sz w:val="20"/>
                <w:szCs w:val="20"/>
              </w:rPr>
              <w:t>●</w:t>
            </w:r>
          </w:p>
        </w:tc>
        <w:tc>
          <w:tcPr>
            <w:tcW w:w="0" w:type="auto"/>
            <w:hideMark/>
          </w:tcPr>
          <w:p w14:paraId="012BD929" w14:textId="77777777" w:rsidR="00000000" w:rsidRDefault="002F725F">
            <w:pPr>
              <w:jc w:val="both"/>
              <w:rPr>
                <w:rFonts w:eastAsia="Times New Roman"/>
                <w:sz w:val="20"/>
                <w:szCs w:val="20"/>
              </w:rPr>
            </w:pPr>
            <w:r>
              <w:rPr>
                <w:rFonts w:eastAsia="Times New Roman"/>
                <w:sz w:val="20"/>
                <w:szCs w:val="20"/>
              </w:rPr>
              <w:t>“</w:t>
            </w:r>
            <w:r>
              <w:rPr>
                <w:rFonts w:eastAsia="Times New Roman"/>
                <w:sz w:val="20"/>
                <w:szCs w:val="20"/>
              </w:rPr>
              <w:t>THE EXTRAORDINARY GENERAL MEETING—The Board’s Recommendation”</w:t>
            </w:r>
          </w:p>
        </w:tc>
      </w:tr>
    </w:tbl>
    <w:p w14:paraId="70E4CD51"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p w14:paraId="14A5951A" w14:textId="77777777" w:rsidR="00000000" w:rsidRDefault="002F725F">
      <w:pPr>
        <w:pStyle w:val="NormalWeb"/>
        <w:spacing w:before="0" w:beforeAutospacing="0" w:after="0" w:afterAutospacing="0"/>
        <w:jc w:val="center"/>
        <w:divId w:val="1372727736"/>
        <w:rPr>
          <w:sz w:val="20"/>
          <w:szCs w:val="20"/>
        </w:rPr>
      </w:pPr>
      <w:r>
        <w:rPr>
          <w:sz w:val="20"/>
          <w:szCs w:val="20"/>
        </w:rPr>
        <w:t>1</w:t>
      </w:r>
      <w:r>
        <w:rPr>
          <w:sz w:val="20"/>
          <w:szCs w:val="20"/>
        </w:rPr>
        <w:t>2</w:t>
      </w:r>
    </w:p>
    <w:p w14:paraId="2F55BB45"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0DEE3104" w14:textId="77777777">
        <w:trPr>
          <w:divId w:val="305475121"/>
          <w:tblCellSpacing w:w="0" w:type="dxa"/>
        </w:trPr>
        <w:tc>
          <w:tcPr>
            <w:tcW w:w="0" w:type="pct"/>
            <w:hideMark/>
          </w:tcPr>
          <w:p w14:paraId="06FE2215" w14:textId="77777777" w:rsidR="00000000" w:rsidRDefault="002F725F">
            <w:pPr>
              <w:rPr>
                <w:sz w:val="20"/>
                <w:szCs w:val="20"/>
              </w:rPr>
            </w:pPr>
          </w:p>
        </w:tc>
        <w:tc>
          <w:tcPr>
            <w:tcW w:w="720" w:type="dxa"/>
            <w:hideMark/>
          </w:tcPr>
          <w:p w14:paraId="5E6E3533" w14:textId="77777777" w:rsidR="00000000" w:rsidRDefault="002F725F">
            <w:pPr>
              <w:rPr>
                <w:rFonts w:eastAsia="Times New Roman"/>
                <w:sz w:val="20"/>
                <w:szCs w:val="20"/>
              </w:rPr>
            </w:pPr>
            <w:bookmarkStart w:id="13" w:name="gfpea0289617-sc13e3a6_lake.htma_013"/>
            <w:bookmarkEnd w:id="13"/>
            <w:r>
              <w:rPr>
                <w:rFonts w:eastAsia="Times New Roman"/>
                <w:b/>
                <w:bCs/>
                <w:sz w:val="20"/>
                <w:szCs w:val="20"/>
              </w:rPr>
              <w:t>Item 13</w:t>
            </w:r>
          </w:p>
        </w:tc>
        <w:tc>
          <w:tcPr>
            <w:tcW w:w="0" w:type="auto"/>
            <w:hideMark/>
          </w:tcPr>
          <w:p w14:paraId="44FBE0DC" w14:textId="77777777" w:rsidR="00000000" w:rsidRDefault="002F725F">
            <w:pPr>
              <w:jc w:val="both"/>
              <w:rPr>
                <w:rFonts w:eastAsia="Times New Roman"/>
                <w:sz w:val="20"/>
                <w:szCs w:val="20"/>
              </w:rPr>
            </w:pPr>
            <w:r>
              <w:rPr>
                <w:rFonts w:eastAsia="Times New Roman"/>
                <w:b/>
                <w:bCs/>
                <w:sz w:val="20"/>
                <w:szCs w:val="20"/>
              </w:rPr>
              <w:t>Financial Statements</w:t>
            </w:r>
          </w:p>
        </w:tc>
      </w:tr>
    </w:tbl>
    <w:p w14:paraId="05DB18CF"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30F69D78" w14:textId="77777777">
        <w:trPr>
          <w:divId w:val="305475121"/>
          <w:tblCellSpacing w:w="0" w:type="dxa"/>
        </w:trPr>
        <w:tc>
          <w:tcPr>
            <w:tcW w:w="6" w:type="dxa"/>
            <w:hideMark/>
          </w:tcPr>
          <w:p w14:paraId="41537313" w14:textId="77777777" w:rsidR="00000000" w:rsidRDefault="002F725F">
            <w:pPr>
              <w:rPr>
                <w:sz w:val="20"/>
                <w:szCs w:val="20"/>
              </w:rPr>
            </w:pPr>
          </w:p>
        </w:tc>
        <w:tc>
          <w:tcPr>
            <w:tcW w:w="1080" w:type="dxa"/>
            <w:hideMark/>
          </w:tcPr>
          <w:p w14:paraId="39726A62" w14:textId="77777777" w:rsidR="00000000" w:rsidRDefault="002F725F">
            <w:pPr>
              <w:rPr>
                <w:rFonts w:eastAsia="Times New Roman"/>
                <w:sz w:val="20"/>
                <w:szCs w:val="20"/>
              </w:rPr>
            </w:pPr>
            <w:r>
              <w:rPr>
                <w:rFonts w:eastAsia="Times New Roman"/>
                <w:sz w:val="20"/>
                <w:szCs w:val="20"/>
              </w:rPr>
              <w:t>(a)</w:t>
            </w:r>
          </w:p>
        </w:tc>
        <w:tc>
          <w:tcPr>
            <w:tcW w:w="0" w:type="auto"/>
            <w:hideMark/>
          </w:tcPr>
          <w:p w14:paraId="7567FA34" w14:textId="77777777" w:rsidR="00000000" w:rsidRDefault="002F725F">
            <w:pPr>
              <w:jc w:val="both"/>
              <w:rPr>
                <w:rFonts w:eastAsia="Times New Roman"/>
                <w:sz w:val="20"/>
                <w:szCs w:val="20"/>
              </w:rPr>
            </w:pPr>
            <w:r>
              <w:rPr>
                <w:rFonts w:eastAsia="Times New Roman"/>
                <w:sz w:val="20"/>
                <w:szCs w:val="20"/>
              </w:rPr>
              <w:t>Financial Information. The audited financial statements of the Company for the two years ended March 31, 2024 and 2025 are incorporated herein by re</w:t>
            </w:r>
            <w:r>
              <w:rPr>
                <w:rFonts w:eastAsia="Times New Roman"/>
                <w:sz w:val="20"/>
                <w:szCs w:val="20"/>
              </w:rPr>
              <w:t>ference to the Company’s Form 20-F for the year ended March 31, 2025, originally filed on July 31, 2025 (see page F-4 and following pages).</w:t>
            </w:r>
          </w:p>
        </w:tc>
      </w:tr>
    </w:tbl>
    <w:p w14:paraId="0003D2C0"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2DB8AE2C" w14:textId="77777777" w:rsidR="00000000" w:rsidRDefault="002F725F">
      <w:pPr>
        <w:pStyle w:val="NormalWeb"/>
        <w:spacing w:before="0" w:beforeAutospacing="0" w:after="0" w:afterAutospacing="0"/>
        <w:ind w:left="1080"/>
        <w:jc w:val="both"/>
        <w:divId w:val="305475121"/>
        <w:rPr>
          <w:sz w:val="20"/>
          <w:szCs w:val="20"/>
        </w:rPr>
      </w:pPr>
      <w:r>
        <w:rPr>
          <w:sz w:val="20"/>
          <w:szCs w:val="20"/>
        </w:rPr>
        <w:t>The information set forth in the Proxy Statement under the following captions is incorporated herein by reference</w:t>
      </w:r>
      <w:r>
        <w:rPr>
          <w:sz w:val="20"/>
          <w:szCs w:val="20"/>
        </w:rPr>
        <w:t>:</w:t>
      </w:r>
    </w:p>
    <w:p w14:paraId="20FE9E16"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4723676" w14:textId="77777777">
        <w:trPr>
          <w:divId w:val="305475121"/>
          <w:tblCellSpacing w:w="0" w:type="dxa"/>
        </w:trPr>
        <w:tc>
          <w:tcPr>
            <w:tcW w:w="1080" w:type="dxa"/>
            <w:hideMark/>
          </w:tcPr>
          <w:p w14:paraId="630379F6" w14:textId="77777777" w:rsidR="00000000" w:rsidRDefault="002F725F">
            <w:pPr>
              <w:rPr>
                <w:sz w:val="20"/>
                <w:szCs w:val="20"/>
              </w:rPr>
            </w:pPr>
          </w:p>
        </w:tc>
        <w:tc>
          <w:tcPr>
            <w:tcW w:w="360" w:type="dxa"/>
            <w:hideMark/>
          </w:tcPr>
          <w:p w14:paraId="176AAAE6" w14:textId="77777777" w:rsidR="00000000" w:rsidRDefault="002F725F">
            <w:pPr>
              <w:rPr>
                <w:rFonts w:eastAsia="Times New Roman"/>
                <w:sz w:val="20"/>
                <w:szCs w:val="20"/>
              </w:rPr>
            </w:pPr>
            <w:r>
              <w:rPr>
                <w:rFonts w:eastAsia="Times New Roman"/>
                <w:sz w:val="20"/>
                <w:szCs w:val="20"/>
              </w:rPr>
              <w:t>●</w:t>
            </w:r>
          </w:p>
        </w:tc>
        <w:tc>
          <w:tcPr>
            <w:tcW w:w="0" w:type="auto"/>
            <w:hideMark/>
          </w:tcPr>
          <w:p w14:paraId="722AF126" w14:textId="77777777" w:rsidR="00000000" w:rsidRDefault="002F725F">
            <w:pPr>
              <w:jc w:val="both"/>
              <w:rPr>
                <w:rFonts w:eastAsia="Times New Roman"/>
                <w:sz w:val="20"/>
                <w:szCs w:val="20"/>
              </w:rPr>
            </w:pPr>
            <w:r>
              <w:rPr>
                <w:rFonts w:eastAsia="Times New Roman"/>
                <w:sz w:val="20"/>
                <w:szCs w:val="20"/>
              </w:rPr>
              <w:t>“FINANCIAL INFORMATION”</w:t>
            </w:r>
          </w:p>
        </w:tc>
      </w:tr>
    </w:tbl>
    <w:p w14:paraId="5CA05037"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3251E18" w14:textId="77777777">
        <w:trPr>
          <w:divId w:val="305475121"/>
          <w:tblCellSpacing w:w="0" w:type="dxa"/>
        </w:trPr>
        <w:tc>
          <w:tcPr>
            <w:tcW w:w="1080" w:type="dxa"/>
            <w:hideMark/>
          </w:tcPr>
          <w:p w14:paraId="0D3237DC" w14:textId="77777777" w:rsidR="00000000" w:rsidRDefault="002F725F">
            <w:pPr>
              <w:rPr>
                <w:sz w:val="20"/>
                <w:szCs w:val="20"/>
              </w:rPr>
            </w:pPr>
          </w:p>
        </w:tc>
        <w:tc>
          <w:tcPr>
            <w:tcW w:w="360" w:type="dxa"/>
            <w:hideMark/>
          </w:tcPr>
          <w:p w14:paraId="5A959949" w14:textId="77777777" w:rsidR="00000000" w:rsidRDefault="002F725F">
            <w:pPr>
              <w:rPr>
                <w:rFonts w:eastAsia="Times New Roman"/>
                <w:sz w:val="20"/>
                <w:szCs w:val="20"/>
              </w:rPr>
            </w:pPr>
            <w:r>
              <w:rPr>
                <w:rFonts w:eastAsia="Times New Roman"/>
                <w:sz w:val="20"/>
                <w:szCs w:val="20"/>
              </w:rPr>
              <w:t>●</w:t>
            </w:r>
          </w:p>
        </w:tc>
        <w:tc>
          <w:tcPr>
            <w:tcW w:w="0" w:type="auto"/>
            <w:hideMark/>
          </w:tcPr>
          <w:p w14:paraId="38265F5C" w14:textId="77777777" w:rsidR="00000000" w:rsidRDefault="002F725F">
            <w:pPr>
              <w:jc w:val="both"/>
              <w:rPr>
                <w:rFonts w:eastAsia="Times New Roman"/>
                <w:sz w:val="20"/>
                <w:szCs w:val="20"/>
              </w:rPr>
            </w:pPr>
            <w:r>
              <w:rPr>
                <w:rFonts w:eastAsia="Times New Roman"/>
                <w:sz w:val="20"/>
                <w:szCs w:val="20"/>
              </w:rPr>
              <w:t>“WHERE YOU CAN FIND MORE INFORMATION”</w:t>
            </w:r>
          </w:p>
        </w:tc>
      </w:tr>
    </w:tbl>
    <w:p w14:paraId="3200581C"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2FD9183B" w14:textId="77777777">
        <w:trPr>
          <w:divId w:val="305475121"/>
          <w:tblCellSpacing w:w="0" w:type="dxa"/>
        </w:trPr>
        <w:tc>
          <w:tcPr>
            <w:tcW w:w="6" w:type="dxa"/>
            <w:hideMark/>
          </w:tcPr>
          <w:p w14:paraId="5240F865" w14:textId="77777777" w:rsidR="00000000" w:rsidRDefault="002F725F">
            <w:pPr>
              <w:rPr>
                <w:sz w:val="20"/>
                <w:szCs w:val="20"/>
              </w:rPr>
            </w:pPr>
          </w:p>
        </w:tc>
        <w:tc>
          <w:tcPr>
            <w:tcW w:w="1080" w:type="dxa"/>
            <w:hideMark/>
          </w:tcPr>
          <w:p w14:paraId="21862CCF" w14:textId="77777777" w:rsidR="00000000" w:rsidRDefault="002F725F">
            <w:pPr>
              <w:rPr>
                <w:rFonts w:eastAsia="Times New Roman"/>
                <w:sz w:val="20"/>
                <w:szCs w:val="20"/>
              </w:rPr>
            </w:pPr>
            <w:r>
              <w:rPr>
                <w:rFonts w:eastAsia="Times New Roman"/>
                <w:sz w:val="20"/>
                <w:szCs w:val="20"/>
              </w:rPr>
              <w:t>(b)</w:t>
            </w:r>
          </w:p>
        </w:tc>
        <w:tc>
          <w:tcPr>
            <w:tcW w:w="0" w:type="auto"/>
            <w:hideMark/>
          </w:tcPr>
          <w:p w14:paraId="3371CD2D" w14:textId="77777777" w:rsidR="00000000" w:rsidRDefault="002F725F">
            <w:pPr>
              <w:jc w:val="both"/>
              <w:rPr>
                <w:rFonts w:eastAsia="Times New Roman"/>
                <w:sz w:val="20"/>
                <w:szCs w:val="20"/>
              </w:rPr>
            </w:pPr>
            <w:r>
              <w:rPr>
                <w:rFonts w:eastAsia="Times New Roman"/>
                <w:sz w:val="20"/>
                <w:szCs w:val="20"/>
              </w:rPr>
              <w:t>Pro Forma Information. Not applicable.</w:t>
            </w:r>
          </w:p>
        </w:tc>
      </w:tr>
    </w:tbl>
    <w:p w14:paraId="368363F4"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061CAFBA" w14:textId="77777777">
        <w:trPr>
          <w:divId w:val="305475121"/>
          <w:tblCellSpacing w:w="0" w:type="dxa"/>
        </w:trPr>
        <w:tc>
          <w:tcPr>
            <w:tcW w:w="0" w:type="pct"/>
            <w:hideMark/>
          </w:tcPr>
          <w:p w14:paraId="699E5D48" w14:textId="77777777" w:rsidR="00000000" w:rsidRDefault="002F725F">
            <w:pPr>
              <w:rPr>
                <w:sz w:val="20"/>
                <w:szCs w:val="20"/>
              </w:rPr>
            </w:pPr>
          </w:p>
        </w:tc>
        <w:tc>
          <w:tcPr>
            <w:tcW w:w="720" w:type="dxa"/>
            <w:hideMark/>
          </w:tcPr>
          <w:p w14:paraId="7B6D8498" w14:textId="77777777" w:rsidR="00000000" w:rsidRDefault="002F725F">
            <w:pPr>
              <w:rPr>
                <w:rFonts w:eastAsia="Times New Roman"/>
                <w:sz w:val="20"/>
                <w:szCs w:val="20"/>
              </w:rPr>
            </w:pPr>
            <w:bookmarkStart w:id="14" w:name="gfpea0289617-sc13e3a6_lake.htma_014"/>
            <w:bookmarkEnd w:id="14"/>
            <w:r>
              <w:rPr>
                <w:rFonts w:eastAsia="Times New Roman"/>
                <w:b/>
                <w:bCs/>
                <w:sz w:val="20"/>
                <w:szCs w:val="20"/>
              </w:rPr>
              <w:t>Item 14</w:t>
            </w:r>
          </w:p>
        </w:tc>
        <w:tc>
          <w:tcPr>
            <w:tcW w:w="0" w:type="auto"/>
            <w:hideMark/>
          </w:tcPr>
          <w:p w14:paraId="3384BB92" w14:textId="77777777" w:rsidR="00000000" w:rsidRDefault="002F725F">
            <w:pPr>
              <w:jc w:val="both"/>
              <w:rPr>
                <w:rFonts w:eastAsia="Times New Roman"/>
                <w:sz w:val="20"/>
                <w:szCs w:val="20"/>
              </w:rPr>
            </w:pPr>
            <w:r>
              <w:rPr>
                <w:rFonts w:eastAsia="Times New Roman"/>
                <w:b/>
                <w:bCs/>
                <w:sz w:val="20"/>
                <w:szCs w:val="20"/>
              </w:rPr>
              <w:t>Persons/Assets, Retained, Employed, Compensated or Used</w:t>
            </w:r>
          </w:p>
        </w:tc>
      </w:tr>
    </w:tbl>
    <w:p w14:paraId="158E2453"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39BCD915" w14:textId="77777777">
        <w:trPr>
          <w:divId w:val="305475121"/>
          <w:tblCellSpacing w:w="0" w:type="dxa"/>
        </w:trPr>
        <w:tc>
          <w:tcPr>
            <w:tcW w:w="6" w:type="dxa"/>
            <w:hideMark/>
          </w:tcPr>
          <w:p w14:paraId="09144F02" w14:textId="77777777" w:rsidR="00000000" w:rsidRDefault="002F725F">
            <w:pPr>
              <w:rPr>
                <w:sz w:val="20"/>
                <w:szCs w:val="20"/>
              </w:rPr>
            </w:pPr>
          </w:p>
        </w:tc>
        <w:tc>
          <w:tcPr>
            <w:tcW w:w="1080" w:type="dxa"/>
            <w:hideMark/>
          </w:tcPr>
          <w:p w14:paraId="6B27C4CF" w14:textId="77777777" w:rsidR="00000000" w:rsidRDefault="002F725F">
            <w:pPr>
              <w:rPr>
                <w:rFonts w:eastAsia="Times New Roman"/>
                <w:sz w:val="20"/>
                <w:szCs w:val="20"/>
              </w:rPr>
            </w:pPr>
            <w:r>
              <w:rPr>
                <w:rFonts w:eastAsia="Times New Roman"/>
                <w:sz w:val="20"/>
                <w:szCs w:val="20"/>
              </w:rPr>
              <w:t>(a)</w:t>
            </w:r>
          </w:p>
        </w:tc>
        <w:tc>
          <w:tcPr>
            <w:tcW w:w="0" w:type="auto"/>
            <w:hideMark/>
          </w:tcPr>
          <w:p w14:paraId="6FB6252B" w14:textId="77777777" w:rsidR="00000000" w:rsidRDefault="002F725F">
            <w:pPr>
              <w:jc w:val="both"/>
              <w:rPr>
                <w:rFonts w:eastAsia="Times New Roman"/>
                <w:sz w:val="20"/>
                <w:szCs w:val="20"/>
              </w:rPr>
            </w:pPr>
            <w:r>
              <w:rPr>
                <w:rFonts w:eastAsia="Times New Roman"/>
                <w:sz w:val="20"/>
                <w:szCs w:val="20"/>
              </w:rPr>
              <w:t>Solicitation or Recommendations. The information set forth in the Proxy Statement under the following caption is incorporated herein by reference:</w:t>
            </w:r>
          </w:p>
        </w:tc>
      </w:tr>
    </w:tbl>
    <w:p w14:paraId="1CE0DB37"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8ECA3C0" w14:textId="77777777">
        <w:trPr>
          <w:divId w:val="305475121"/>
          <w:tblCellSpacing w:w="0" w:type="dxa"/>
        </w:trPr>
        <w:tc>
          <w:tcPr>
            <w:tcW w:w="1080" w:type="dxa"/>
            <w:hideMark/>
          </w:tcPr>
          <w:p w14:paraId="794685A0" w14:textId="77777777" w:rsidR="00000000" w:rsidRDefault="002F725F">
            <w:pPr>
              <w:rPr>
                <w:sz w:val="20"/>
                <w:szCs w:val="20"/>
              </w:rPr>
            </w:pPr>
          </w:p>
        </w:tc>
        <w:tc>
          <w:tcPr>
            <w:tcW w:w="360" w:type="dxa"/>
            <w:hideMark/>
          </w:tcPr>
          <w:p w14:paraId="21813141" w14:textId="77777777" w:rsidR="00000000" w:rsidRDefault="002F725F">
            <w:pPr>
              <w:rPr>
                <w:rFonts w:eastAsia="Times New Roman"/>
                <w:sz w:val="20"/>
                <w:szCs w:val="20"/>
              </w:rPr>
            </w:pPr>
            <w:r>
              <w:rPr>
                <w:rFonts w:eastAsia="Times New Roman"/>
                <w:sz w:val="20"/>
                <w:szCs w:val="20"/>
              </w:rPr>
              <w:t>●</w:t>
            </w:r>
          </w:p>
        </w:tc>
        <w:tc>
          <w:tcPr>
            <w:tcW w:w="0" w:type="auto"/>
            <w:hideMark/>
          </w:tcPr>
          <w:p w14:paraId="744B5444" w14:textId="77777777" w:rsidR="00000000" w:rsidRDefault="002F725F">
            <w:pPr>
              <w:jc w:val="both"/>
              <w:rPr>
                <w:rFonts w:eastAsia="Times New Roman"/>
                <w:sz w:val="20"/>
                <w:szCs w:val="20"/>
              </w:rPr>
            </w:pPr>
            <w:r>
              <w:rPr>
                <w:rFonts w:eastAsia="Times New Roman"/>
                <w:sz w:val="20"/>
                <w:szCs w:val="20"/>
              </w:rPr>
              <w:t>“THE EXTRAORDINARY GENERAL MEETING—Solicitation of Proxies”</w:t>
            </w:r>
          </w:p>
        </w:tc>
      </w:tr>
    </w:tbl>
    <w:p w14:paraId="7952B7B7"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79615899" w14:textId="77777777">
        <w:trPr>
          <w:divId w:val="305475121"/>
          <w:tblCellSpacing w:w="0" w:type="dxa"/>
        </w:trPr>
        <w:tc>
          <w:tcPr>
            <w:tcW w:w="6" w:type="dxa"/>
            <w:hideMark/>
          </w:tcPr>
          <w:p w14:paraId="755EE5CF" w14:textId="77777777" w:rsidR="00000000" w:rsidRDefault="002F725F">
            <w:pPr>
              <w:rPr>
                <w:sz w:val="20"/>
                <w:szCs w:val="20"/>
              </w:rPr>
            </w:pPr>
          </w:p>
        </w:tc>
        <w:tc>
          <w:tcPr>
            <w:tcW w:w="1080" w:type="dxa"/>
            <w:hideMark/>
          </w:tcPr>
          <w:p w14:paraId="54A319A1" w14:textId="77777777" w:rsidR="00000000" w:rsidRDefault="002F725F">
            <w:pPr>
              <w:rPr>
                <w:rFonts w:eastAsia="Times New Roman"/>
                <w:sz w:val="20"/>
                <w:szCs w:val="20"/>
              </w:rPr>
            </w:pPr>
            <w:r>
              <w:rPr>
                <w:rFonts w:eastAsia="Times New Roman"/>
                <w:sz w:val="20"/>
                <w:szCs w:val="20"/>
              </w:rPr>
              <w:t>(b)</w:t>
            </w:r>
          </w:p>
        </w:tc>
        <w:tc>
          <w:tcPr>
            <w:tcW w:w="0" w:type="auto"/>
            <w:hideMark/>
          </w:tcPr>
          <w:p w14:paraId="101B10D4" w14:textId="77777777" w:rsidR="00000000" w:rsidRDefault="002F725F">
            <w:pPr>
              <w:jc w:val="both"/>
              <w:rPr>
                <w:rFonts w:eastAsia="Times New Roman"/>
                <w:sz w:val="20"/>
                <w:szCs w:val="20"/>
              </w:rPr>
            </w:pPr>
            <w:r>
              <w:rPr>
                <w:rFonts w:eastAsia="Times New Roman"/>
                <w:sz w:val="20"/>
                <w:szCs w:val="20"/>
              </w:rPr>
              <w:t>Employees and Corporate Assets. The information set forth in the Proxy Statement under the following captions is incorporated herein by reference:</w:t>
            </w:r>
          </w:p>
        </w:tc>
      </w:tr>
    </w:tbl>
    <w:p w14:paraId="2690DFA4"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27B1ABE" w14:textId="77777777">
        <w:trPr>
          <w:divId w:val="305475121"/>
          <w:tblCellSpacing w:w="0" w:type="dxa"/>
        </w:trPr>
        <w:tc>
          <w:tcPr>
            <w:tcW w:w="1080" w:type="dxa"/>
            <w:hideMark/>
          </w:tcPr>
          <w:p w14:paraId="1EE06C60" w14:textId="77777777" w:rsidR="00000000" w:rsidRDefault="002F725F">
            <w:pPr>
              <w:rPr>
                <w:sz w:val="20"/>
                <w:szCs w:val="20"/>
              </w:rPr>
            </w:pPr>
          </w:p>
        </w:tc>
        <w:tc>
          <w:tcPr>
            <w:tcW w:w="360" w:type="dxa"/>
            <w:hideMark/>
          </w:tcPr>
          <w:p w14:paraId="22AA5187" w14:textId="77777777" w:rsidR="00000000" w:rsidRDefault="002F725F">
            <w:pPr>
              <w:rPr>
                <w:rFonts w:eastAsia="Times New Roman"/>
                <w:sz w:val="20"/>
                <w:szCs w:val="20"/>
              </w:rPr>
            </w:pPr>
            <w:r>
              <w:rPr>
                <w:rFonts w:eastAsia="Times New Roman"/>
                <w:sz w:val="20"/>
                <w:szCs w:val="20"/>
              </w:rPr>
              <w:t>●</w:t>
            </w:r>
          </w:p>
        </w:tc>
        <w:tc>
          <w:tcPr>
            <w:tcW w:w="0" w:type="auto"/>
            <w:hideMark/>
          </w:tcPr>
          <w:p w14:paraId="7B0679C9" w14:textId="77777777" w:rsidR="00000000" w:rsidRDefault="002F725F">
            <w:pPr>
              <w:jc w:val="both"/>
              <w:rPr>
                <w:rFonts w:eastAsia="Times New Roman"/>
                <w:sz w:val="20"/>
                <w:szCs w:val="20"/>
              </w:rPr>
            </w:pPr>
            <w:r>
              <w:rPr>
                <w:rFonts w:eastAsia="Times New Roman"/>
                <w:sz w:val="20"/>
                <w:szCs w:val="20"/>
              </w:rPr>
              <w:t>“SUMMARY TERM SHEET—The Parties Involved in the Merger”</w:t>
            </w:r>
          </w:p>
        </w:tc>
      </w:tr>
    </w:tbl>
    <w:p w14:paraId="07BDB548"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BE7F560" w14:textId="77777777">
        <w:trPr>
          <w:divId w:val="305475121"/>
          <w:tblCellSpacing w:w="0" w:type="dxa"/>
        </w:trPr>
        <w:tc>
          <w:tcPr>
            <w:tcW w:w="1080" w:type="dxa"/>
            <w:hideMark/>
          </w:tcPr>
          <w:p w14:paraId="13E03EDC" w14:textId="77777777" w:rsidR="00000000" w:rsidRDefault="002F725F">
            <w:pPr>
              <w:rPr>
                <w:sz w:val="20"/>
                <w:szCs w:val="20"/>
              </w:rPr>
            </w:pPr>
          </w:p>
        </w:tc>
        <w:tc>
          <w:tcPr>
            <w:tcW w:w="360" w:type="dxa"/>
            <w:hideMark/>
          </w:tcPr>
          <w:p w14:paraId="1CD83E23" w14:textId="77777777" w:rsidR="00000000" w:rsidRDefault="002F725F">
            <w:pPr>
              <w:rPr>
                <w:rFonts w:eastAsia="Times New Roman"/>
                <w:sz w:val="20"/>
                <w:szCs w:val="20"/>
              </w:rPr>
            </w:pPr>
            <w:r>
              <w:rPr>
                <w:rFonts w:eastAsia="Times New Roman"/>
                <w:sz w:val="20"/>
                <w:szCs w:val="20"/>
              </w:rPr>
              <w:t>●</w:t>
            </w:r>
          </w:p>
        </w:tc>
        <w:tc>
          <w:tcPr>
            <w:tcW w:w="0" w:type="auto"/>
            <w:hideMark/>
          </w:tcPr>
          <w:p w14:paraId="2ED491BE" w14:textId="77777777" w:rsidR="00000000" w:rsidRDefault="002F725F">
            <w:pPr>
              <w:jc w:val="both"/>
              <w:rPr>
                <w:rFonts w:eastAsia="Times New Roman"/>
                <w:sz w:val="20"/>
                <w:szCs w:val="20"/>
              </w:rPr>
            </w:pPr>
            <w:r>
              <w:rPr>
                <w:rFonts w:eastAsia="Times New Roman"/>
                <w:sz w:val="20"/>
                <w:szCs w:val="20"/>
              </w:rPr>
              <w:t>“SPECIAL FACTORS—</w:t>
            </w:r>
            <w:r>
              <w:rPr>
                <w:rFonts w:eastAsia="Times New Roman"/>
                <w:sz w:val="20"/>
                <w:szCs w:val="20"/>
              </w:rPr>
              <w:t>Interests of Certain Persons in the Merger”</w:t>
            </w:r>
          </w:p>
        </w:tc>
      </w:tr>
    </w:tbl>
    <w:p w14:paraId="7CBD250F" w14:textId="77777777" w:rsidR="00000000" w:rsidRDefault="002F725F">
      <w:pPr>
        <w:pStyle w:val="NormalWeb"/>
        <w:spacing w:before="0" w:beforeAutospacing="0" w:after="0" w:afterAutospacing="0"/>
        <w:ind w:left="1440" w:hanging="36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E9CD376" w14:textId="77777777">
        <w:trPr>
          <w:divId w:val="305475121"/>
          <w:tblCellSpacing w:w="0" w:type="dxa"/>
        </w:trPr>
        <w:tc>
          <w:tcPr>
            <w:tcW w:w="1080" w:type="dxa"/>
            <w:hideMark/>
          </w:tcPr>
          <w:p w14:paraId="7F43B1B2" w14:textId="77777777" w:rsidR="00000000" w:rsidRDefault="002F725F">
            <w:pPr>
              <w:rPr>
                <w:sz w:val="20"/>
                <w:szCs w:val="20"/>
              </w:rPr>
            </w:pPr>
          </w:p>
        </w:tc>
        <w:tc>
          <w:tcPr>
            <w:tcW w:w="360" w:type="dxa"/>
            <w:hideMark/>
          </w:tcPr>
          <w:p w14:paraId="6305069A" w14:textId="77777777" w:rsidR="00000000" w:rsidRDefault="002F725F">
            <w:pPr>
              <w:rPr>
                <w:rFonts w:eastAsia="Times New Roman"/>
                <w:sz w:val="20"/>
                <w:szCs w:val="20"/>
              </w:rPr>
            </w:pPr>
            <w:r>
              <w:rPr>
                <w:rFonts w:eastAsia="Times New Roman"/>
                <w:sz w:val="20"/>
                <w:szCs w:val="20"/>
              </w:rPr>
              <w:t>●</w:t>
            </w:r>
          </w:p>
        </w:tc>
        <w:tc>
          <w:tcPr>
            <w:tcW w:w="0" w:type="auto"/>
            <w:hideMark/>
          </w:tcPr>
          <w:p w14:paraId="52DB3569" w14:textId="77777777" w:rsidR="00000000" w:rsidRDefault="002F725F">
            <w:pPr>
              <w:jc w:val="both"/>
              <w:rPr>
                <w:rFonts w:eastAsia="Times New Roman"/>
                <w:sz w:val="20"/>
                <w:szCs w:val="20"/>
              </w:rPr>
            </w:pPr>
            <w:r>
              <w:rPr>
                <w:rFonts w:eastAsia="Times New Roman"/>
                <w:sz w:val="20"/>
                <w:szCs w:val="20"/>
              </w:rPr>
              <w:t>“ANNEX E—DIRECTORS AND EXECUTIVE OFFICERS OF EACH FILING PERSON”</w:t>
            </w:r>
          </w:p>
        </w:tc>
      </w:tr>
    </w:tbl>
    <w:p w14:paraId="2169394D"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52F1C3B3" w14:textId="77777777">
        <w:trPr>
          <w:divId w:val="305475121"/>
          <w:tblCellSpacing w:w="0" w:type="dxa"/>
        </w:trPr>
        <w:tc>
          <w:tcPr>
            <w:tcW w:w="0" w:type="pct"/>
            <w:hideMark/>
          </w:tcPr>
          <w:p w14:paraId="5CC7F3DF" w14:textId="77777777" w:rsidR="00000000" w:rsidRDefault="002F725F">
            <w:pPr>
              <w:rPr>
                <w:sz w:val="20"/>
                <w:szCs w:val="20"/>
              </w:rPr>
            </w:pPr>
          </w:p>
        </w:tc>
        <w:tc>
          <w:tcPr>
            <w:tcW w:w="720" w:type="dxa"/>
            <w:hideMark/>
          </w:tcPr>
          <w:p w14:paraId="7DE394FD" w14:textId="77777777" w:rsidR="00000000" w:rsidRDefault="002F725F">
            <w:pPr>
              <w:rPr>
                <w:rFonts w:eastAsia="Times New Roman"/>
                <w:sz w:val="20"/>
                <w:szCs w:val="20"/>
              </w:rPr>
            </w:pPr>
            <w:bookmarkStart w:id="15" w:name="gfpea0289617-sc13e3a6_lake.htma_015"/>
            <w:bookmarkEnd w:id="15"/>
            <w:r>
              <w:rPr>
                <w:rFonts w:eastAsia="Times New Roman"/>
                <w:b/>
                <w:bCs/>
                <w:sz w:val="20"/>
                <w:szCs w:val="20"/>
              </w:rPr>
              <w:t>Item 15</w:t>
            </w:r>
          </w:p>
        </w:tc>
        <w:tc>
          <w:tcPr>
            <w:tcW w:w="0" w:type="auto"/>
            <w:hideMark/>
          </w:tcPr>
          <w:p w14:paraId="1ED7AC17" w14:textId="77777777" w:rsidR="00000000" w:rsidRDefault="002F725F">
            <w:pPr>
              <w:jc w:val="both"/>
              <w:rPr>
                <w:rFonts w:eastAsia="Times New Roman"/>
                <w:sz w:val="20"/>
                <w:szCs w:val="20"/>
              </w:rPr>
            </w:pPr>
            <w:r>
              <w:rPr>
                <w:rFonts w:eastAsia="Times New Roman"/>
                <w:b/>
                <w:bCs/>
                <w:sz w:val="20"/>
                <w:szCs w:val="20"/>
              </w:rPr>
              <w:t>Additional Information</w:t>
            </w:r>
          </w:p>
        </w:tc>
      </w:tr>
    </w:tbl>
    <w:p w14:paraId="1FED7F99" w14:textId="77777777" w:rsidR="00000000" w:rsidRDefault="002F725F">
      <w:pPr>
        <w:pStyle w:val="NormalWeb"/>
        <w:spacing w:before="0" w:beforeAutospacing="0" w:after="0" w:afterAutospacing="0"/>
        <w:ind w:left="720" w:hanging="720"/>
        <w:jc w:val="both"/>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1080"/>
        <w:gridCol w:w="8274"/>
      </w:tblGrid>
      <w:tr w:rsidR="00000000" w14:paraId="023B54FC" w14:textId="77777777">
        <w:trPr>
          <w:divId w:val="305475121"/>
          <w:tblCellSpacing w:w="0" w:type="dxa"/>
        </w:trPr>
        <w:tc>
          <w:tcPr>
            <w:tcW w:w="6" w:type="dxa"/>
            <w:hideMark/>
          </w:tcPr>
          <w:p w14:paraId="7544D4B0" w14:textId="77777777" w:rsidR="00000000" w:rsidRDefault="002F725F">
            <w:pPr>
              <w:rPr>
                <w:sz w:val="20"/>
                <w:szCs w:val="20"/>
              </w:rPr>
            </w:pPr>
          </w:p>
        </w:tc>
        <w:tc>
          <w:tcPr>
            <w:tcW w:w="1080" w:type="dxa"/>
            <w:hideMark/>
          </w:tcPr>
          <w:p w14:paraId="6CA06869" w14:textId="77777777" w:rsidR="00000000" w:rsidRDefault="002F725F">
            <w:pPr>
              <w:rPr>
                <w:rFonts w:eastAsia="Times New Roman"/>
                <w:sz w:val="20"/>
                <w:szCs w:val="20"/>
              </w:rPr>
            </w:pPr>
            <w:r>
              <w:rPr>
                <w:rFonts w:eastAsia="Times New Roman"/>
                <w:sz w:val="20"/>
                <w:szCs w:val="20"/>
              </w:rPr>
              <w:t>(b)</w:t>
            </w:r>
          </w:p>
        </w:tc>
        <w:tc>
          <w:tcPr>
            <w:tcW w:w="0" w:type="auto"/>
            <w:hideMark/>
          </w:tcPr>
          <w:p w14:paraId="60D26360" w14:textId="77777777" w:rsidR="00000000" w:rsidRDefault="002F725F">
            <w:pPr>
              <w:jc w:val="both"/>
              <w:rPr>
                <w:rFonts w:eastAsia="Times New Roman"/>
                <w:sz w:val="20"/>
                <w:szCs w:val="20"/>
              </w:rPr>
            </w:pPr>
            <w:r>
              <w:rPr>
                <w:rFonts w:eastAsia="Times New Roman"/>
                <w:sz w:val="20"/>
                <w:szCs w:val="20"/>
              </w:rPr>
              <w:t>Other Material Information. </w:t>
            </w:r>
            <w:r>
              <w:rPr>
                <w:rFonts w:eastAsia="Times New Roman"/>
                <w:sz w:val="20"/>
                <w:szCs w:val="20"/>
              </w:rPr>
              <w:t>The information contained in the Proxy Statement, including all annexes thereto, is incorporated herein by reference.</w:t>
            </w:r>
          </w:p>
        </w:tc>
      </w:tr>
    </w:tbl>
    <w:p w14:paraId="39380BBB"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p w14:paraId="3626EA04" w14:textId="77777777" w:rsidR="00000000" w:rsidRDefault="002F725F">
      <w:pPr>
        <w:pStyle w:val="NormalWeb"/>
        <w:spacing w:before="0" w:beforeAutospacing="0" w:after="0" w:afterAutospacing="0"/>
        <w:jc w:val="center"/>
        <w:divId w:val="2061664061"/>
        <w:rPr>
          <w:sz w:val="20"/>
          <w:szCs w:val="20"/>
        </w:rPr>
      </w:pPr>
      <w:r>
        <w:rPr>
          <w:sz w:val="20"/>
          <w:szCs w:val="20"/>
        </w:rPr>
        <w:t>1</w:t>
      </w:r>
      <w:r>
        <w:rPr>
          <w:sz w:val="20"/>
          <w:szCs w:val="20"/>
        </w:rPr>
        <w:t>3</w:t>
      </w:r>
    </w:p>
    <w:p w14:paraId="0DEC6736" w14:textId="77777777" w:rsidR="00000000" w:rsidRDefault="002F725F">
      <w:pPr>
        <w:pStyle w:val="NormalWeb"/>
        <w:spacing w:before="0" w:beforeAutospacing="0" w:after="0" w:afterAutospacing="0"/>
        <w:ind w:left="720" w:hanging="720"/>
        <w:jc w:val="both"/>
        <w:divId w:val="305475121"/>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1A53148F" w14:textId="77777777">
        <w:trPr>
          <w:divId w:val="305475121"/>
          <w:tblCellSpacing w:w="0" w:type="dxa"/>
        </w:trPr>
        <w:tc>
          <w:tcPr>
            <w:tcW w:w="0" w:type="pct"/>
            <w:hideMark/>
          </w:tcPr>
          <w:p w14:paraId="4140283B" w14:textId="77777777" w:rsidR="00000000" w:rsidRDefault="002F725F">
            <w:pPr>
              <w:rPr>
                <w:sz w:val="20"/>
                <w:szCs w:val="20"/>
              </w:rPr>
            </w:pPr>
          </w:p>
        </w:tc>
        <w:tc>
          <w:tcPr>
            <w:tcW w:w="720" w:type="dxa"/>
            <w:hideMark/>
          </w:tcPr>
          <w:p w14:paraId="55544051" w14:textId="77777777" w:rsidR="00000000" w:rsidRDefault="002F725F">
            <w:pPr>
              <w:rPr>
                <w:rFonts w:eastAsia="Times New Roman"/>
                <w:sz w:val="20"/>
                <w:szCs w:val="20"/>
              </w:rPr>
            </w:pPr>
            <w:bookmarkStart w:id="16" w:name="gfpea0289617-sc13e3a6_lake.htma_016"/>
            <w:bookmarkEnd w:id="16"/>
            <w:r>
              <w:rPr>
                <w:rFonts w:eastAsia="Times New Roman"/>
                <w:b/>
                <w:bCs/>
                <w:sz w:val="20"/>
                <w:szCs w:val="20"/>
              </w:rPr>
              <w:t>Item 16</w:t>
            </w:r>
          </w:p>
        </w:tc>
        <w:tc>
          <w:tcPr>
            <w:tcW w:w="0" w:type="auto"/>
            <w:hideMark/>
          </w:tcPr>
          <w:p w14:paraId="1C3437F3" w14:textId="77777777" w:rsidR="00000000" w:rsidRDefault="002F725F">
            <w:pPr>
              <w:jc w:val="both"/>
              <w:rPr>
                <w:rFonts w:eastAsia="Times New Roman"/>
                <w:sz w:val="20"/>
                <w:szCs w:val="20"/>
              </w:rPr>
            </w:pPr>
            <w:r>
              <w:rPr>
                <w:rFonts w:eastAsia="Times New Roman"/>
                <w:b/>
                <w:bCs/>
                <w:sz w:val="20"/>
                <w:szCs w:val="20"/>
              </w:rPr>
              <w:t>Exhibits</w:t>
            </w:r>
          </w:p>
        </w:tc>
      </w:tr>
    </w:tbl>
    <w:p w14:paraId="00487D08" w14:textId="77777777" w:rsidR="00000000" w:rsidRDefault="002F725F">
      <w:pPr>
        <w:pStyle w:val="NormalWeb"/>
        <w:spacing w:before="0" w:beforeAutospacing="0" w:after="0" w:afterAutospacing="0"/>
        <w:divId w:val="305475121"/>
        <w:rPr>
          <w:sz w:val="20"/>
          <w:szCs w:val="20"/>
        </w:rPr>
      </w:pPr>
      <w:r>
        <w:rPr>
          <w:sz w:val="20"/>
          <w:szCs w:val="20"/>
        </w:rPr>
        <w:t> </w:t>
      </w:r>
    </w:p>
    <w:p w14:paraId="77F14F87" w14:textId="77777777" w:rsidR="00000000" w:rsidRDefault="002F725F">
      <w:pPr>
        <w:pStyle w:val="NormalWeb"/>
        <w:spacing w:before="0" w:beforeAutospacing="0" w:after="0" w:afterAutospacing="0"/>
        <w:jc w:val="center"/>
        <w:divId w:val="305475121"/>
        <w:rPr>
          <w:sz w:val="20"/>
          <w:szCs w:val="20"/>
        </w:rPr>
      </w:pPr>
      <w:r>
        <w:rPr>
          <w:b/>
          <w:bCs/>
          <w:sz w:val="20"/>
          <w:szCs w:val="20"/>
        </w:rPr>
        <w:t>EXHIBIT INDEX</w:t>
      </w:r>
    </w:p>
    <w:p w14:paraId="7F84F403" w14:textId="77777777" w:rsidR="00000000" w:rsidRDefault="002F725F">
      <w:pPr>
        <w:pStyle w:val="NormalWeb"/>
        <w:spacing w:before="0" w:beforeAutospacing="0" w:after="0" w:afterAutospacing="0"/>
        <w:divId w:val="305475121"/>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748"/>
        <w:gridCol w:w="94"/>
        <w:gridCol w:w="8518"/>
      </w:tblGrid>
      <w:tr w:rsidR="00000000" w14:paraId="6CF9815D" w14:textId="77777777">
        <w:trPr>
          <w:divId w:val="305475121"/>
        </w:trPr>
        <w:tc>
          <w:tcPr>
            <w:tcW w:w="400" w:type="pct"/>
            <w:shd w:val="clear" w:color="auto" w:fill="CCEEFF"/>
            <w:hideMark/>
          </w:tcPr>
          <w:p w14:paraId="2A921CFD" w14:textId="77777777" w:rsidR="00000000" w:rsidRDefault="002F725F">
            <w:pPr>
              <w:rPr>
                <w:rFonts w:eastAsia="Times New Roman"/>
                <w:sz w:val="20"/>
                <w:szCs w:val="20"/>
              </w:rPr>
            </w:pPr>
            <w:r>
              <w:rPr>
                <w:rFonts w:eastAsia="Times New Roman"/>
                <w:sz w:val="20"/>
                <w:szCs w:val="20"/>
              </w:rPr>
              <w:t>(a)-(1)</w:t>
            </w:r>
          </w:p>
        </w:tc>
        <w:tc>
          <w:tcPr>
            <w:tcW w:w="50" w:type="pct"/>
            <w:shd w:val="clear" w:color="auto" w:fill="CCEEFF"/>
            <w:hideMark/>
          </w:tcPr>
          <w:p w14:paraId="426EE02A" w14:textId="77777777" w:rsidR="00000000" w:rsidRDefault="002F725F">
            <w:pPr>
              <w:jc w:val="both"/>
              <w:rPr>
                <w:rFonts w:eastAsia="Times New Roman"/>
                <w:sz w:val="20"/>
                <w:szCs w:val="20"/>
              </w:rPr>
            </w:pPr>
            <w:r>
              <w:rPr>
                <w:rFonts w:eastAsia="Times New Roman"/>
                <w:sz w:val="20"/>
                <w:szCs w:val="20"/>
              </w:rPr>
              <w:t> </w:t>
            </w:r>
          </w:p>
        </w:tc>
        <w:tc>
          <w:tcPr>
            <w:tcW w:w="4550" w:type="pct"/>
            <w:shd w:val="clear" w:color="auto" w:fill="CCEEFF"/>
            <w:hideMark/>
          </w:tcPr>
          <w:p w14:paraId="329A8553" w14:textId="77777777" w:rsidR="00000000" w:rsidRDefault="002F725F">
            <w:pPr>
              <w:jc w:val="both"/>
              <w:rPr>
                <w:rFonts w:eastAsia="Times New Roman"/>
                <w:sz w:val="20"/>
                <w:szCs w:val="20"/>
              </w:rPr>
            </w:pPr>
            <w:hyperlink w:anchor="gfpea028961701ex99-a1.htm" w:history="1">
              <w:r>
                <w:rPr>
                  <w:rStyle w:val="Hyperlink"/>
                  <w:rFonts w:eastAsia="Times New Roman"/>
                  <w:sz w:val="20"/>
                  <w:szCs w:val="20"/>
                </w:rPr>
                <w:t xml:space="preserve">Preliminary Proxy Statement of the </w:t>
              </w:r>
              <w:r>
                <w:rPr>
                  <w:rStyle w:val="Hyperlink"/>
                  <w:rFonts w:eastAsia="Times New Roman"/>
                  <w:sz w:val="20"/>
                  <w:szCs w:val="20"/>
                </w:rPr>
                <w:t>Company dated May 8, 2026 (the “Proxy Statement”).</w:t>
              </w:r>
            </w:hyperlink>
          </w:p>
        </w:tc>
      </w:tr>
      <w:tr w:rsidR="00000000" w14:paraId="59585204" w14:textId="77777777">
        <w:trPr>
          <w:divId w:val="305475121"/>
        </w:trPr>
        <w:tc>
          <w:tcPr>
            <w:tcW w:w="0" w:type="auto"/>
            <w:shd w:val="clear" w:color="auto" w:fill="FFFFFF"/>
            <w:hideMark/>
          </w:tcPr>
          <w:p w14:paraId="3AE4C02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74AD4DB2"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378A8D37" w14:textId="77777777" w:rsidR="00000000" w:rsidRDefault="002F725F">
            <w:pPr>
              <w:jc w:val="both"/>
              <w:rPr>
                <w:rFonts w:eastAsia="Times New Roman"/>
                <w:sz w:val="20"/>
                <w:szCs w:val="20"/>
              </w:rPr>
            </w:pPr>
            <w:r>
              <w:rPr>
                <w:rFonts w:eastAsia="Times New Roman"/>
                <w:sz w:val="20"/>
                <w:szCs w:val="20"/>
              </w:rPr>
              <w:t> </w:t>
            </w:r>
          </w:p>
        </w:tc>
      </w:tr>
      <w:tr w:rsidR="00000000" w14:paraId="37403E0C" w14:textId="77777777">
        <w:trPr>
          <w:divId w:val="305475121"/>
        </w:trPr>
        <w:tc>
          <w:tcPr>
            <w:tcW w:w="0" w:type="auto"/>
            <w:shd w:val="clear" w:color="auto" w:fill="CCEEFF"/>
            <w:hideMark/>
          </w:tcPr>
          <w:p w14:paraId="2C4F57E5" w14:textId="77777777" w:rsidR="00000000" w:rsidRDefault="002F725F">
            <w:pPr>
              <w:rPr>
                <w:rFonts w:eastAsia="Times New Roman"/>
                <w:sz w:val="20"/>
                <w:szCs w:val="20"/>
              </w:rPr>
            </w:pPr>
            <w:r>
              <w:rPr>
                <w:rFonts w:eastAsia="Times New Roman"/>
                <w:sz w:val="20"/>
                <w:szCs w:val="20"/>
              </w:rPr>
              <w:t>(a)-(2)</w:t>
            </w:r>
          </w:p>
        </w:tc>
        <w:tc>
          <w:tcPr>
            <w:tcW w:w="0" w:type="auto"/>
            <w:shd w:val="clear" w:color="auto" w:fill="CCEEFF"/>
            <w:hideMark/>
          </w:tcPr>
          <w:p w14:paraId="7AEBAA01"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3DE5E2F2" w14:textId="77777777" w:rsidR="00000000" w:rsidRDefault="002F725F">
            <w:pPr>
              <w:jc w:val="both"/>
              <w:rPr>
                <w:rFonts w:eastAsia="Times New Roman"/>
                <w:sz w:val="20"/>
                <w:szCs w:val="20"/>
              </w:rPr>
            </w:pPr>
            <w:hyperlink w:anchor="gfpea028961701ex99-a1.htma_02" w:history="1">
              <w:r>
                <w:rPr>
                  <w:rStyle w:val="Hyperlink"/>
                  <w:rFonts w:eastAsia="Times New Roman"/>
                  <w:sz w:val="20"/>
                  <w:szCs w:val="20"/>
                </w:rPr>
                <w:t xml:space="preserve">Notice </w:t>
              </w:r>
              <w:r>
                <w:rPr>
                  <w:rStyle w:val="Hyperlink"/>
                  <w:rFonts w:eastAsia="Times New Roman"/>
                  <w:sz w:val="20"/>
                  <w:szCs w:val="20"/>
                </w:rPr>
                <w:t>of Extraordinary General Meeting of Shareholders of the Company, incorporated herein by reference to the Proxy Statement.</w:t>
              </w:r>
            </w:hyperlink>
          </w:p>
        </w:tc>
      </w:tr>
      <w:tr w:rsidR="00000000" w14:paraId="2F972543" w14:textId="77777777">
        <w:trPr>
          <w:divId w:val="305475121"/>
        </w:trPr>
        <w:tc>
          <w:tcPr>
            <w:tcW w:w="0" w:type="auto"/>
            <w:shd w:val="clear" w:color="auto" w:fill="FFFFFF"/>
            <w:hideMark/>
          </w:tcPr>
          <w:p w14:paraId="36992DE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2D838F3A"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2B1A6B67" w14:textId="77777777" w:rsidR="00000000" w:rsidRDefault="002F725F">
            <w:pPr>
              <w:jc w:val="both"/>
              <w:rPr>
                <w:rFonts w:eastAsia="Times New Roman"/>
                <w:sz w:val="20"/>
                <w:szCs w:val="20"/>
              </w:rPr>
            </w:pPr>
            <w:r>
              <w:rPr>
                <w:rFonts w:eastAsia="Times New Roman"/>
                <w:sz w:val="20"/>
                <w:szCs w:val="20"/>
              </w:rPr>
              <w:t> </w:t>
            </w:r>
          </w:p>
        </w:tc>
      </w:tr>
      <w:tr w:rsidR="00000000" w14:paraId="1C0D13D3" w14:textId="77777777">
        <w:trPr>
          <w:divId w:val="305475121"/>
        </w:trPr>
        <w:tc>
          <w:tcPr>
            <w:tcW w:w="0" w:type="auto"/>
            <w:shd w:val="clear" w:color="auto" w:fill="CCEEFF"/>
            <w:hideMark/>
          </w:tcPr>
          <w:p w14:paraId="547D42D2" w14:textId="77777777" w:rsidR="00000000" w:rsidRDefault="002F725F">
            <w:pPr>
              <w:rPr>
                <w:rFonts w:eastAsia="Times New Roman"/>
                <w:sz w:val="20"/>
                <w:szCs w:val="20"/>
              </w:rPr>
            </w:pPr>
            <w:r>
              <w:rPr>
                <w:rFonts w:eastAsia="Times New Roman"/>
                <w:sz w:val="20"/>
                <w:szCs w:val="20"/>
              </w:rPr>
              <w:t>(a)-(3)</w:t>
            </w:r>
          </w:p>
        </w:tc>
        <w:tc>
          <w:tcPr>
            <w:tcW w:w="0" w:type="auto"/>
            <w:shd w:val="clear" w:color="auto" w:fill="CCEEFF"/>
            <w:hideMark/>
          </w:tcPr>
          <w:p w14:paraId="64795711"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1E0E0CC8" w14:textId="77777777" w:rsidR="00000000" w:rsidRDefault="002F725F">
            <w:pPr>
              <w:jc w:val="both"/>
              <w:rPr>
                <w:rFonts w:eastAsia="Times New Roman"/>
                <w:sz w:val="20"/>
                <w:szCs w:val="20"/>
              </w:rPr>
            </w:pPr>
            <w:hyperlink w:anchor="gfpea028961701ex99-a1.htmf_01" w:history="1">
              <w:r>
                <w:rPr>
                  <w:rStyle w:val="Hyperlink"/>
                  <w:rFonts w:eastAsia="Times New Roman"/>
                  <w:sz w:val="20"/>
                  <w:szCs w:val="20"/>
                </w:rPr>
                <w:t xml:space="preserve">Form of Proxy Card, incorporated herein by reference to Annex F </w:t>
              </w:r>
              <w:r>
                <w:rPr>
                  <w:rStyle w:val="Hyperlink"/>
                  <w:rFonts w:eastAsia="Times New Roman"/>
                  <w:sz w:val="20"/>
                  <w:szCs w:val="20"/>
                </w:rPr>
                <w:t>to the Proxy Statement.</w:t>
              </w:r>
            </w:hyperlink>
          </w:p>
        </w:tc>
      </w:tr>
      <w:tr w:rsidR="00000000" w14:paraId="1480DE06" w14:textId="77777777">
        <w:trPr>
          <w:divId w:val="305475121"/>
        </w:trPr>
        <w:tc>
          <w:tcPr>
            <w:tcW w:w="0" w:type="auto"/>
            <w:shd w:val="clear" w:color="auto" w:fill="FFFFFF"/>
            <w:hideMark/>
          </w:tcPr>
          <w:p w14:paraId="3CBE3DD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69579083"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5F4FD3E5" w14:textId="77777777" w:rsidR="00000000" w:rsidRDefault="002F725F">
            <w:pPr>
              <w:jc w:val="both"/>
              <w:rPr>
                <w:rFonts w:eastAsia="Times New Roman"/>
                <w:sz w:val="20"/>
                <w:szCs w:val="20"/>
              </w:rPr>
            </w:pPr>
            <w:r>
              <w:rPr>
                <w:rFonts w:eastAsia="Times New Roman"/>
                <w:sz w:val="20"/>
                <w:szCs w:val="20"/>
              </w:rPr>
              <w:t> </w:t>
            </w:r>
          </w:p>
        </w:tc>
      </w:tr>
      <w:tr w:rsidR="00000000" w14:paraId="5B879A44" w14:textId="77777777">
        <w:trPr>
          <w:divId w:val="305475121"/>
        </w:trPr>
        <w:tc>
          <w:tcPr>
            <w:tcW w:w="0" w:type="auto"/>
            <w:shd w:val="clear" w:color="auto" w:fill="CCEEFF"/>
            <w:hideMark/>
          </w:tcPr>
          <w:p w14:paraId="2ED239E3" w14:textId="77777777" w:rsidR="00000000" w:rsidRDefault="002F725F">
            <w:pPr>
              <w:rPr>
                <w:rFonts w:eastAsia="Times New Roman"/>
                <w:sz w:val="20"/>
                <w:szCs w:val="20"/>
              </w:rPr>
            </w:pPr>
            <w:r>
              <w:rPr>
                <w:rFonts w:eastAsia="Times New Roman"/>
                <w:sz w:val="20"/>
                <w:szCs w:val="20"/>
              </w:rPr>
              <w:t>(a)-(4)</w:t>
            </w:r>
          </w:p>
        </w:tc>
        <w:tc>
          <w:tcPr>
            <w:tcW w:w="0" w:type="auto"/>
            <w:shd w:val="clear" w:color="auto" w:fill="CCEEFF"/>
            <w:hideMark/>
          </w:tcPr>
          <w:p w14:paraId="52038BA9"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6D11B632" w14:textId="77777777" w:rsidR="00000000" w:rsidRDefault="002F725F">
            <w:pPr>
              <w:jc w:val="both"/>
              <w:rPr>
                <w:rFonts w:eastAsia="Times New Roman"/>
                <w:sz w:val="20"/>
                <w:szCs w:val="20"/>
              </w:rPr>
            </w:pPr>
            <w:hyperlink r:id="rId4" w:history="1">
              <w:r>
                <w:rPr>
                  <w:rStyle w:val="Hyperlink"/>
                  <w:rFonts w:eastAsia="Times New Roman"/>
                  <w:sz w:val="20"/>
                  <w:szCs w:val="20"/>
                </w:rPr>
                <w:t>Press Release issued by the Company, dated November 4, 2025, incorporated herein by reference to Exhibit 99.1 to the Report on Form 6-K furnis</w:t>
              </w:r>
              <w:r>
                <w:rPr>
                  <w:rStyle w:val="Hyperlink"/>
                  <w:rFonts w:eastAsia="Times New Roman"/>
                  <w:sz w:val="20"/>
                  <w:szCs w:val="20"/>
                </w:rPr>
                <w:t>hed by the Company to the SEC on November 4, 2025.*</w:t>
              </w:r>
            </w:hyperlink>
          </w:p>
        </w:tc>
      </w:tr>
      <w:tr w:rsidR="00000000" w14:paraId="3E6F4B0D" w14:textId="77777777">
        <w:trPr>
          <w:divId w:val="305475121"/>
        </w:trPr>
        <w:tc>
          <w:tcPr>
            <w:tcW w:w="0" w:type="auto"/>
            <w:shd w:val="clear" w:color="auto" w:fill="FFFFFF"/>
            <w:hideMark/>
          </w:tcPr>
          <w:p w14:paraId="7C36178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4231039C"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6D645DCC" w14:textId="77777777" w:rsidR="00000000" w:rsidRDefault="002F725F">
            <w:pPr>
              <w:jc w:val="both"/>
              <w:rPr>
                <w:rFonts w:eastAsia="Times New Roman"/>
                <w:sz w:val="20"/>
                <w:szCs w:val="20"/>
              </w:rPr>
            </w:pPr>
            <w:r>
              <w:rPr>
                <w:rFonts w:eastAsia="Times New Roman"/>
                <w:sz w:val="20"/>
                <w:szCs w:val="20"/>
              </w:rPr>
              <w:t> </w:t>
            </w:r>
          </w:p>
        </w:tc>
      </w:tr>
      <w:tr w:rsidR="00000000" w14:paraId="613D1C58" w14:textId="77777777">
        <w:trPr>
          <w:divId w:val="305475121"/>
        </w:trPr>
        <w:tc>
          <w:tcPr>
            <w:tcW w:w="0" w:type="auto"/>
            <w:shd w:val="clear" w:color="auto" w:fill="CCEEFF"/>
            <w:hideMark/>
          </w:tcPr>
          <w:p w14:paraId="4E9F19F3" w14:textId="77777777" w:rsidR="00000000" w:rsidRDefault="002F725F">
            <w:pPr>
              <w:rPr>
                <w:rFonts w:eastAsia="Times New Roman"/>
                <w:sz w:val="20"/>
                <w:szCs w:val="20"/>
              </w:rPr>
            </w:pPr>
            <w:r>
              <w:rPr>
                <w:rFonts w:eastAsia="Times New Roman"/>
                <w:sz w:val="20"/>
                <w:szCs w:val="20"/>
              </w:rPr>
              <w:t>(a)-(5)</w:t>
            </w:r>
          </w:p>
        </w:tc>
        <w:tc>
          <w:tcPr>
            <w:tcW w:w="0" w:type="auto"/>
            <w:shd w:val="clear" w:color="auto" w:fill="CCEEFF"/>
            <w:hideMark/>
          </w:tcPr>
          <w:p w14:paraId="48B34C27"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217D5BF2" w14:textId="77777777" w:rsidR="00000000" w:rsidRDefault="002F725F">
            <w:pPr>
              <w:jc w:val="both"/>
              <w:rPr>
                <w:rFonts w:eastAsia="Times New Roman"/>
                <w:sz w:val="20"/>
                <w:szCs w:val="20"/>
              </w:rPr>
            </w:pPr>
            <w:hyperlink r:id="rId5" w:history="1">
              <w:r>
                <w:rPr>
                  <w:rStyle w:val="Hyperlink"/>
                  <w:rFonts w:eastAsia="Times New Roman"/>
                  <w:sz w:val="20"/>
                  <w:szCs w:val="20"/>
                </w:rPr>
                <w:t>The Report on Form 6-K furnished by the Company to the SEC on January 29, 202</w:t>
              </w:r>
              <w:r>
                <w:rPr>
                  <w:rStyle w:val="Hyperlink"/>
                  <w:rFonts w:eastAsia="Times New Roman"/>
                  <w:sz w:val="20"/>
                  <w:szCs w:val="20"/>
                </w:rPr>
                <w:t>6.*</w:t>
              </w:r>
            </w:hyperlink>
          </w:p>
        </w:tc>
      </w:tr>
      <w:tr w:rsidR="00000000" w14:paraId="054F4CF6" w14:textId="77777777">
        <w:trPr>
          <w:divId w:val="305475121"/>
        </w:trPr>
        <w:tc>
          <w:tcPr>
            <w:tcW w:w="0" w:type="auto"/>
            <w:shd w:val="clear" w:color="auto" w:fill="FFFFFF"/>
            <w:hideMark/>
          </w:tcPr>
          <w:p w14:paraId="0075361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2BA9975B"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242046F8" w14:textId="77777777" w:rsidR="00000000" w:rsidRDefault="002F725F">
            <w:pPr>
              <w:jc w:val="both"/>
              <w:rPr>
                <w:rFonts w:eastAsia="Times New Roman"/>
                <w:sz w:val="20"/>
                <w:szCs w:val="20"/>
              </w:rPr>
            </w:pPr>
            <w:r>
              <w:rPr>
                <w:rFonts w:eastAsia="Times New Roman"/>
                <w:sz w:val="20"/>
                <w:szCs w:val="20"/>
              </w:rPr>
              <w:t> </w:t>
            </w:r>
          </w:p>
        </w:tc>
      </w:tr>
      <w:tr w:rsidR="00000000" w14:paraId="4356DF49" w14:textId="77777777">
        <w:trPr>
          <w:divId w:val="305475121"/>
        </w:trPr>
        <w:tc>
          <w:tcPr>
            <w:tcW w:w="0" w:type="auto"/>
            <w:shd w:val="clear" w:color="auto" w:fill="CCEEFF"/>
            <w:hideMark/>
          </w:tcPr>
          <w:p w14:paraId="4E481F51" w14:textId="77777777" w:rsidR="00000000" w:rsidRDefault="002F725F">
            <w:pPr>
              <w:rPr>
                <w:rFonts w:eastAsia="Times New Roman"/>
                <w:sz w:val="20"/>
                <w:szCs w:val="20"/>
              </w:rPr>
            </w:pPr>
            <w:r>
              <w:rPr>
                <w:rFonts w:eastAsia="Times New Roman"/>
                <w:sz w:val="20"/>
                <w:szCs w:val="20"/>
              </w:rPr>
              <w:t>(a)-(6)</w:t>
            </w:r>
          </w:p>
        </w:tc>
        <w:tc>
          <w:tcPr>
            <w:tcW w:w="0" w:type="auto"/>
            <w:shd w:val="clear" w:color="auto" w:fill="CCEEFF"/>
            <w:hideMark/>
          </w:tcPr>
          <w:p w14:paraId="3FE6537C"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021D912B" w14:textId="77777777" w:rsidR="00000000" w:rsidRDefault="002F725F">
            <w:pPr>
              <w:jc w:val="both"/>
              <w:rPr>
                <w:rFonts w:eastAsia="Times New Roman"/>
                <w:sz w:val="20"/>
                <w:szCs w:val="20"/>
              </w:rPr>
            </w:pPr>
            <w:hyperlink r:id="rId6" w:history="1">
              <w:r>
                <w:rPr>
                  <w:rStyle w:val="Hyperlink"/>
                  <w:rFonts w:eastAsia="Times New Roman"/>
                  <w:sz w:val="20"/>
                  <w:szCs w:val="20"/>
                </w:rPr>
                <w:t>Press Release issued by the Company, dated February 6, 2026, incorporated herein by reference to Exhibit 99.1 to the Rep</w:t>
              </w:r>
              <w:r>
                <w:rPr>
                  <w:rStyle w:val="Hyperlink"/>
                  <w:rFonts w:eastAsia="Times New Roman"/>
                  <w:sz w:val="20"/>
                  <w:szCs w:val="20"/>
                </w:rPr>
                <w:t>ort on Form 6-K furnished by the Company to the SEC on February 6, 2026.*</w:t>
              </w:r>
            </w:hyperlink>
          </w:p>
        </w:tc>
      </w:tr>
      <w:tr w:rsidR="00000000" w14:paraId="7D62F17B" w14:textId="77777777">
        <w:trPr>
          <w:divId w:val="305475121"/>
        </w:trPr>
        <w:tc>
          <w:tcPr>
            <w:tcW w:w="0" w:type="auto"/>
            <w:shd w:val="clear" w:color="auto" w:fill="FFFFFF"/>
            <w:hideMark/>
          </w:tcPr>
          <w:p w14:paraId="76C0C3F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5C2BDB43"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19877A13" w14:textId="77777777" w:rsidR="00000000" w:rsidRDefault="002F725F">
            <w:pPr>
              <w:jc w:val="both"/>
              <w:rPr>
                <w:rFonts w:eastAsia="Times New Roman"/>
                <w:sz w:val="20"/>
                <w:szCs w:val="20"/>
              </w:rPr>
            </w:pPr>
            <w:r>
              <w:rPr>
                <w:rFonts w:eastAsia="Times New Roman"/>
                <w:sz w:val="20"/>
                <w:szCs w:val="20"/>
              </w:rPr>
              <w:t> </w:t>
            </w:r>
          </w:p>
        </w:tc>
      </w:tr>
      <w:tr w:rsidR="00000000" w14:paraId="62A1D3DF" w14:textId="77777777">
        <w:trPr>
          <w:divId w:val="305475121"/>
        </w:trPr>
        <w:tc>
          <w:tcPr>
            <w:tcW w:w="0" w:type="auto"/>
            <w:shd w:val="clear" w:color="auto" w:fill="CCEEFF"/>
            <w:hideMark/>
          </w:tcPr>
          <w:p w14:paraId="57D6FFEE" w14:textId="77777777" w:rsidR="00000000" w:rsidRDefault="002F725F">
            <w:pPr>
              <w:rPr>
                <w:rFonts w:eastAsia="Times New Roman"/>
                <w:sz w:val="20"/>
                <w:szCs w:val="20"/>
              </w:rPr>
            </w:pPr>
            <w:r>
              <w:rPr>
                <w:rFonts w:eastAsia="Times New Roman"/>
                <w:sz w:val="20"/>
                <w:szCs w:val="20"/>
              </w:rPr>
              <w:t>(a)-(7)</w:t>
            </w:r>
          </w:p>
        </w:tc>
        <w:tc>
          <w:tcPr>
            <w:tcW w:w="0" w:type="auto"/>
            <w:shd w:val="clear" w:color="auto" w:fill="CCEEFF"/>
            <w:hideMark/>
          </w:tcPr>
          <w:p w14:paraId="6E253E3A"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25D11F13" w14:textId="77777777" w:rsidR="00000000" w:rsidRDefault="002F725F">
            <w:pPr>
              <w:jc w:val="both"/>
              <w:rPr>
                <w:rFonts w:eastAsia="Times New Roman"/>
                <w:sz w:val="20"/>
                <w:szCs w:val="20"/>
              </w:rPr>
            </w:pPr>
            <w:hyperlink r:id="rId7" w:history="1">
              <w:r>
                <w:rPr>
                  <w:rStyle w:val="Hyperlink"/>
                  <w:rFonts w:eastAsia="Times New Roman"/>
                  <w:sz w:val="20"/>
                  <w:szCs w:val="20"/>
                </w:rPr>
                <w:t xml:space="preserve">EGM Postponement Notice issued by the Company, dated February 6, 2026, incorporated herein by reference to Exhibit 99.2 to the Report on Form </w:t>
              </w:r>
              <w:r>
                <w:rPr>
                  <w:rStyle w:val="Hyperlink"/>
                  <w:rFonts w:eastAsia="Times New Roman"/>
                  <w:sz w:val="20"/>
                  <w:szCs w:val="20"/>
                </w:rPr>
                <w:t>6-K furnished by the Company to the SEC on February 6, 2026.*</w:t>
              </w:r>
            </w:hyperlink>
          </w:p>
        </w:tc>
      </w:tr>
      <w:tr w:rsidR="00000000" w14:paraId="0333FDE7" w14:textId="77777777">
        <w:trPr>
          <w:divId w:val="305475121"/>
        </w:trPr>
        <w:tc>
          <w:tcPr>
            <w:tcW w:w="0" w:type="auto"/>
            <w:shd w:val="clear" w:color="auto" w:fill="FFFFFF"/>
            <w:hideMark/>
          </w:tcPr>
          <w:p w14:paraId="754A062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33DACE7A"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6C2FDCBC" w14:textId="77777777" w:rsidR="00000000" w:rsidRDefault="002F725F">
            <w:pPr>
              <w:jc w:val="both"/>
              <w:rPr>
                <w:rFonts w:eastAsia="Times New Roman"/>
                <w:sz w:val="20"/>
                <w:szCs w:val="20"/>
              </w:rPr>
            </w:pPr>
            <w:r>
              <w:rPr>
                <w:rFonts w:eastAsia="Times New Roman"/>
                <w:sz w:val="20"/>
                <w:szCs w:val="20"/>
              </w:rPr>
              <w:t> </w:t>
            </w:r>
          </w:p>
        </w:tc>
      </w:tr>
      <w:tr w:rsidR="00000000" w14:paraId="56227F5F" w14:textId="77777777">
        <w:trPr>
          <w:divId w:val="305475121"/>
        </w:trPr>
        <w:tc>
          <w:tcPr>
            <w:tcW w:w="0" w:type="auto"/>
            <w:shd w:val="clear" w:color="auto" w:fill="CCEEFF"/>
            <w:hideMark/>
          </w:tcPr>
          <w:p w14:paraId="7CA04614" w14:textId="77777777" w:rsidR="00000000" w:rsidRDefault="002F725F">
            <w:pPr>
              <w:rPr>
                <w:rFonts w:eastAsia="Times New Roman"/>
                <w:sz w:val="20"/>
                <w:szCs w:val="20"/>
              </w:rPr>
            </w:pPr>
            <w:r>
              <w:rPr>
                <w:rFonts w:eastAsia="Times New Roman"/>
                <w:sz w:val="20"/>
                <w:szCs w:val="20"/>
              </w:rPr>
              <w:t>(a)-(8)</w:t>
            </w:r>
          </w:p>
        </w:tc>
        <w:tc>
          <w:tcPr>
            <w:tcW w:w="0" w:type="auto"/>
            <w:shd w:val="clear" w:color="auto" w:fill="CCEEFF"/>
            <w:hideMark/>
          </w:tcPr>
          <w:p w14:paraId="2BAD7231"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38029532" w14:textId="77777777" w:rsidR="00000000" w:rsidRDefault="002F725F">
            <w:pPr>
              <w:jc w:val="both"/>
              <w:rPr>
                <w:rFonts w:eastAsia="Times New Roman"/>
                <w:sz w:val="20"/>
                <w:szCs w:val="20"/>
              </w:rPr>
            </w:pPr>
            <w:hyperlink r:id="rId8" w:history="1">
              <w:r>
                <w:rPr>
                  <w:rStyle w:val="Hyperlink"/>
                  <w:rFonts w:eastAsia="Times New Roman"/>
                  <w:sz w:val="20"/>
                  <w:szCs w:val="20"/>
                </w:rPr>
                <w:t xml:space="preserve">Press Release issued by the Company, dated March 25, 2026, incorporated </w:t>
              </w:r>
              <w:r>
                <w:rPr>
                  <w:rStyle w:val="Hyperlink"/>
                  <w:rFonts w:eastAsia="Times New Roman"/>
                  <w:sz w:val="20"/>
                  <w:szCs w:val="20"/>
                </w:rPr>
                <w:t>herein by reference to Exhibit 99.1 to the Report on Form 6-K furnished by the Company to the SEC on March 25, 2026.*</w:t>
              </w:r>
            </w:hyperlink>
          </w:p>
        </w:tc>
      </w:tr>
      <w:tr w:rsidR="00000000" w14:paraId="3D3001E1" w14:textId="77777777">
        <w:trPr>
          <w:divId w:val="305475121"/>
        </w:trPr>
        <w:tc>
          <w:tcPr>
            <w:tcW w:w="0" w:type="auto"/>
            <w:shd w:val="clear" w:color="auto" w:fill="FFFFFF"/>
            <w:hideMark/>
          </w:tcPr>
          <w:p w14:paraId="047D420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545B745D"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538C01DB" w14:textId="77777777" w:rsidR="00000000" w:rsidRDefault="002F725F">
            <w:pPr>
              <w:jc w:val="both"/>
              <w:rPr>
                <w:rFonts w:eastAsia="Times New Roman"/>
                <w:sz w:val="20"/>
                <w:szCs w:val="20"/>
              </w:rPr>
            </w:pPr>
            <w:r>
              <w:rPr>
                <w:rFonts w:eastAsia="Times New Roman"/>
                <w:sz w:val="20"/>
                <w:szCs w:val="20"/>
              </w:rPr>
              <w:t> </w:t>
            </w:r>
          </w:p>
        </w:tc>
      </w:tr>
      <w:tr w:rsidR="00000000" w14:paraId="7708C29B" w14:textId="77777777">
        <w:trPr>
          <w:divId w:val="305475121"/>
        </w:trPr>
        <w:tc>
          <w:tcPr>
            <w:tcW w:w="0" w:type="auto"/>
            <w:shd w:val="clear" w:color="auto" w:fill="CCEEFF"/>
            <w:hideMark/>
          </w:tcPr>
          <w:p w14:paraId="75C4EDFA" w14:textId="77777777" w:rsidR="00000000" w:rsidRDefault="002F725F">
            <w:pPr>
              <w:rPr>
                <w:rFonts w:eastAsia="Times New Roman"/>
                <w:sz w:val="20"/>
                <w:szCs w:val="20"/>
              </w:rPr>
            </w:pPr>
            <w:r>
              <w:rPr>
                <w:rFonts w:eastAsia="Times New Roman"/>
                <w:sz w:val="20"/>
                <w:szCs w:val="20"/>
              </w:rPr>
              <w:t>(c)-(1)</w:t>
            </w:r>
          </w:p>
        </w:tc>
        <w:tc>
          <w:tcPr>
            <w:tcW w:w="0" w:type="auto"/>
            <w:shd w:val="clear" w:color="auto" w:fill="CCEEFF"/>
            <w:hideMark/>
          </w:tcPr>
          <w:p w14:paraId="1EEA7679"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23CFD41B" w14:textId="77777777" w:rsidR="00000000" w:rsidRDefault="002F725F">
            <w:pPr>
              <w:jc w:val="both"/>
              <w:rPr>
                <w:rFonts w:eastAsia="Times New Roman"/>
                <w:sz w:val="20"/>
                <w:szCs w:val="20"/>
              </w:rPr>
            </w:pPr>
            <w:hyperlink r:id="rId9" w:anchor="b_003" w:history="1">
              <w:r>
                <w:rPr>
                  <w:rStyle w:val="Hyperlink"/>
                  <w:rFonts w:eastAsia="Times New Roman"/>
                  <w:sz w:val="20"/>
                  <w:szCs w:val="20"/>
                </w:rPr>
                <w:t>Opinion of Kroll, LLC (“Duff &amp; Phelps”), dated November 4, 2025.*</w:t>
              </w:r>
            </w:hyperlink>
          </w:p>
        </w:tc>
      </w:tr>
      <w:tr w:rsidR="00000000" w14:paraId="6D4CF3DD" w14:textId="77777777">
        <w:trPr>
          <w:divId w:val="305475121"/>
        </w:trPr>
        <w:tc>
          <w:tcPr>
            <w:tcW w:w="0" w:type="auto"/>
            <w:shd w:val="clear" w:color="auto" w:fill="FFFFFF"/>
            <w:hideMark/>
          </w:tcPr>
          <w:p w14:paraId="261EBA5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03E00D41"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45692212" w14:textId="77777777" w:rsidR="00000000" w:rsidRDefault="002F725F">
            <w:pPr>
              <w:jc w:val="both"/>
              <w:rPr>
                <w:rFonts w:eastAsia="Times New Roman"/>
                <w:sz w:val="20"/>
                <w:szCs w:val="20"/>
              </w:rPr>
            </w:pPr>
            <w:r>
              <w:rPr>
                <w:rFonts w:eastAsia="Times New Roman"/>
                <w:sz w:val="20"/>
                <w:szCs w:val="20"/>
              </w:rPr>
              <w:t> </w:t>
            </w:r>
          </w:p>
        </w:tc>
      </w:tr>
      <w:tr w:rsidR="00000000" w14:paraId="6711AD16" w14:textId="77777777">
        <w:trPr>
          <w:divId w:val="305475121"/>
        </w:trPr>
        <w:tc>
          <w:tcPr>
            <w:tcW w:w="0" w:type="auto"/>
            <w:shd w:val="clear" w:color="auto" w:fill="CCEEFF"/>
            <w:hideMark/>
          </w:tcPr>
          <w:p w14:paraId="3C3451A2" w14:textId="77777777" w:rsidR="00000000" w:rsidRDefault="002F725F">
            <w:pPr>
              <w:rPr>
                <w:rFonts w:eastAsia="Times New Roman"/>
                <w:sz w:val="20"/>
                <w:szCs w:val="20"/>
              </w:rPr>
            </w:pPr>
            <w:r>
              <w:rPr>
                <w:rFonts w:eastAsia="Times New Roman"/>
                <w:sz w:val="20"/>
                <w:szCs w:val="20"/>
              </w:rPr>
              <w:t>(c)-(2)</w:t>
            </w:r>
          </w:p>
        </w:tc>
        <w:tc>
          <w:tcPr>
            <w:tcW w:w="0" w:type="auto"/>
            <w:shd w:val="clear" w:color="auto" w:fill="CCEEFF"/>
            <w:hideMark/>
          </w:tcPr>
          <w:p w14:paraId="3E2C8081"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4C4AA7BC" w14:textId="77777777" w:rsidR="00000000" w:rsidRDefault="002F725F">
            <w:pPr>
              <w:jc w:val="both"/>
              <w:rPr>
                <w:rFonts w:eastAsia="Times New Roman"/>
                <w:sz w:val="20"/>
                <w:szCs w:val="20"/>
              </w:rPr>
            </w:pPr>
            <w:hyperlink r:id="rId10" w:history="1">
              <w:r>
                <w:rPr>
                  <w:rStyle w:val="Hyperlink"/>
                  <w:rFonts w:eastAsia="Times New Roman"/>
                  <w:sz w:val="20"/>
                  <w:szCs w:val="20"/>
                </w:rPr>
                <w:t xml:space="preserve">Discussion Materials prepared by Duff &amp; Phelps for discussion with the special committee of the board of directors of the Company, dated November </w:t>
              </w:r>
              <w:r>
                <w:rPr>
                  <w:rStyle w:val="Hyperlink"/>
                  <w:rFonts w:eastAsia="Times New Roman"/>
                  <w:sz w:val="20"/>
                  <w:szCs w:val="20"/>
                </w:rPr>
                <w:t>4, 2025.*</w:t>
              </w:r>
            </w:hyperlink>
          </w:p>
        </w:tc>
      </w:tr>
      <w:tr w:rsidR="00000000" w14:paraId="7BFD9358" w14:textId="77777777">
        <w:trPr>
          <w:divId w:val="305475121"/>
        </w:trPr>
        <w:tc>
          <w:tcPr>
            <w:tcW w:w="0" w:type="auto"/>
            <w:shd w:val="clear" w:color="auto" w:fill="FFFFFF"/>
            <w:hideMark/>
          </w:tcPr>
          <w:p w14:paraId="2C2A245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67C22242"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1DA91E56" w14:textId="77777777" w:rsidR="00000000" w:rsidRDefault="002F725F">
            <w:pPr>
              <w:jc w:val="both"/>
              <w:rPr>
                <w:rFonts w:eastAsia="Times New Roman"/>
                <w:sz w:val="20"/>
                <w:szCs w:val="20"/>
              </w:rPr>
            </w:pPr>
            <w:r>
              <w:rPr>
                <w:rFonts w:eastAsia="Times New Roman"/>
                <w:sz w:val="20"/>
                <w:szCs w:val="20"/>
              </w:rPr>
              <w:t> </w:t>
            </w:r>
          </w:p>
        </w:tc>
      </w:tr>
      <w:tr w:rsidR="00000000" w14:paraId="5C333A5A" w14:textId="77777777">
        <w:trPr>
          <w:divId w:val="305475121"/>
        </w:trPr>
        <w:tc>
          <w:tcPr>
            <w:tcW w:w="0" w:type="auto"/>
            <w:shd w:val="clear" w:color="auto" w:fill="CCEEFF"/>
            <w:hideMark/>
          </w:tcPr>
          <w:p w14:paraId="4A0A8975" w14:textId="77777777" w:rsidR="00000000" w:rsidRDefault="002F725F">
            <w:pPr>
              <w:rPr>
                <w:rFonts w:eastAsia="Times New Roman"/>
                <w:sz w:val="20"/>
                <w:szCs w:val="20"/>
              </w:rPr>
            </w:pPr>
            <w:r>
              <w:rPr>
                <w:rFonts w:eastAsia="Times New Roman"/>
                <w:sz w:val="20"/>
                <w:szCs w:val="20"/>
              </w:rPr>
              <w:t>(c)-(3)</w:t>
            </w:r>
          </w:p>
        </w:tc>
        <w:tc>
          <w:tcPr>
            <w:tcW w:w="0" w:type="auto"/>
            <w:shd w:val="clear" w:color="auto" w:fill="CCEEFF"/>
            <w:hideMark/>
          </w:tcPr>
          <w:p w14:paraId="11483C53"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1B3F086F" w14:textId="77777777" w:rsidR="00000000" w:rsidRDefault="002F725F">
            <w:pPr>
              <w:jc w:val="both"/>
              <w:rPr>
                <w:rFonts w:eastAsia="Times New Roman"/>
                <w:sz w:val="20"/>
                <w:szCs w:val="20"/>
              </w:rPr>
            </w:pPr>
            <w:hyperlink w:anchor="gfpea028961701ex99-a1.htmC_01" w:history="1">
              <w:r>
                <w:rPr>
                  <w:rStyle w:val="Hyperlink"/>
                  <w:rFonts w:eastAsia="Times New Roman"/>
                  <w:sz w:val="20"/>
                  <w:szCs w:val="20"/>
                </w:rPr>
                <w:t xml:space="preserve">Opinion of Duff &amp; </w:t>
              </w:r>
              <w:r>
                <w:rPr>
                  <w:rStyle w:val="Hyperlink"/>
                  <w:rFonts w:eastAsia="Times New Roman"/>
                  <w:sz w:val="20"/>
                  <w:szCs w:val="20"/>
                </w:rPr>
                <w:t>Phelps, dated April 28, 2026, incorporated herein by reference to Annex C to the Proxy Statement.</w:t>
              </w:r>
            </w:hyperlink>
          </w:p>
        </w:tc>
      </w:tr>
      <w:tr w:rsidR="00000000" w14:paraId="2B408B17" w14:textId="77777777">
        <w:trPr>
          <w:divId w:val="305475121"/>
        </w:trPr>
        <w:tc>
          <w:tcPr>
            <w:tcW w:w="0" w:type="auto"/>
            <w:shd w:val="clear" w:color="auto" w:fill="FFFFFF"/>
            <w:hideMark/>
          </w:tcPr>
          <w:p w14:paraId="3452791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5AFC64DC"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1FB62F47" w14:textId="77777777" w:rsidR="00000000" w:rsidRDefault="002F725F">
            <w:pPr>
              <w:jc w:val="both"/>
              <w:rPr>
                <w:rFonts w:eastAsia="Times New Roman"/>
                <w:sz w:val="20"/>
                <w:szCs w:val="20"/>
              </w:rPr>
            </w:pPr>
            <w:r>
              <w:rPr>
                <w:rFonts w:eastAsia="Times New Roman"/>
                <w:sz w:val="20"/>
                <w:szCs w:val="20"/>
              </w:rPr>
              <w:t> </w:t>
            </w:r>
          </w:p>
        </w:tc>
      </w:tr>
      <w:tr w:rsidR="00000000" w14:paraId="14FD4FA7" w14:textId="77777777">
        <w:trPr>
          <w:divId w:val="305475121"/>
        </w:trPr>
        <w:tc>
          <w:tcPr>
            <w:tcW w:w="0" w:type="auto"/>
            <w:shd w:val="clear" w:color="auto" w:fill="CCEEFF"/>
            <w:hideMark/>
          </w:tcPr>
          <w:p w14:paraId="6624B217" w14:textId="77777777" w:rsidR="00000000" w:rsidRDefault="002F725F">
            <w:pPr>
              <w:rPr>
                <w:rFonts w:eastAsia="Times New Roman"/>
                <w:sz w:val="20"/>
                <w:szCs w:val="20"/>
              </w:rPr>
            </w:pPr>
            <w:r>
              <w:rPr>
                <w:rFonts w:eastAsia="Times New Roman"/>
                <w:sz w:val="20"/>
                <w:szCs w:val="20"/>
              </w:rPr>
              <w:t>(c)-(4)</w:t>
            </w:r>
          </w:p>
        </w:tc>
        <w:tc>
          <w:tcPr>
            <w:tcW w:w="0" w:type="auto"/>
            <w:shd w:val="clear" w:color="auto" w:fill="CCEEFF"/>
            <w:hideMark/>
          </w:tcPr>
          <w:p w14:paraId="28D11A29"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78E56FC2" w14:textId="77777777" w:rsidR="00000000" w:rsidRDefault="002F725F">
            <w:pPr>
              <w:jc w:val="both"/>
              <w:rPr>
                <w:rFonts w:eastAsia="Times New Roman"/>
                <w:sz w:val="20"/>
                <w:szCs w:val="20"/>
              </w:rPr>
            </w:pPr>
            <w:hyperlink w:anchor="gfpea028961701ex99-c4.htm" w:history="1">
              <w:r>
                <w:rPr>
                  <w:rStyle w:val="Hyperlink"/>
                  <w:rFonts w:eastAsia="Times New Roman"/>
                  <w:sz w:val="20"/>
                  <w:szCs w:val="20"/>
                </w:rPr>
                <w:t xml:space="preserve">Discussion Materials prepared by Duff &amp; Phelps for discussion with the special committee of </w:t>
              </w:r>
              <w:r>
                <w:rPr>
                  <w:rStyle w:val="Hyperlink"/>
                  <w:rFonts w:eastAsia="Times New Roman"/>
                  <w:sz w:val="20"/>
                  <w:szCs w:val="20"/>
                </w:rPr>
                <w:t>the board of directors of the Company, dated April 28, 2026.</w:t>
              </w:r>
            </w:hyperlink>
          </w:p>
        </w:tc>
      </w:tr>
      <w:tr w:rsidR="00000000" w14:paraId="7A724D78" w14:textId="77777777">
        <w:trPr>
          <w:divId w:val="305475121"/>
        </w:trPr>
        <w:tc>
          <w:tcPr>
            <w:tcW w:w="0" w:type="auto"/>
            <w:shd w:val="clear" w:color="auto" w:fill="FFFFFF"/>
            <w:hideMark/>
          </w:tcPr>
          <w:p w14:paraId="54E57BF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02D21C83"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519C7646" w14:textId="77777777" w:rsidR="00000000" w:rsidRDefault="002F725F">
            <w:pPr>
              <w:jc w:val="both"/>
              <w:rPr>
                <w:rFonts w:eastAsia="Times New Roman"/>
                <w:sz w:val="20"/>
                <w:szCs w:val="20"/>
              </w:rPr>
            </w:pPr>
            <w:r>
              <w:rPr>
                <w:rFonts w:eastAsia="Times New Roman"/>
                <w:sz w:val="20"/>
                <w:szCs w:val="20"/>
              </w:rPr>
              <w:t> </w:t>
            </w:r>
          </w:p>
        </w:tc>
      </w:tr>
      <w:tr w:rsidR="00000000" w14:paraId="1F947978" w14:textId="77777777">
        <w:trPr>
          <w:divId w:val="305475121"/>
        </w:trPr>
        <w:tc>
          <w:tcPr>
            <w:tcW w:w="0" w:type="auto"/>
            <w:shd w:val="clear" w:color="auto" w:fill="CCEEFF"/>
            <w:hideMark/>
          </w:tcPr>
          <w:p w14:paraId="0E12F6F9" w14:textId="77777777" w:rsidR="00000000" w:rsidRDefault="002F725F">
            <w:pPr>
              <w:rPr>
                <w:rFonts w:eastAsia="Times New Roman"/>
                <w:sz w:val="20"/>
                <w:szCs w:val="20"/>
              </w:rPr>
            </w:pPr>
            <w:r>
              <w:rPr>
                <w:rFonts w:eastAsia="Times New Roman"/>
                <w:sz w:val="20"/>
                <w:szCs w:val="20"/>
              </w:rPr>
              <w:t>(d)-(1)</w:t>
            </w:r>
          </w:p>
        </w:tc>
        <w:tc>
          <w:tcPr>
            <w:tcW w:w="0" w:type="auto"/>
            <w:shd w:val="clear" w:color="auto" w:fill="CCEEFF"/>
            <w:hideMark/>
          </w:tcPr>
          <w:p w14:paraId="08996409"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7F9F5BDF" w14:textId="77777777" w:rsidR="00000000" w:rsidRDefault="002F725F">
            <w:pPr>
              <w:jc w:val="both"/>
              <w:rPr>
                <w:rFonts w:eastAsia="Times New Roman"/>
                <w:sz w:val="20"/>
                <w:szCs w:val="20"/>
              </w:rPr>
            </w:pPr>
            <w:hyperlink r:id="rId11" w:anchor="b_004" w:history="1">
              <w:r>
                <w:rPr>
                  <w:rStyle w:val="Hyperlink"/>
                  <w:rFonts w:eastAsia="Times New Roman"/>
                  <w:sz w:val="20"/>
                  <w:szCs w:val="20"/>
                </w:rPr>
                <w:t>Agreement and Plan of Merger, dated as of November 4, 20</w:t>
              </w:r>
              <w:r>
                <w:rPr>
                  <w:rStyle w:val="Hyperlink"/>
                  <w:rFonts w:eastAsia="Times New Roman"/>
                  <w:sz w:val="20"/>
                  <w:szCs w:val="20"/>
                </w:rPr>
                <w:t>25, by and among the Company, Parent and Merger Sub, incorporated herein by reference to Annex A to the Proxy Statement.*</w:t>
              </w:r>
            </w:hyperlink>
          </w:p>
        </w:tc>
      </w:tr>
      <w:tr w:rsidR="00000000" w14:paraId="711C1D1C" w14:textId="77777777">
        <w:trPr>
          <w:divId w:val="305475121"/>
        </w:trPr>
        <w:tc>
          <w:tcPr>
            <w:tcW w:w="0" w:type="auto"/>
            <w:shd w:val="clear" w:color="auto" w:fill="FFFFFF"/>
            <w:hideMark/>
          </w:tcPr>
          <w:p w14:paraId="1E04A30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32EEDA06"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102EDE8A" w14:textId="77777777" w:rsidR="00000000" w:rsidRDefault="002F725F">
            <w:pPr>
              <w:jc w:val="both"/>
              <w:rPr>
                <w:rFonts w:eastAsia="Times New Roman"/>
                <w:sz w:val="20"/>
                <w:szCs w:val="20"/>
              </w:rPr>
            </w:pPr>
            <w:r>
              <w:rPr>
                <w:rFonts w:eastAsia="Times New Roman"/>
                <w:sz w:val="20"/>
                <w:szCs w:val="20"/>
              </w:rPr>
              <w:t> </w:t>
            </w:r>
          </w:p>
        </w:tc>
      </w:tr>
      <w:tr w:rsidR="00000000" w14:paraId="7D5E25D9" w14:textId="77777777">
        <w:trPr>
          <w:divId w:val="305475121"/>
        </w:trPr>
        <w:tc>
          <w:tcPr>
            <w:tcW w:w="0" w:type="auto"/>
            <w:shd w:val="clear" w:color="auto" w:fill="CCEEFF"/>
            <w:hideMark/>
          </w:tcPr>
          <w:p w14:paraId="5E95B83A" w14:textId="77777777" w:rsidR="00000000" w:rsidRDefault="002F725F">
            <w:pPr>
              <w:rPr>
                <w:rFonts w:eastAsia="Times New Roman"/>
                <w:sz w:val="20"/>
                <w:szCs w:val="20"/>
              </w:rPr>
            </w:pPr>
            <w:r>
              <w:rPr>
                <w:rFonts w:eastAsia="Times New Roman"/>
                <w:sz w:val="20"/>
                <w:szCs w:val="20"/>
              </w:rPr>
              <w:t>(d)-(2)</w:t>
            </w:r>
          </w:p>
        </w:tc>
        <w:tc>
          <w:tcPr>
            <w:tcW w:w="0" w:type="auto"/>
            <w:shd w:val="clear" w:color="auto" w:fill="CCEEFF"/>
            <w:hideMark/>
          </w:tcPr>
          <w:p w14:paraId="30C9690E"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39D00BB6" w14:textId="77777777" w:rsidR="00000000" w:rsidRDefault="002F725F">
            <w:pPr>
              <w:jc w:val="both"/>
              <w:rPr>
                <w:rFonts w:eastAsia="Times New Roman"/>
                <w:sz w:val="20"/>
                <w:szCs w:val="20"/>
              </w:rPr>
            </w:pPr>
            <w:hyperlink w:anchor="gfpea028961701ex99-a1.htmd2_001" w:history="1">
              <w:r>
                <w:rPr>
                  <w:rStyle w:val="Hyperlink"/>
                  <w:rFonts w:eastAsia="Times New Roman"/>
                  <w:sz w:val="20"/>
                  <w:szCs w:val="20"/>
                </w:rPr>
                <w:t>Amendment No. 1 to Agreement and Plan of Merger, dated April 29, 2026, by and among the Company, Parent and Merger Sub, incorporated herein by reference to Annex A to the Proxy Statement.</w:t>
              </w:r>
            </w:hyperlink>
          </w:p>
        </w:tc>
      </w:tr>
      <w:tr w:rsidR="00000000" w14:paraId="681A6172" w14:textId="77777777">
        <w:trPr>
          <w:divId w:val="305475121"/>
        </w:trPr>
        <w:tc>
          <w:tcPr>
            <w:tcW w:w="0" w:type="auto"/>
            <w:shd w:val="clear" w:color="auto" w:fill="FFFFFF"/>
            <w:hideMark/>
          </w:tcPr>
          <w:p w14:paraId="1FDEE2C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44AECA54"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0094D0C9" w14:textId="77777777" w:rsidR="00000000" w:rsidRDefault="002F725F">
            <w:pPr>
              <w:jc w:val="both"/>
              <w:rPr>
                <w:rFonts w:eastAsia="Times New Roman"/>
                <w:sz w:val="20"/>
                <w:szCs w:val="20"/>
              </w:rPr>
            </w:pPr>
            <w:r>
              <w:rPr>
                <w:rFonts w:eastAsia="Times New Roman"/>
                <w:sz w:val="20"/>
                <w:szCs w:val="20"/>
              </w:rPr>
              <w:t> </w:t>
            </w:r>
          </w:p>
        </w:tc>
      </w:tr>
      <w:tr w:rsidR="00000000" w14:paraId="3E295390" w14:textId="77777777">
        <w:trPr>
          <w:divId w:val="305475121"/>
        </w:trPr>
        <w:tc>
          <w:tcPr>
            <w:tcW w:w="0" w:type="auto"/>
            <w:shd w:val="clear" w:color="auto" w:fill="CCEEFF"/>
            <w:hideMark/>
          </w:tcPr>
          <w:p w14:paraId="5719359F" w14:textId="77777777" w:rsidR="00000000" w:rsidRDefault="002F725F">
            <w:pPr>
              <w:rPr>
                <w:rFonts w:eastAsia="Times New Roman"/>
                <w:sz w:val="20"/>
                <w:szCs w:val="20"/>
              </w:rPr>
            </w:pPr>
            <w:r>
              <w:rPr>
                <w:rFonts w:eastAsia="Times New Roman"/>
                <w:sz w:val="20"/>
                <w:szCs w:val="20"/>
              </w:rPr>
              <w:lastRenderedPageBreak/>
              <w:t>(d)-(3)</w:t>
            </w:r>
          </w:p>
        </w:tc>
        <w:tc>
          <w:tcPr>
            <w:tcW w:w="0" w:type="auto"/>
            <w:shd w:val="clear" w:color="auto" w:fill="CCEEFF"/>
            <w:hideMark/>
          </w:tcPr>
          <w:p w14:paraId="7D2AE694"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71DCC974" w14:textId="77777777" w:rsidR="00000000" w:rsidRDefault="002F725F">
            <w:pPr>
              <w:jc w:val="both"/>
              <w:rPr>
                <w:rFonts w:eastAsia="Times New Roman"/>
                <w:sz w:val="20"/>
                <w:szCs w:val="20"/>
              </w:rPr>
            </w:pPr>
            <w:hyperlink r:id="rId12" w:history="1">
              <w:r>
                <w:rPr>
                  <w:rStyle w:val="Hyperlink"/>
                  <w:rFonts w:eastAsia="Times New Roman"/>
                  <w:sz w:val="20"/>
                  <w:szCs w:val="20"/>
                </w:rPr>
                <w:t>Amended and Restated Equity Commitment Letter, dated April 29, 2026, by and among the Sponsor, Parent and the Company, incorporated herein by reference to Exhibit 99.21 to the Schedule 13D Amendment No</w:t>
              </w:r>
              <w:r>
                <w:rPr>
                  <w:rStyle w:val="Hyperlink"/>
                  <w:rFonts w:eastAsia="Times New Roman"/>
                  <w:sz w:val="20"/>
                  <w:szCs w:val="20"/>
                </w:rPr>
                <w:t>. 6 jointly filed by the Rollover Shareholders, Huaqin Xue, Crystal Peak Holdings Inc., Dave Liguang Chenn, Adjuvant Capital Management, L.L.C., Adjuvant Capital GP, L.P., MSA China Growth Fund II GP, LLC and Superstring Capital Management LP (collectively</w:t>
              </w:r>
              <w:r>
                <w:rPr>
                  <w:rStyle w:val="Hyperlink"/>
                  <w:rFonts w:eastAsia="Times New Roman"/>
                  <w:sz w:val="20"/>
                  <w:szCs w:val="20"/>
                </w:rPr>
                <w:t>, the “13D Filing Persons”) with the SEC on April 29, 2026.</w:t>
              </w:r>
            </w:hyperlink>
          </w:p>
        </w:tc>
      </w:tr>
      <w:tr w:rsidR="00000000" w14:paraId="0D244C55" w14:textId="77777777">
        <w:trPr>
          <w:divId w:val="305475121"/>
        </w:trPr>
        <w:tc>
          <w:tcPr>
            <w:tcW w:w="0" w:type="auto"/>
            <w:shd w:val="clear" w:color="auto" w:fill="FFFFFF"/>
            <w:hideMark/>
          </w:tcPr>
          <w:p w14:paraId="52778ED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4FB055B4"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3AD4B4AE" w14:textId="77777777" w:rsidR="00000000" w:rsidRDefault="002F725F">
            <w:pPr>
              <w:jc w:val="both"/>
              <w:rPr>
                <w:rFonts w:eastAsia="Times New Roman"/>
                <w:sz w:val="20"/>
                <w:szCs w:val="20"/>
              </w:rPr>
            </w:pPr>
            <w:r>
              <w:rPr>
                <w:rFonts w:eastAsia="Times New Roman"/>
                <w:sz w:val="20"/>
                <w:szCs w:val="20"/>
              </w:rPr>
              <w:t> </w:t>
            </w:r>
          </w:p>
        </w:tc>
      </w:tr>
      <w:tr w:rsidR="00000000" w14:paraId="3621B511" w14:textId="77777777">
        <w:trPr>
          <w:divId w:val="305475121"/>
        </w:trPr>
        <w:tc>
          <w:tcPr>
            <w:tcW w:w="0" w:type="auto"/>
            <w:shd w:val="clear" w:color="auto" w:fill="CCEEFF"/>
            <w:hideMark/>
          </w:tcPr>
          <w:p w14:paraId="4491198B" w14:textId="77777777" w:rsidR="00000000" w:rsidRDefault="002F725F">
            <w:pPr>
              <w:rPr>
                <w:rFonts w:eastAsia="Times New Roman"/>
                <w:sz w:val="20"/>
                <w:szCs w:val="20"/>
              </w:rPr>
            </w:pPr>
            <w:r>
              <w:rPr>
                <w:rFonts w:eastAsia="Times New Roman"/>
                <w:sz w:val="20"/>
                <w:szCs w:val="20"/>
              </w:rPr>
              <w:t>(d)-(4)</w:t>
            </w:r>
          </w:p>
        </w:tc>
        <w:tc>
          <w:tcPr>
            <w:tcW w:w="0" w:type="auto"/>
            <w:shd w:val="clear" w:color="auto" w:fill="CCEEFF"/>
            <w:hideMark/>
          </w:tcPr>
          <w:p w14:paraId="0D8DB9F9"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11243C15" w14:textId="77777777" w:rsidR="00000000" w:rsidRDefault="002F725F">
            <w:pPr>
              <w:jc w:val="both"/>
              <w:rPr>
                <w:rFonts w:eastAsia="Times New Roman"/>
                <w:sz w:val="20"/>
                <w:szCs w:val="20"/>
              </w:rPr>
            </w:pPr>
            <w:hyperlink r:id="rId13" w:history="1">
              <w:r>
                <w:rPr>
                  <w:rStyle w:val="Hyperlink"/>
                  <w:rFonts w:eastAsia="Times New Roman"/>
                  <w:sz w:val="20"/>
                  <w:szCs w:val="20"/>
                </w:rPr>
                <w:t>Amended and Restated Rollover and Support Agreement, dated April 29, 2026</w:t>
              </w:r>
              <w:r>
                <w:rPr>
                  <w:rStyle w:val="Hyperlink"/>
                  <w:rFonts w:eastAsia="Times New Roman"/>
                  <w:sz w:val="20"/>
                  <w:szCs w:val="20"/>
                </w:rPr>
                <w:t>, by and among Parent, the Rollover Shareholders and the Company, incorporated herein by reference to Exhibit 99.22 to the Schedule 13D Amendment No. 6 jointly filed by the 13D Filing Persons with the SEC on April 29, 2026.</w:t>
              </w:r>
            </w:hyperlink>
          </w:p>
        </w:tc>
      </w:tr>
      <w:tr w:rsidR="00000000" w14:paraId="17ED2857" w14:textId="77777777">
        <w:trPr>
          <w:divId w:val="305475121"/>
        </w:trPr>
        <w:tc>
          <w:tcPr>
            <w:tcW w:w="0" w:type="auto"/>
            <w:shd w:val="clear" w:color="auto" w:fill="FFFFFF"/>
            <w:hideMark/>
          </w:tcPr>
          <w:p w14:paraId="462C12E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23DF38C9"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45924851" w14:textId="77777777" w:rsidR="00000000" w:rsidRDefault="002F725F">
            <w:pPr>
              <w:jc w:val="both"/>
              <w:rPr>
                <w:rFonts w:eastAsia="Times New Roman"/>
                <w:sz w:val="20"/>
                <w:szCs w:val="20"/>
              </w:rPr>
            </w:pPr>
            <w:r>
              <w:rPr>
                <w:rFonts w:eastAsia="Times New Roman"/>
                <w:sz w:val="20"/>
                <w:szCs w:val="20"/>
              </w:rPr>
              <w:t> </w:t>
            </w:r>
          </w:p>
        </w:tc>
      </w:tr>
      <w:tr w:rsidR="00000000" w14:paraId="4D30A3CE" w14:textId="77777777">
        <w:trPr>
          <w:divId w:val="305475121"/>
        </w:trPr>
        <w:tc>
          <w:tcPr>
            <w:tcW w:w="0" w:type="auto"/>
            <w:shd w:val="clear" w:color="auto" w:fill="CCEEFF"/>
            <w:hideMark/>
          </w:tcPr>
          <w:p w14:paraId="00314E14" w14:textId="77777777" w:rsidR="00000000" w:rsidRDefault="002F725F">
            <w:pPr>
              <w:rPr>
                <w:rFonts w:eastAsia="Times New Roman"/>
                <w:sz w:val="20"/>
                <w:szCs w:val="20"/>
              </w:rPr>
            </w:pPr>
            <w:r>
              <w:rPr>
                <w:rFonts w:eastAsia="Times New Roman"/>
                <w:sz w:val="20"/>
                <w:szCs w:val="20"/>
              </w:rPr>
              <w:t>(d)-(5)</w:t>
            </w:r>
          </w:p>
        </w:tc>
        <w:tc>
          <w:tcPr>
            <w:tcW w:w="0" w:type="auto"/>
            <w:shd w:val="clear" w:color="auto" w:fill="CCEEFF"/>
            <w:hideMark/>
          </w:tcPr>
          <w:p w14:paraId="7E8CF8C7"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0130EE3F" w14:textId="77777777" w:rsidR="00000000" w:rsidRDefault="002F725F">
            <w:pPr>
              <w:jc w:val="both"/>
              <w:rPr>
                <w:rFonts w:eastAsia="Times New Roman"/>
                <w:sz w:val="20"/>
                <w:szCs w:val="20"/>
              </w:rPr>
            </w:pPr>
            <w:hyperlink r:id="rId14" w:history="1">
              <w:r>
                <w:rPr>
                  <w:rStyle w:val="Hyperlink"/>
                  <w:rFonts w:eastAsia="Times New Roman"/>
                  <w:sz w:val="20"/>
                  <w:szCs w:val="20"/>
                </w:rPr>
                <w:t>Amended and Restated Limited Guarantee, dated April 29, 2026, by the Sponsor in favor of the Company, incorporated herein by reference to Exhibit 99.23</w:t>
              </w:r>
              <w:r>
                <w:rPr>
                  <w:rStyle w:val="Hyperlink"/>
                  <w:rFonts w:eastAsia="Times New Roman"/>
                  <w:sz w:val="20"/>
                  <w:szCs w:val="20"/>
                </w:rPr>
                <w:t xml:space="preserve"> to the Schedule 13D Amendment No. 6 jointly filed by the 13D Filing Persons with the SEC on April 29, 2026.</w:t>
              </w:r>
            </w:hyperlink>
          </w:p>
        </w:tc>
      </w:tr>
      <w:tr w:rsidR="00000000" w14:paraId="107D0964" w14:textId="77777777">
        <w:trPr>
          <w:divId w:val="305475121"/>
        </w:trPr>
        <w:tc>
          <w:tcPr>
            <w:tcW w:w="0" w:type="auto"/>
            <w:shd w:val="clear" w:color="auto" w:fill="FFFFFF"/>
            <w:hideMark/>
          </w:tcPr>
          <w:p w14:paraId="5E08E32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15FF9295"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08A72D2F" w14:textId="77777777" w:rsidR="00000000" w:rsidRDefault="002F725F">
            <w:pPr>
              <w:jc w:val="both"/>
              <w:rPr>
                <w:rFonts w:eastAsia="Times New Roman"/>
                <w:sz w:val="20"/>
                <w:szCs w:val="20"/>
              </w:rPr>
            </w:pPr>
            <w:r>
              <w:rPr>
                <w:rFonts w:eastAsia="Times New Roman"/>
                <w:sz w:val="20"/>
                <w:szCs w:val="20"/>
              </w:rPr>
              <w:t> </w:t>
            </w:r>
          </w:p>
        </w:tc>
      </w:tr>
      <w:tr w:rsidR="00000000" w14:paraId="764F4311" w14:textId="77777777">
        <w:trPr>
          <w:divId w:val="305475121"/>
        </w:trPr>
        <w:tc>
          <w:tcPr>
            <w:tcW w:w="0" w:type="auto"/>
            <w:shd w:val="clear" w:color="auto" w:fill="CCEEFF"/>
            <w:hideMark/>
          </w:tcPr>
          <w:p w14:paraId="27DE0657" w14:textId="77777777" w:rsidR="00000000" w:rsidRDefault="002F725F">
            <w:pPr>
              <w:rPr>
                <w:rFonts w:eastAsia="Times New Roman"/>
                <w:sz w:val="20"/>
                <w:szCs w:val="20"/>
              </w:rPr>
            </w:pPr>
            <w:r>
              <w:rPr>
                <w:rFonts w:eastAsia="Times New Roman"/>
                <w:sz w:val="20"/>
                <w:szCs w:val="20"/>
              </w:rPr>
              <w:t>(d)-(6)</w:t>
            </w:r>
          </w:p>
        </w:tc>
        <w:tc>
          <w:tcPr>
            <w:tcW w:w="0" w:type="auto"/>
            <w:shd w:val="clear" w:color="auto" w:fill="CCEEFF"/>
            <w:hideMark/>
          </w:tcPr>
          <w:p w14:paraId="0BA5F640"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78E4A307" w14:textId="77777777" w:rsidR="00000000" w:rsidRDefault="002F725F">
            <w:pPr>
              <w:jc w:val="both"/>
              <w:rPr>
                <w:rFonts w:eastAsia="Times New Roman"/>
                <w:sz w:val="20"/>
                <w:szCs w:val="20"/>
              </w:rPr>
            </w:pPr>
            <w:hyperlink r:id="rId15" w:history="1">
              <w:r>
                <w:rPr>
                  <w:rStyle w:val="Hyperlink"/>
                  <w:rFonts w:eastAsia="Times New Roman"/>
                  <w:sz w:val="20"/>
                  <w:szCs w:val="20"/>
                </w:rPr>
                <w:t>Interim Investors A</w:t>
              </w:r>
              <w:r>
                <w:rPr>
                  <w:rStyle w:val="Hyperlink"/>
                  <w:rFonts w:eastAsia="Times New Roman"/>
                  <w:sz w:val="20"/>
                  <w:szCs w:val="20"/>
                </w:rPr>
                <w:t>greement, dated November 4, 2025, by and among the Rollover Shareholders, Parent and Merger Sub, incorporated herein by reference to Exhibit 99.15 to the Schedule 13D Amendment No. 3 jointly filed by the 13D Filing Persons with the SEC on November 4, 2025.</w:t>
              </w:r>
              <w:r>
                <w:rPr>
                  <w:rStyle w:val="Hyperlink"/>
                  <w:rFonts w:eastAsia="Times New Roman"/>
                  <w:sz w:val="20"/>
                  <w:szCs w:val="20"/>
                </w:rPr>
                <w:t>*</w:t>
              </w:r>
            </w:hyperlink>
          </w:p>
        </w:tc>
      </w:tr>
      <w:tr w:rsidR="00000000" w14:paraId="13E3EE9C" w14:textId="77777777">
        <w:trPr>
          <w:divId w:val="305475121"/>
        </w:trPr>
        <w:tc>
          <w:tcPr>
            <w:tcW w:w="0" w:type="auto"/>
            <w:shd w:val="clear" w:color="auto" w:fill="FFFFFF"/>
            <w:hideMark/>
          </w:tcPr>
          <w:p w14:paraId="59CCE95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2521C7A4"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1BF4A829" w14:textId="77777777" w:rsidR="00000000" w:rsidRDefault="002F725F">
            <w:pPr>
              <w:jc w:val="both"/>
              <w:rPr>
                <w:rFonts w:eastAsia="Times New Roman"/>
                <w:sz w:val="20"/>
                <w:szCs w:val="20"/>
              </w:rPr>
            </w:pPr>
            <w:r>
              <w:rPr>
                <w:rFonts w:eastAsia="Times New Roman"/>
                <w:sz w:val="20"/>
                <w:szCs w:val="20"/>
              </w:rPr>
              <w:t> </w:t>
            </w:r>
          </w:p>
        </w:tc>
      </w:tr>
      <w:tr w:rsidR="00000000" w14:paraId="1B648D5E" w14:textId="77777777">
        <w:trPr>
          <w:divId w:val="305475121"/>
        </w:trPr>
        <w:tc>
          <w:tcPr>
            <w:tcW w:w="0" w:type="auto"/>
            <w:shd w:val="clear" w:color="auto" w:fill="CCEEFF"/>
            <w:hideMark/>
          </w:tcPr>
          <w:p w14:paraId="2A45959D" w14:textId="77777777" w:rsidR="00000000" w:rsidRDefault="002F725F">
            <w:pPr>
              <w:rPr>
                <w:rFonts w:eastAsia="Times New Roman"/>
                <w:sz w:val="20"/>
                <w:szCs w:val="20"/>
              </w:rPr>
            </w:pPr>
            <w:r>
              <w:rPr>
                <w:rFonts w:eastAsia="Times New Roman"/>
                <w:sz w:val="20"/>
                <w:szCs w:val="20"/>
              </w:rPr>
              <w:t>(d)-(7)</w:t>
            </w:r>
          </w:p>
        </w:tc>
        <w:tc>
          <w:tcPr>
            <w:tcW w:w="0" w:type="auto"/>
            <w:shd w:val="clear" w:color="auto" w:fill="CCEEFF"/>
            <w:hideMark/>
          </w:tcPr>
          <w:p w14:paraId="4A8971B0"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15DB5BFC" w14:textId="77777777" w:rsidR="00000000" w:rsidRDefault="002F725F">
            <w:pPr>
              <w:jc w:val="both"/>
              <w:rPr>
                <w:rFonts w:eastAsia="Times New Roman"/>
                <w:sz w:val="20"/>
                <w:szCs w:val="20"/>
              </w:rPr>
            </w:pPr>
            <w:r>
              <w:rPr>
                <w:rFonts w:eastAsia="Times New Roman"/>
                <w:sz w:val="20"/>
                <w:szCs w:val="20"/>
              </w:rPr>
              <w:t xml:space="preserve">Consortium Agreement, dated August 26, 2025, by and among the Sponsor, Oceanpine Investment Fund II LP, and Crystal Peak Investment Inc., incorporated herein by reference to </w:t>
            </w:r>
            <w:hyperlink r:id="rId16" w:history="1">
              <w:r>
                <w:rPr>
                  <w:rStyle w:val="Hyperlink"/>
                  <w:rFonts w:eastAsia="Times New Roman"/>
                  <w:sz w:val="20"/>
                  <w:szCs w:val="20"/>
                </w:rPr>
                <w:t>Exhibit 99.4</w:t>
              </w:r>
            </w:hyperlink>
            <w:r>
              <w:rPr>
                <w:rFonts w:eastAsia="Times New Roman"/>
                <w:sz w:val="20"/>
                <w:szCs w:val="20"/>
              </w:rPr>
              <w:t xml:space="preserve"> to the Schedule 13D Amendment No. 2 jointly filed by the 13D Filing Persons with the SEC on October 29, 2025, which was joined by Adjuvant Global Health Technology Fund, L.P. and by Adjuvant Gl</w:t>
            </w:r>
            <w:r>
              <w:rPr>
                <w:rFonts w:eastAsia="Times New Roman"/>
                <w:sz w:val="20"/>
                <w:szCs w:val="20"/>
              </w:rPr>
              <w:t>obal Health Technology Fund DE, L.P. on October 5, 2025 and Superstring Capital Master Fund LP, MSA GROWTH FUND II, L.P. and Epiphron Capital (Hong Kong) Limited on October 27, 2025, by way of executing and delivering certain deeds of adherence, incorporat</w:t>
            </w:r>
            <w:r>
              <w:rPr>
                <w:rFonts w:eastAsia="Times New Roman"/>
                <w:sz w:val="20"/>
                <w:szCs w:val="20"/>
              </w:rPr>
              <w:t xml:space="preserve">ed herein by reference to Exhibits </w:t>
            </w:r>
            <w:hyperlink r:id="rId17" w:history="1">
              <w:r>
                <w:rPr>
                  <w:rStyle w:val="Hyperlink"/>
                  <w:rFonts w:eastAsia="Times New Roman"/>
                  <w:sz w:val="20"/>
                  <w:szCs w:val="20"/>
                </w:rPr>
                <w:t>99.6</w:t>
              </w:r>
            </w:hyperlink>
            <w:r>
              <w:rPr>
                <w:rFonts w:eastAsia="Times New Roman"/>
                <w:sz w:val="20"/>
                <w:szCs w:val="20"/>
              </w:rPr>
              <w:t xml:space="preserve">, </w:t>
            </w:r>
            <w:hyperlink r:id="rId18" w:history="1">
              <w:r>
                <w:rPr>
                  <w:rStyle w:val="Hyperlink"/>
                  <w:rFonts w:eastAsia="Times New Roman"/>
                  <w:sz w:val="20"/>
                  <w:szCs w:val="20"/>
                </w:rPr>
                <w:t>99.7</w:t>
              </w:r>
            </w:hyperlink>
            <w:r>
              <w:rPr>
                <w:rFonts w:eastAsia="Times New Roman"/>
                <w:sz w:val="20"/>
                <w:szCs w:val="20"/>
              </w:rPr>
              <w:t xml:space="preserve">, </w:t>
            </w:r>
            <w:hyperlink r:id="rId19" w:history="1">
              <w:r>
                <w:rPr>
                  <w:rStyle w:val="Hyperlink"/>
                  <w:rFonts w:eastAsia="Times New Roman"/>
                  <w:sz w:val="20"/>
                  <w:szCs w:val="20"/>
                </w:rPr>
                <w:t>99.8</w:t>
              </w:r>
            </w:hyperlink>
            <w:r>
              <w:rPr>
                <w:rFonts w:eastAsia="Times New Roman"/>
                <w:sz w:val="20"/>
                <w:szCs w:val="20"/>
              </w:rPr>
              <w:t xml:space="preserve"> and </w:t>
            </w:r>
            <w:hyperlink r:id="rId20" w:history="1">
              <w:r>
                <w:rPr>
                  <w:rStyle w:val="Hyperlink"/>
                  <w:rFonts w:eastAsia="Times New Roman"/>
                  <w:sz w:val="20"/>
                  <w:szCs w:val="20"/>
                </w:rPr>
                <w:t>99.9</w:t>
              </w:r>
            </w:hyperlink>
            <w:r>
              <w:rPr>
                <w:rFonts w:eastAsia="Times New Roman"/>
                <w:sz w:val="20"/>
                <w:szCs w:val="20"/>
              </w:rPr>
              <w:t xml:space="preserve"> to </w:t>
            </w:r>
            <w:r>
              <w:rPr>
                <w:rFonts w:eastAsia="Times New Roman"/>
                <w:sz w:val="20"/>
                <w:szCs w:val="20"/>
              </w:rPr>
              <w:t>the Schedule 13D Amendment No. 2 jointly filed by the 13D Filing Persons with the SEC on October 29, 2025.*</w:t>
            </w:r>
          </w:p>
        </w:tc>
      </w:tr>
      <w:tr w:rsidR="00000000" w14:paraId="4CA775A1" w14:textId="77777777">
        <w:trPr>
          <w:divId w:val="305475121"/>
        </w:trPr>
        <w:tc>
          <w:tcPr>
            <w:tcW w:w="0" w:type="auto"/>
            <w:shd w:val="clear" w:color="auto" w:fill="FFFFFF"/>
            <w:hideMark/>
          </w:tcPr>
          <w:p w14:paraId="7B90192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6222BEDE"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6A013DA9" w14:textId="77777777" w:rsidR="00000000" w:rsidRDefault="002F725F">
            <w:pPr>
              <w:jc w:val="both"/>
              <w:rPr>
                <w:rFonts w:eastAsia="Times New Roman"/>
                <w:sz w:val="20"/>
                <w:szCs w:val="20"/>
              </w:rPr>
            </w:pPr>
            <w:r>
              <w:rPr>
                <w:rFonts w:eastAsia="Times New Roman"/>
                <w:sz w:val="20"/>
                <w:szCs w:val="20"/>
              </w:rPr>
              <w:t> </w:t>
            </w:r>
          </w:p>
        </w:tc>
      </w:tr>
      <w:tr w:rsidR="00000000" w14:paraId="6764594A" w14:textId="77777777">
        <w:trPr>
          <w:divId w:val="305475121"/>
        </w:trPr>
        <w:tc>
          <w:tcPr>
            <w:tcW w:w="0" w:type="auto"/>
            <w:shd w:val="clear" w:color="auto" w:fill="CCEEFF"/>
            <w:hideMark/>
          </w:tcPr>
          <w:p w14:paraId="4F587748" w14:textId="77777777" w:rsidR="00000000" w:rsidRDefault="002F725F">
            <w:pPr>
              <w:rPr>
                <w:rFonts w:eastAsia="Times New Roman"/>
                <w:sz w:val="20"/>
                <w:szCs w:val="20"/>
              </w:rPr>
            </w:pPr>
            <w:r>
              <w:rPr>
                <w:rFonts w:eastAsia="Times New Roman"/>
                <w:sz w:val="20"/>
                <w:szCs w:val="20"/>
              </w:rPr>
              <w:t>(f)-(1)</w:t>
            </w:r>
          </w:p>
        </w:tc>
        <w:tc>
          <w:tcPr>
            <w:tcW w:w="0" w:type="auto"/>
            <w:shd w:val="clear" w:color="auto" w:fill="CCEEFF"/>
            <w:hideMark/>
          </w:tcPr>
          <w:p w14:paraId="0FE4DE2D"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5A2C0FBB" w14:textId="77777777" w:rsidR="00000000" w:rsidRDefault="002F725F">
            <w:pPr>
              <w:jc w:val="both"/>
              <w:rPr>
                <w:rFonts w:eastAsia="Times New Roman"/>
                <w:sz w:val="20"/>
                <w:szCs w:val="20"/>
              </w:rPr>
            </w:pPr>
            <w:hyperlink w:anchor="gfpea028961701ex99-a1.htmb_005" w:history="1">
              <w:r>
                <w:rPr>
                  <w:rStyle w:val="Hyperlink"/>
                  <w:rFonts w:eastAsia="Times New Roman"/>
                  <w:sz w:val="20"/>
                  <w:szCs w:val="20"/>
                </w:rPr>
                <w:t xml:space="preserve">Dissenters’ </w:t>
              </w:r>
              <w:r>
                <w:rPr>
                  <w:rStyle w:val="Hyperlink"/>
                  <w:rFonts w:eastAsia="Times New Roman"/>
                  <w:sz w:val="20"/>
                  <w:szCs w:val="20"/>
                </w:rPr>
                <w:t>Rights, incorporated herein by reference to the section entitled “Dissenters’ Rights” in the Proxy Statement.</w:t>
              </w:r>
            </w:hyperlink>
          </w:p>
        </w:tc>
      </w:tr>
      <w:tr w:rsidR="00000000" w14:paraId="72F2BD72" w14:textId="77777777">
        <w:trPr>
          <w:divId w:val="305475121"/>
        </w:trPr>
        <w:tc>
          <w:tcPr>
            <w:tcW w:w="0" w:type="auto"/>
            <w:shd w:val="clear" w:color="auto" w:fill="FFFFFF"/>
            <w:hideMark/>
          </w:tcPr>
          <w:p w14:paraId="0FC25C5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2E5DB4D3"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5BEECB1B" w14:textId="77777777" w:rsidR="00000000" w:rsidRDefault="002F725F">
            <w:pPr>
              <w:jc w:val="both"/>
              <w:rPr>
                <w:rFonts w:eastAsia="Times New Roman"/>
                <w:sz w:val="20"/>
                <w:szCs w:val="20"/>
              </w:rPr>
            </w:pPr>
            <w:r>
              <w:rPr>
                <w:rFonts w:eastAsia="Times New Roman"/>
                <w:sz w:val="20"/>
                <w:szCs w:val="20"/>
              </w:rPr>
              <w:t> </w:t>
            </w:r>
          </w:p>
        </w:tc>
      </w:tr>
      <w:tr w:rsidR="00000000" w14:paraId="10A86541" w14:textId="77777777">
        <w:trPr>
          <w:divId w:val="305475121"/>
        </w:trPr>
        <w:tc>
          <w:tcPr>
            <w:tcW w:w="0" w:type="auto"/>
            <w:shd w:val="clear" w:color="auto" w:fill="CCEEFF"/>
            <w:hideMark/>
          </w:tcPr>
          <w:p w14:paraId="655ABB2B" w14:textId="77777777" w:rsidR="00000000" w:rsidRDefault="002F725F">
            <w:pPr>
              <w:rPr>
                <w:rFonts w:eastAsia="Times New Roman"/>
                <w:sz w:val="20"/>
                <w:szCs w:val="20"/>
              </w:rPr>
            </w:pPr>
            <w:r>
              <w:rPr>
                <w:rFonts w:eastAsia="Times New Roman"/>
                <w:sz w:val="20"/>
                <w:szCs w:val="20"/>
              </w:rPr>
              <w:t>(f)-(2)</w:t>
            </w:r>
          </w:p>
        </w:tc>
        <w:tc>
          <w:tcPr>
            <w:tcW w:w="0" w:type="auto"/>
            <w:shd w:val="clear" w:color="auto" w:fill="CCEEFF"/>
            <w:hideMark/>
          </w:tcPr>
          <w:p w14:paraId="64CB4B18"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660CB5D4" w14:textId="77777777" w:rsidR="00000000" w:rsidRDefault="002F725F">
            <w:pPr>
              <w:jc w:val="both"/>
              <w:rPr>
                <w:rFonts w:eastAsia="Times New Roman"/>
                <w:sz w:val="20"/>
                <w:szCs w:val="20"/>
              </w:rPr>
            </w:pPr>
            <w:hyperlink w:anchor="gfpea028961701ex99-a1.htmD_01" w:history="1">
              <w:r>
                <w:rPr>
                  <w:rStyle w:val="Hyperlink"/>
                  <w:rFonts w:eastAsia="Times New Roman"/>
                  <w:sz w:val="20"/>
                  <w:szCs w:val="20"/>
                </w:rPr>
                <w:t>Section 238 of the Cayman Islands Companies Act, incorporated herein by refe</w:t>
              </w:r>
              <w:r>
                <w:rPr>
                  <w:rStyle w:val="Hyperlink"/>
                  <w:rFonts w:eastAsia="Times New Roman"/>
                  <w:sz w:val="20"/>
                  <w:szCs w:val="20"/>
                </w:rPr>
                <w:t>rence to Annex D to the Proxy Statement.</w:t>
              </w:r>
            </w:hyperlink>
          </w:p>
        </w:tc>
      </w:tr>
      <w:tr w:rsidR="00000000" w14:paraId="4678400F" w14:textId="77777777">
        <w:trPr>
          <w:divId w:val="305475121"/>
        </w:trPr>
        <w:tc>
          <w:tcPr>
            <w:tcW w:w="0" w:type="auto"/>
            <w:shd w:val="clear" w:color="auto" w:fill="FFFFFF"/>
            <w:hideMark/>
          </w:tcPr>
          <w:p w14:paraId="27411CE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07FF46F4"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6751C179" w14:textId="77777777" w:rsidR="00000000" w:rsidRDefault="002F725F">
            <w:pPr>
              <w:jc w:val="both"/>
              <w:rPr>
                <w:rFonts w:eastAsia="Times New Roman"/>
                <w:sz w:val="20"/>
                <w:szCs w:val="20"/>
              </w:rPr>
            </w:pPr>
            <w:r>
              <w:rPr>
                <w:rFonts w:eastAsia="Times New Roman"/>
                <w:sz w:val="20"/>
                <w:szCs w:val="20"/>
              </w:rPr>
              <w:t> </w:t>
            </w:r>
          </w:p>
        </w:tc>
      </w:tr>
      <w:tr w:rsidR="00000000" w14:paraId="2B13769A" w14:textId="77777777">
        <w:trPr>
          <w:divId w:val="305475121"/>
        </w:trPr>
        <w:tc>
          <w:tcPr>
            <w:tcW w:w="0" w:type="auto"/>
            <w:shd w:val="clear" w:color="auto" w:fill="CCEEFF"/>
            <w:hideMark/>
          </w:tcPr>
          <w:p w14:paraId="0E3E5805" w14:textId="77777777" w:rsidR="00000000" w:rsidRDefault="002F725F">
            <w:pPr>
              <w:rPr>
                <w:rFonts w:eastAsia="Times New Roman"/>
                <w:sz w:val="20"/>
                <w:szCs w:val="20"/>
              </w:rPr>
            </w:pPr>
            <w:r>
              <w:rPr>
                <w:rFonts w:eastAsia="Times New Roman"/>
                <w:sz w:val="20"/>
                <w:szCs w:val="20"/>
              </w:rPr>
              <w:t>(g)</w:t>
            </w:r>
          </w:p>
        </w:tc>
        <w:tc>
          <w:tcPr>
            <w:tcW w:w="0" w:type="auto"/>
            <w:shd w:val="clear" w:color="auto" w:fill="CCEEFF"/>
            <w:hideMark/>
          </w:tcPr>
          <w:p w14:paraId="08C35FC2"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4A3D41D5" w14:textId="77777777" w:rsidR="00000000" w:rsidRDefault="002F725F">
            <w:pPr>
              <w:jc w:val="both"/>
              <w:rPr>
                <w:rFonts w:eastAsia="Times New Roman"/>
                <w:sz w:val="20"/>
                <w:szCs w:val="20"/>
              </w:rPr>
            </w:pPr>
            <w:r>
              <w:rPr>
                <w:rFonts w:eastAsia="Times New Roman"/>
                <w:sz w:val="20"/>
                <w:szCs w:val="20"/>
              </w:rPr>
              <w:t>Not applicable.</w:t>
            </w:r>
          </w:p>
        </w:tc>
      </w:tr>
      <w:tr w:rsidR="00000000" w14:paraId="4590DAC9" w14:textId="77777777">
        <w:trPr>
          <w:divId w:val="305475121"/>
        </w:trPr>
        <w:tc>
          <w:tcPr>
            <w:tcW w:w="0" w:type="auto"/>
            <w:shd w:val="clear" w:color="auto" w:fill="FFFFFF"/>
            <w:hideMark/>
          </w:tcPr>
          <w:p w14:paraId="24B9ACD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0228851B"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FFFFFF"/>
            <w:hideMark/>
          </w:tcPr>
          <w:p w14:paraId="67871DD8" w14:textId="77777777" w:rsidR="00000000" w:rsidRDefault="002F725F">
            <w:pPr>
              <w:jc w:val="both"/>
              <w:rPr>
                <w:rFonts w:eastAsia="Times New Roman"/>
                <w:sz w:val="20"/>
                <w:szCs w:val="20"/>
              </w:rPr>
            </w:pPr>
            <w:r>
              <w:rPr>
                <w:rFonts w:eastAsia="Times New Roman"/>
                <w:sz w:val="20"/>
                <w:szCs w:val="20"/>
              </w:rPr>
              <w:t> </w:t>
            </w:r>
          </w:p>
        </w:tc>
      </w:tr>
      <w:tr w:rsidR="00000000" w14:paraId="24CB20E7" w14:textId="77777777">
        <w:trPr>
          <w:divId w:val="305475121"/>
        </w:trPr>
        <w:tc>
          <w:tcPr>
            <w:tcW w:w="0" w:type="auto"/>
            <w:shd w:val="clear" w:color="auto" w:fill="CCEEFF"/>
            <w:hideMark/>
          </w:tcPr>
          <w:p w14:paraId="61263067" w14:textId="77777777" w:rsidR="00000000" w:rsidRDefault="002F725F">
            <w:pPr>
              <w:rPr>
                <w:rFonts w:eastAsia="Times New Roman"/>
                <w:sz w:val="20"/>
                <w:szCs w:val="20"/>
              </w:rPr>
            </w:pPr>
            <w:r>
              <w:rPr>
                <w:rFonts w:eastAsia="Times New Roman"/>
                <w:sz w:val="20"/>
                <w:szCs w:val="20"/>
              </w:rPr>
              <w:t>107</w:t>
            </w:r>
          </w:p>
        </w:tc>
        <w:tc>
          <w:tcPr>
            <w:tcW w:w="0" w:type="auto"/>
            <w:shd w:val="clear" w:color="auto" w:fill="CCEEFF"/>
            <w:hideMark/>
          </w:tcPr>
          <w:p w14:paraId="111BC207" w14:textId="77777777" w:rsidR="00000000" w:rsidRDefault="002F725F">
            <w:pPr>
              <w:jc w:val="both"/>
              <w:rPr>
                <w:rFonts w:eastAsia="Times New Roman"/>
                <w:sz w:val="20"/>
                <w:szCs w:val="20"/>
              </w:rPr>
            </w:pPr>
            <w:r>
              <w:rPr>
                <w:rFonts w:eastAsia="Times New Roman"/>
                <w:sz w:val="20"/>
                <w:szCs w:val="20"/>
              </w:rPr>
              <w:t> </w:t>
            </w:r>
          </w:p>
        </w:tc>
        <w:tc>
          <w:tcPr>
            <w:tcW w:w="0" w:type="auto"/>
            <w:shd w:val="clear" w:color="auto" w:fill="CCEEFF"/>
            <w:hideMark/>
          </w:tcPr>
          <w:p w14:paraId="70EF3B84" w14:textId="77777777" w:rsidR="00000000" w:rsidRDefault="002F725F">
            <w:pPr>
              <w:jc w:val="both"/>
              <w:rPr>
                <w:rFonts w:eastAsia="Times New Roman"/>
                <w:sz w:val="20"/>
                <w:szCs w:val="20"/>
              </w:rPr>
            </w:pPr>
            <w:hyperlink r:id="rId21" w:history="1">
              <w:r>
                <w:rPr>
                  <w:rStyle w:val="Hyperlink"/>
                  <w:rFonts w:eastAsia="Times New Roman"/>
                  <w:sz w:val="20"/>
                  <w:szCs w:val="20"/>
                </w:rPr>
                <w:t>Calculation of Filing Fee Tables*</w:t>
              </w:r>
            </w:hyperlink>
          </w:p>
        </w:tc>
      </w:tr>
    </w:tbl>
    <w:p w14:paraId="1FBA11C4" w14:textId="77777777" w:rsidR="00000000" w:rsidRDefault="002F725F">
      <w:pPr>
        <w:pStyle w:val="NormalWeb"/>
        <w:spacing w:before="0" w:beforeAutospacing="0" w:after="0" w:afterAutospacing="0"/>
        <w:divId w:val="305475121"/>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9000"/>
      </w:tblGrid>
      <w:tr w:rsidR="00000000" w14:paraId="7C6C322A" w14:textId="77777777">
        <w:trPr>
          <w:divId w:val="305475121"/>
          <w:tblCellSpacing w:w="0" w:type="dxa"/>
        </w:trPr>
        <w:tc>
          <w:tcPr>
            <w:tcW w:w="360" w:type="dxa"/>
            <w:hideMark/>
          </w:tcPr>
          <w:p w14:paraId="4048497F" w14:textId="77777777" w:rsidR="00000000" w:rsidRDefault="002F725F">
            <w:pPr>
              <w:rPr>
                <w:rFonts w:eastAsia="Times New Roman"/>
                <w:sz w:val="20"/>
                <w:szCs w:val="20"/>
              </w:rPr>
            </w:pPr>
            <w:r>
              <w:rPr>
                <w:rFonts w:eastAsia="Times New Roman"/>
                <w:sz w:val="20"/>
                <w:szCs w:val="20"/>
              </w:rPr>
              <w:t>*</w:t>
            </w:r>
          </w:p>
        </w:tc>
        <w:tc>
          <w:tcPr>
            <w:tcW w:w="0" w:type="auto"/>
            <w:hideMark/>
          </w:tcPr>
          <w:p w14:paraId="303856F1" w14:textId="77777777" w:rsidR="00000000" w:rsidRDefault="002F725F">
            <w:pPr>
              <w:jc w:val="both"/>
              <w:rPr>
                <w:rFonts w:eastAsia="Times New Roman"/>
                <w:sz w:val="20"/>
                <w:szCs w:val="20"/>
              </w:rPr>
            </w:pPr>
            <w:r>
              <w:rPr>
                <w:rFonts w:eastAsia="Times New Roman"/>
                <w:sz w:val="20"/>
                <w:szCs w:val="20"/>
              </w:rPr>
              <w:t>Previously Filed.</w:t>
            </w:r>
          </w:p>
        </w:tc>
      </w:tr>
    </w:tbl>
    <w:p w14:paraId="5DCD748F" w14:textId="77777777" w:rsidR="00000000" w:rsidRDefault="002F725F">
      <w:pPr>
        <w:pStyle w:val="NormalWeb"/>
        <w:spacing w:before="0" w:beforeAutospacing="0" w:after="0" w:afterAutospacing="0"/>
        <w:divId w:val="305475121"/>
        <w:rPr>
          <w:sz w:val="20"/>
          <w:szCs w:val="20"/>
        </w:rPr>
      </w:pPr>
      <w:r>
        <w:rPr>
          <w:sz w:val="20"/>
          <w:szCs w:val="20"/>
        </w:rPr>
        <w:t> </w:t>
      </w:r>
    </w:p>
    <w:p w14:paraId="2DFD832B" w14:textId="77777777" w:rsidR="00000000" w:rsidRDefault="002F725F">
      <w:pPr>
        <w:pStyle w:val="NormalWeb"/>
        <w:spacing w:before="0" w:beforeAutospacing="0" w:after="0" w:afterAutospacing="0"/>
        <w:jc w:val="center"/>
        <w:divId w:val="745106837"/>
        <w:rPr>
          <w:sz w:val="20"/>
          <w:szCs w:val="20"/>
        </w:rPr>
      </w:pPr>
      <w:r>
        <w:rPr>
          <w:sz w:val="20"/>
          <w:szCs w:val="20"/>
        </w:rPr>
        <w:t>1</w:t>
      </w:r>
      <w:r>
        <w:rPr>
          <w:sz w:val="20"/>
          <w:szCs w:val="20"/>
        </w:rPr>
        <w:t>4</w:t>
      </w:r>
    </w:p>
    <w:p w14:paraId="719DCDB4" w14:textId="77777777" w:rsidR="00000000" w:rsidRDefault="002F725F">
      <w:pPr>
        <w:pStyle w:val="NormalWeb"/>
        <w:spacing w:before="0" w:beforeAutospacing="0" w:after="0" w:afterAutospacing="0"/>
        <w:divId w:val="305475121"/>
        <w:rPr>
          <w:sz w:val="20"/>
          <w:szCs w:val="20"/>
        </w:rPr>
      </w:pPr>
      <w:r>
        <w:rPr>
          <w:sz w:val="20"/>
          <w:szCs w:val="20"/>
        </w:rPr>
        <w:t> </w:t>
      </w:r>
    </w:p>
    <w:p w14:paraId="4DE95E5D" w14:textId="77777777" w:rsidR="00000000" w:rsidRDefault="002F725F">
      <w:pPr>
        <w:pStyle w:val="NormalWeb"/>
        <w:spacing w:before="0" w:beforeAutospacing="0" w:after="0" w:afterAutospacing="0"/>
        <w:jc w:val="center"/>
        <w:divId w:val="305475121"/>
        <w:rPr>
          <w:sz w:val="20"/>
          <w:szCs w:val="20"/>
        </w:rPr>
      </w:pPr>
      <w:r>
        <w:rPr>
          <w:b/>
          <w:bCs/>
          <w:sz w:val="20"/>
          <w:szCs w:val="20"/>
        </w:rPr>
        <w:t>SIGNATURES</w:t>
      </w:r>
    </w:p>
    <w:p w14:paraId="0CD5E5E3"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04E0EF9D" w14:textId="77777777" w:rsidR="00000000" w:rsidRDefault="002F725F">
      <w:pPr>
        <w:pStyle w:val="NormalWeb"/>
        <w:spacing w:before="0" w:beforeAutospacing="0" w:after="0" w:afterAutospacing="0"/>
        <w:ind w:firstLine="720"/>
        <w:jc w:val="both"/>
        <w:divId w:val="305475121"/>
        <w:rPr>
          <w:sz w:val="20"/>
          <w:szCs w:val="20"/>
        </w:rPr>
      </w:pPr>
      <w:r>
        <w:rPr>
          <w:sz w:val="20"/>
          <w:szCs w:val="20"/>
        </w:rPr>
        <w:t>After due inquiry and to the best of my knowledge and belief,</w:t>
      </w:r>
      <w:r>
        <w:rPr>
          <w:sz w:val="20"/>
          <w:szCs w:val="20"/>
        </w:rPr>
        <w:t xml:space="preserve"> I certify that the information set forth in this statement is true, complete and correct.</w:t>
      </w:r>
    </w:p>
    <w:p w14:paraId="44550BB6" w14:textId="77777777" w:rsidR="00000000" w:rsidRDefault="002F725F">
      <w:pPr>
        <w:pStyle w:val="NormalWeb"/>
        <w:spacing w:before="0" w:beforeAutospacing="0" w:after="0" w:afterAutospacing="0"/>
        <w:jc w:val="center"/>
        <w:divId w:val="305475121"/>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5532"/>
        <w:gridCol w:w="289"/>
        <w:gridCol w:w="534"/>
        <w:gridCol w:w="3005"/>
      </w:tblGrid>
      <w:tr w:rsidR="00000000" w14:paraId="3E796587" w14:textId="77777777">
        <w:trPr>
          <w:divId w:val="305475121"/>
        </w:trPr>
        <w:tc>
          <w:tcPr>
            <w:tcW w:w="3000" w:type="pct"/>
            <w:hideMark/>
          </w:tcPr>
          <w:p w14:paraId="0DAF2F5E" w14:textId="77777777" w:rsidR="00000000" w:rsidRDefault="002F725F">
            <w:pPr>
              <w:pStyle w:val="NormalWeb"/>
              <w:spacing w:before="0" w:beforeAutospacing="0" w:after="0" w:afterAutospacing="0"/>
              <w:rPr>
                <w:sz w:val="20"/>
                <w:szCs w:val="20"/>
              </w:rPr>
            </w:pPr>
            <w:r>
              <w:rPr>
                <w:sz w:val="20"/>
                <w:szCs w:val="20"/>
              </w:rPr>
              <w:t>Date: May 8, 2026</w:t>
            </w:r>
          </w:p>
        </w:tc>
        <w:tc>
          <w:tcPr>
            <w:tcW w:w="150" w:type="pct"/>
            <w:vAlign w:val="bottom"/>
            <w:hideMark/>
          </w:tcPr>
          <w:p w14:paraId="14B8F25B" w14:textId="77777777" w:rsidR="00000000" w:rsidRDefault="002F725F">
            <w:pPr>
              <w:rPr>
                <w:rFonts w:eastAsia="Times New Roman"/>
                <w:sz w:val="20"/>
                <w:szCs w:val="20"/>
              </w:rPr>
            </w:pPr>
            <w:r>
              <w:rPr>
                <w:rFonts w:eastAsia="Times New Roman"/>
                <w:sz w:val="20"/>
                <w:szCs w:val="20"/>
              </w:rPr>
              <w:t> </w:t>
            </w:r>
          </w:p>
        </w:tc>
        <w:tc>
          <w:tcPr>
            <w:tcW w:w="200" w:type="pct"/>
            <w:vAlign w:val="bottom"/>
            <w:hideMark/>
          </w:tcPr>
          <w:p w14:paraId="1636524C" w14:textId="77777777" w:rsidR="00000000" w:rsidRDefault="002F725F">
            <w:pPr>
              <w:rPr>
                <w:rFonts w:eastAsia="Times New Roman"/>
                <w:sz w:val="20"/>
                <w:szCs w:val="20"/>
              </w:rPr>
            </w:pPr>
            <w:r>
              <w:rPr>
                <w:rFonts w:eastAsia="Times New Roman"/>
                <w:sz w:val="20"/>
                <w:szCs w:val="20"/>
              </w:rPr>
              <w:t> </w:t>
            </w:r>
          </w:p>
        </w:tc>
        <w:tc>
          <w:tcPr>
            <w:tcW w:w="1650" w:type="pct"/>
            <w:vAlign w:val="bottom"/>
            <w:hideMark/>
          </w:tcPr>
          <w:p w14:paraId="3CFFDACB" w14:textId="77777777" w:rsidR="00000000" w:rsidRDefault="002F725F">
            <w:pPr>
              <w:rPr>
                <w:rFonts w:eastAsia="Times New Roman"/>
                <w:sz w:val="20"/>
                <w:szCs w:val="20"/>
              </w:rPr>
            </w:pPr>
            <w:r>
              <w:rPr>
                <w:rFonts w:eastAsia="Times New Roman"/>
                <w:sz w:val="20"/>
                <w:szCs w:val="20"/>
              </w:rPr>
              <w:t> </w:t>
            </w:r>
          </w:p>
        </w:tc>
      </w:tr>
      <w:tr w:rsidR="00000000" w14:paraId="1D50D692" w14:textId="77777777">
        <w:trPr>
          <w:divId w:val="305475121"/>
        </w:trPr>
        <w:tc>
          <w:tcPr>
            <w:tcW w:w="0" w:type="auto"/>
            <w:hideMark/>
          </w:tcPr>
          <w:p w14:paraId="5238C655"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671D7FFF"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71C440A9"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10F18A3C" w14:textId="77777777" w:rsidR="00000000" w:rsidRDefault="002F725F">
            <w:pPr>
              <w:rPr>
                <w:rFonts w:eastAsia="Times New Roman"/>
                <w:sz w:val="20"/>
                <w:szCs w:val="20"/>
              </w:rPr>
            </w:pPr>
            <w:r>
              <w:rPr>
                <w:rFonts w:eastAsia="Times New Roman"/>
                <w:sz w:val="20"/>
                <w:szCs w:val="20"/>
              </w:rPr>
              <w:t> </w:t>
            </w:r>
          </w:p>
        </w:tc>
      </w:tr>
      <w:tr w:rsidR="00000000" w14:paraId="099FD4E5" w14:textId="77777777">
        <w:trPr>
          <w:divId w:val="305475121"/>
        </w:trPr>
        <w:tc>
          <w:tcPr>
            <w:tcW w:w="0" w:type="auto"/>
            <w:hideMark/>
          </w:tcPr>
          <w:p w14:paraId="41447069"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79995005" w14:textId="77777777" w:rsidR="00000000" w:rsidRDefault="002F725F">
            <w:pPr>
              <w:rPr>
                <w:rFonts w:eastAsia="Times New Roman"/>
                <w:sz w:val="20"/>
                <w:szCs w:val="20"/>
              </w:rPr>
            </w:pPr>
            <w:r>
              <w:rPr>
                <w:rFonts w:eastAsia="Times New Roman"/>
                <w:b/>
                <w:bCs/>
                <w:sz w:val="20"/>
                <w:szCs w:val="20"/>
              </w:rPr>
              <w:t>LAKESHORE BIOPHARMA CO., LTD</w:t>
            </w:r>
            <w:r>
              <w:rPr>
                <w:rFonts w:eastAsia="Times New Roman"/>
                <w:sz w:val="20"/>
                <w:szCs w:val="20"/>
              </w:rPr>
              <w:t xml:space="preserve">  </w:t>
            </w:r>
          </w:p>
        </w:tc>
      </w:tr>
      <w:tr w:rsidR="00000000" w14:paraId="674F90E0" w14:textId="77777777">
        <w:trPr>
          <w:divId w:val="305475121"/>
        </w:trPr>
        <w:tc>
          <w:tcPr>
            <w:tcW w:w="0" w:type="auto"/>
            <w:hideMark/>
          </w:tcPr>
          <w:p w14:paraId="53B6F915"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2D7E74B2" w14:textId="77777777" w:rsidR="00000000" w:rsidRDefault="002F725F">
            <w:pPr>
              <w:rPr>
                <w:rFonts w:eastAsia="Times New Roman"/>
                <w:sz w:val="20"/>
                <w:szCs w:val="20"/>
              </w:rPr>
            </w:pPr>
            <w:r>
              <w:rPr>
                <w:rFonts w:eastAsia="Times New Roman"/>
                <w:sz w:val="20"/>
                <w:szCs w:val="20"/>
              </w:rPr>
              <w:t> </w:t>
            </w:r>
          </w:p>
        </w:tc>
      </w:tr>
      <w:tr w:rsidR="00000000" w14:paraId="53BB90B0" w14:textId="77777777">
        <w:trPr>
          <w:divId w:val="305475121"/>
        </w:trPr>
        <w:tc>
          <w:tcPr>
            <w:tcW w:w="0" w:type="auto"/>
            <w:hideMark/>
          </w:tcPr>
          <w:p w14:paraId="7275D4C3" w14:textId="77777777" w:rsidR="00000000" w:rsidRDefault="002F725F">
            <w:pPr>
              <w:rPr>
                <w:rFonts w:eastAsia="Times New Roman"/>
                <w:sz w:val="20"/>
                <w:szCs w:val="20"/>
              </w:rPr>
            </w:pPr>
            <w:r>
              <w:rPr>
                <w:rFonts w:eastAsia="Times New Roman"/>
                <w:sz w:val="20"/>
                <w:szCs w:val="20"/>
              </w:rPr>
              <w:t> </w:t>
            </w:r>
          </w:p>
        </w:tc>
        <w:tc>
          <w:tcPr>
            <w:tcW w:w="0" w:type="auto"/>
            <w:hideMark/>
          </w:tcPr>
          <w:p w14:paraId="2D70328E" w14:textId="77777777" w:rsidR="00000000" w:rsidRDefault="002F725F">
            <w:pPr>
              <w:rPr>
                <w:rFonts w:eastAsia="Times New Roman"/>
                <w:sz w:val="20"/>
                <w:szCs w:val="20"/>
              </w:rPr>
            </w:pPr>
            <w:r>
              <w:rPr>
                <w:rFonts w:eastAsia="Times New Roman"/>
                <w:sz w:val="20"/>
                <w:szCs w:val="20"/>
              </w:rPr>
              <w:t>By:</w:t>
            </w:r>
          </w:p>
        </w:tc>
        <w:tc>
          <w:tcPr>
            <w:tcW w:w="0" w:type="auto"/>
            <w:gridSpan w:val="2"/>
            <w:tcBorders>
              <w:bottom w:val="single" w:sz="12" w:space="0" w:color="000000"/>
            </w:tcBorders>
            <w:hideMark/>
          </w:tcPr>
          <w:p w14:paraId="445032D9" w14:textId="77777777" w:rsidR="00000000" w:rsidRDefault="002F725F">
            <w:pPr>
              <w:rPr>
                <w:rFonts w:eastAsia="Times New Roman"/>
                <w:sz w:val="20"/>
                <w:szCs w:val="20"/>
              </w:rPr>
            </w:pPr>
            <w:r>
              <w:rPr>
                <w:rFonts w:eastAsia="Times New Roman"/>
                <w:sz w:val="20"/>
                <w:szCs w:val="20"/>
              </w:rPr>
              <w:t>/s/ Jutao (Adam) Zhao     </w:t>
            </w:r>
          </w:p>
        </w:tc>
      </w:tr>
      <w:tr w:rsidR="00000000" w14:paraId="6E00A319" w14:textId="77777777">
        <w:trPr>
          <w:divId w:val="305475121"/>
        </w:trPr>
        <w:tc>
          <w:tcPr>
            <w:tcW w:w="0" w:type="auto"/>
            <w:hideMark/>
          </w:tcPr>
          <w:p w14:paraId="5DAA9251" w14:textId="77777777" w:rsidR="00000000" w:rsidRDefault="002F725F">
            <w:pPr>
              <w:rPr>
                <w:rFonts w:eastAsia="Times New Roman"/>
                <w:sz w:val="20"/>
                <w:szCs w:val="20"/>
              </w:rPr>
            </w:pPr>
            <w:r>
              <w:rPr>
                <w:rFonts w:eastAsia="Times New Roman"/>
                <w:sz w:val="20"/>
                <w:szCs w:val="20"/>
              </w:rPr>
              <w:t> </w:t>
            </w:r>
          </w:p>
        </w:tc>
        <w:tc>
          <w:tcPr>
            <w:tcW w:w="0" w:type="auto"/>
            <w:hideMark/>
          </w:tcPr>
          <w:p w14:paraId="73BC1A38" w14:textId="77777777" w:rsidR="00000000" w:rsidRDefault="002F725F">
            <w:pPr>
              <w:rPr>
                <w:rFonts w:eastAsia="Times New Roman"/>
                <w:sz w:val="20"/>
                <w:szCs w:val="20"/>
              </w:rPr>
            </w:pPr>
            <w:r>
              <w:rPr>
                <w:rFonts w:eastAsia="Times New Roman"/>
                <w:sz w:val="20"/>
                <w:szCs w:val="20"/>
              </w:rPr>
              <w:t> </w:t>
            </w:r>
          </w:p>
        </w:tc>
        <w:tc>
          <w:tcPr>
            <w:tcW w:w="0" w:type="auto"/>
            <w:hideMark/>
          </w:tcPr>
          <w:p w14:paraId="1246CCA9" w14:textId="77777777" w:rsidR="00000000" w:rsidRDefault="002F725F">
            <w:pPr>
              <w:rPr>
                <w:rFonts w:eastAsia="Times New Roman"/>
                <w:sz w:val="20"/>
                <w:szCs w:val="20"/>
              </w:rPr>
            </w:pPr>
            <w:r>
              <w:rPr>
                <w:rFonts w:eastAsia="Times New Roman"/>
                <w:sz w:val="20"/>
                <w:szCs w:val="20"/>
              </w:rPr>
              <w:t>Name:</w:t>
            </w:r>
          </w:p>
        </w:tc>
        <w:tc>
          <w:tcPr>
            <w:tcW w:w="0" w:type="auto"/>
            <w:vAlign w:val="bottom"/>
            <w:hideMark/>
          </w:tcPr>
          <w:p w14:paraId="41261BAD" w14:textId="77777777" w:rsidR="00000000" w:rsidRDefault="002F725F">
            <w:pPr>
              <w:rPr>
                <w:rFonts w:eastAsia="Times New Roman"/>
                <w:sz w:val="20"/>
                <w:szCs w:val="20"/>
              </w:rPr>
            </w:pPr>
            <w:r>
              <w:rPr>
                <w:rFonts w:eastAsia="Times New Roman"/>
                <w:sz w:val="20"/>
                <w:szCs w:val="20"/>
              </w:rPr>
              <w:t>Jutao (Adam) Zhao</w:t>
            </w:r>
          </w:p>
        </w:tc>
      </w:tr>
      <w:tr w:rsidR="00000000" w14:paraId="3240E166" w14:textId="77777777">
        <w:trPr>
          <w:divId w:val="305475121"/>
        </w:trPr>
        <w:tc>
          <w:tcPr>
            <w:tcW w:w="0" w:type="auto"/>
            <w:hideMark/>
          </w:tcPr>
          <w:p w14:paraId="297DDB76" w14:textId="77777777" w:rsidR="00000000" w:rsidRDefault="002F725F">
            <w:pPr>
              <w:rPr>
                <w:rFonts w:eastAsia="Times New Roman"/>
                <w:sz w:val="20"/>
                <w:szCs w:val="20"/>
              </w:rPr>
            </w:pPr>
            <w:r>
              <w:rPr>
                <w:rFonts w:eastAsia="Times New Roman"/>
                <w:sz w:val="20"/>
                <w:szCs w:val="20"/>
              </w:rPr>
              <w:lastRenderedPageBreak/>
              <w:t> </w:t>
            </w:r>
          </w:p>
        </w:tc>
        <w:tc>
          <w:tcPr>
            <w:tcW w:w="0" w:type="auto"/>
            <w:hideMark/>
          </w:tcPr>
          <w:p w14:paraId="5C590E90" w14:textId="77777777" w:rsidR="00000000" w:rsidRDefault="002F725F">
            <w:pPr>
              <w:rPr>
                <w:rFonts w:eastAsia="Times New Roman"/>
                <w:sz w:val="20"/>
                <w:szCs w:val="20"/>
              </w:rPr>
            </w:pPr>
            <w:r>
              <w:rPr>
                <w:rFonts w:eastAsia="Times New Roman"/>
                <w:sz w:val="20"/>
                <w:szCs w:val="20"/>
              </w:rPr>
              <w:t> </w:t>
            </w:r>
          </w:p>
        </w:tc>
        <w:tc>
          <w:tcPr>
            <w:tcW w:w="0" w:type="auto"/>
            <w:hideMark/>
          </w:tcPr>
          <w:p w14:paraId="5F909C34" w14:textId="77777777" w:rsidR="00000000" w:rsidRDefault="002F725F">
            <w:pPr>
              <w:rPr>
                <w:rFonts w:eastAsia="Times New Roman"/>
                <w:sz w:val="20"/>
                <w:szCs w:val="20"/>
              </w:rPr>
            </w:pPr>
            <w:r>
              <w:rPr>
                <w:rFonts w:eastAsia="Times New Roman"/>
                <w:sz w:val="20"/>
                <w:szCs w:val="20"/>
              </w:rPr>
              <w:t>Title:</w:t>
            </w:r>
          </w:p>
        </w:tc>
        <w:tc>
          <w:tcPr>
            <w:tcW w:w="0" w:type="auto"/>
            <w:vAlign w:val="bottom"/>
            <w:hideMark/>
          </w:tcPr>
          <w:p w14:paraId="49C55453" w14:textId="77777777" w:rsidR="00000000" w:rsidRDefault="002F725F">
            <w:pPr>
              <w:rPr>
                <w:rFonts w:eastAsia="Times New Roman"/>
                <w:sz w:val="20"/>
                <w:szCs w:val="20"/>
              </w:rPr>
            </w:pPr>
            <w:r>
              <w:rPr>
                <w:rFonts w:eastAsia="Times New Roman"/>
                <w:sz w:val="20"/>
                <w:szCs w:val="20"/>
              </w:rPr>
              <w:t>Chairperson of the Special Committee</w:t>
            </w:r>
          </w:p>
        </w:tc>
      </w:tr>
    </w:tbl>
    <w:p w14:paraId="7E13D972"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5A89F0FC" w14:textId="77777777" w:rsidR="00000000" w:rsidRDefault="002F725F">
      <w:pPr>
        <w:pStyle w:val="NormalWeb"/>
        <w:spacing w:before="0" w:beforeAutospacing="0" w:after="0" w:afterAutospacing="0"/>
        <w:jc w:val="center"/>
        <w:divId w:val="305475121"/>
        <w:rPr>
          <w:sz w:val="20"/>
          <w:szCs w:val="20"/>
        </w:rPr>
      </w:pPr>
      <w:r>
        <w:rPr>
          <w:sz w:val="20"/>
          <w:szCs w:val="20"/>
        </w:rPr>
        <w:t>[</w:t>
      </w:r>
      <w:r>
        <w:rPr>
          <w:i/>
          <w:iCs/>
          <w:sz w:val="20"/>
          <w:szCs w:val="20"/>
        </w:rPr>
        <w:t>Signature Page to Schedule 13E-3 Transaction Statement</w:t>
      </w:r>
      <w:r>
        <w:rPr>
          <w:sz w:val="20"/>
          <w:szCs w:val="20"/>
        </w:rPr>
        <w:t>]</w:t>
      </w:r>
    </w:p>
    <w:p w14:paraId="78EED613"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7D9791A2" w14:textId="77777777" w:rsidR="00000000" w:rsidRDefault="002F725F">
      <w:pPr>
        <w:pStyle w:val="NormalWeb"/>
        <w:spacing w:before="0" w:beforeAutospacing="0" w:after="0" w:afterAutospacing="0"/>
        <w:jc w:val="center"/>
        <w:divId w:val="290791949"/>
        <w:rPr>
          <w:sz w:val="20"/>
          <w:szCs w:val="20"/>
        </w:rPr>
      </w:pPr>
      <w:r>
        <w:rPr>
          <w:sz w:val="20"/>
          <w:szCs w:val="20"/>
        </w:rPr>
        <w:t>1</w:t>
      </w:r>
      <w:r>
        <w:rPr>
          <w:sz w:val="20"/>
          <w:szCs w:val="20"/>
        </w:rPr>
        <w:t>5</w:t>
      </w:r>
    </w:p>
    <w:p w14:paraId="3ABAE212"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2E7FADDF" w14:textId="77777777" w:rsidR="00000000" w:rsidRDefault="002F725F">
      <w:pPr>
        <w:pStyle w:val="NormalWeb"/>
        <w:spacing w:before="0" w:beforeAutospacing="0" w:after="0" w:afterAutospacing="0"/>
        <w:jc w:val="center"/>
        <w:divId w:val="305475121"/>
        <w:rPr>
          <w:sz w:val="20"/>
          <w:szCs w:val="20"/>
        </w:rPr>
      </w:pPr>
      <w:r>
        <w:rPr>
          <w:b/>
          <w:bCs/>
          <w:sz w:val="20"/>
          <w:szCs w:val="20"/>
        </w:rPr>
        <w:t>SIGNATURES</w:t>
      </w:r>
    </w:p>
    <w:p w14:paraId="733E1BFA"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30C4291A"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xml:space="preserve">After due inquiry and to the </w:t>
      </w:r>
      <w:r>
        <w:rPr>
          <w:sz w:val="20"/>
          <w:szCs w:val="20"/>
        </w:rPr>
        <w:t>best of my knowledge and belief, I certify that the information set forth in this statement is true, complete and correct.</w:t>
      </w:r>
    </w:p>
    <w:p w14:paraId="706997D8"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5532"/>
        <w:gridCol w:w="289"/>
        <w:gridCol w:w="534"/>
        <w:gridCol w:w="3005"/>
      </w:tblGrid>
      <w:tr w:rsidR="00000000" w14:paraId="441D461E" w14:textId="77777777">
        <w:trPr>
          <w:divId w:val="305475121"/>
        </w:trPr>
        <w:tc>
          <w:tcPr>
            <w:tcW w:w="3000" w:type="pct"/>
            <w:hideMark/>
          </w:tcPr>
          <w:p w14:paraId="1DF32BA9" w14:textId="77777777" w:rsidR="00000000" w:rsidRDefault="002F725F">
            <w:pPr>
              <w:pStyle w:val="NormalWeb"/>
              <w:spacing w:before="0" w:beforeAutospacing="0" w:after="0" w:afterAutospacing="0"/>
              <w:rPr>
                <w:sz w:val="20"/>
                <w:szCs w:val="20"/>
              </w:rPr>
            </w:pPr>
            <w:r>
              <w:rPr>
                <w:sz w:val="20"/>
                <w:szCs w:val="20"/>
              </w:rPr>
              <w:t>Date: May 8, 2026</w:t>
            </w:r>
          </w:p>
        </w:tc>
        <w:tc>
          <w:tcPr>
            <w:tcW w:w="150" w:type="pct"/>
            <w:vAlign w:val="bottom"/>
            <w:hideMark/>
          </w:tcPr>
          <w:p w14:paraId="14DEC558" w14:textId="77777777" w:rsidR="00000000" w:rsidRDefault="002F725F">
            <w:pPr>
              <w:rPr>
                <w:rFonts w:eastAsia="Times New Roman"/>
                <w:sz w:val="20"/>
                <w:szCs w:val="20"/>
              </w:rPr>
            </w:pPr>
            <w:r>
              <w:rPr>
                <w:rFonts w:eastAsia="Times New Roman"/>
                <w:sz w:val="20"/>
                <w:szCs w:val="20"/>
              </w:rPr>
              <w:t> </w:t>
            </w:r>
          </w:p>
        </w:tc>
        <w:tc>
          <w:tcPr>
            <w:tcW w:w="200" w:type="pct"/>
            <w:vAlign w:val="bottom"/>
            <w:hideMark/>
          </w:tcPr>
          <w:p w14:paraId="4145775E" w14:textId="77777777" w:rsidR="00000000" w:rsidRDefault="002F725F">
            <w:pPr>
              <w:rPr>
                <w:rFonts w:eastAsia="Times New Roman"/>
                <w:sz w:val="20"/>
                <w:szCs w:val="20"/>
              </w:rPr>
            </w:pPr>
            <w:r>
              <w:rPr>
                <w:rFonts w:eastAsia="Times New Roman"/>
                <w:sz w:val="20"/>
                <w:szCs w:val="20"/>
              </w:rPr>
              <w:t> </w:t>
            </w:r>
          </w:p>
        </w:tc>
        <w:tc>
          <w:tcPr>
            <w:tcW w:w="1650" w:type="pct"/>
            <w:vAlign w:val="bottom"/>
            <w:hideMark/>
          </w:tcPr>
          <w:p w14:paraId="2101260B" w14:textId="77777777" w:rsidR="00000000" w:rsidRDefault="002F725F">
            <w:pPr>
              <w:rPr>
                <w:rFonts w:eastAsia="Times New Roman"/>
                <w:sz w:val="20"/>
                <w:szCs w:val="20"/>
              </w:rPr>
            </w:pPr>
            <w:r>
              <w:rPr>
                <w:rFonts w:eastAsia="Times New Roman"/>
                <w:sz w:val="20"/>
                <w:szCs w:val="20"/>
              </w:rPr>
              <w:t> </w:t>
            </w:r>
          </w:p>
        </w:tc>
      </w:tr>
      <w:tr w:rsidR="00000000" w14:paraId="0DF540C3" w14:textId="77777777">
        <w:trPr>
          <w:divId w:val="305475121"/>
        </w:trPr>
        <w:tc>
          <w:tcPr>
            <w:tcW w:w="0" w:type="auto"/>
            <w:hideMark/>
          </w:tcPr>
          <w:p w14:paraId="3217C9BC"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55A30D28"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6B3CABE4"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119B4D68" w14:textId="77777777" w:rsidR="00000000" w:rsidRDefault="002F725F">
            <w:pPr>
              <w:rPr>
                <w:rFonts w:eastAsia="Times New Roman"/>
                <w:sz w:val="20"/>
                <w:szCs w:val="20"/>
              </w:rPr>
            </w:pPr>
            <w:r>
              <w:rPr>
                <w:rFonts w:eastAsia="Times New Roman"/>
                <w:sz w:val="20"/>
                <w:szCs w:val="20"/>
              </w:rPr>
              <w:t> </w:t>
            </w:r>
          </w:p>
        </w:tc>
      </w:tr>
      <w:tr w:rsidR="00000000" w14:paraId="2A2AD2D6" w14:textId="77777777">
        <w:trPr>
          <w:divId w:val="305475121"/>
        </w:trPr>
        <w:tc>
          <w:tcPr>
            <w:tcW w:w="0" w:type="auto"/>
            <w:hideMark/>
          </w:tcPr>
          <w:p w14:paraId="14C2323D"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790E06E1" w14:textId="77777777" w:rsidR="00000000" w:rsidRDefault="002F725F">
            <w:pPr>
              <w:rPr>
                <w:rFonts w:eastAsia="Times New Roman"/>
                <w:sz w:val="20"/>
                <w:szCs w:val="20"/>
              </w:rPr>
            </w:pPr>
            <w:r>
              <w:rPr>
                <w:rFonts w:eastAsia="Times New Roman"/>
                <w:b/>
                <w:bCs/>
                <w:sz w:val="20"/>
                <w:szCs w:val="20"/>
              </w:rPr>
              <w:t>OCEANPINE SKYLINE INC.</w:t>
            </w:r>
          </w:p>
        </w:tc>
      </w:tr>
      <w:tr w:rsidR="00000000" w14:paraId="35471D9A" w14:textId="77777777">
        <w:trPr>
          <w:divId w:val="305475121"/>
        </w:trPr>
        <w:tc>
          <w:tcPr>
            <w:tcW w:w="0" w:type="auto"/>
            <w:hideMark/>
          </w:tcPr>
          <w:p w14:paraId="47E72133"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08F189FB" w14:textId="77777777" w:rsidR="00000000" w:rsidRDefault="002F725F">
            <w:pPr>
              <w:rPr>
                <w:rFonts w:eastAsia="Times New Roman"/>
                <w:sz w:val="20"/>
                <w:szCs w:val="20"/>
              </w:rPr>
            </w:pPr>
            <w:r>
              <w:rPr>
                <w:rFonts w:eastAsia="Times New Roman"/>
                <w:sz w:val="20"/>
                <w:szCs w:val="20"/>
              </w:rPr>
              <w:t> </w:t>
            </w:r>
          </w:p>
        </w:tc>
      </w:tr>
      <w:tr w:rsidR="00000000" w14:paraId="594D29C8" w14:textId="77777777">
        <w:trPr>
          <w:divId w:val="305475121"/>
        </w:trPr>
        <w:tc>
          <w:tcPr>
            <w:tcW w:w="0" w:type="auto"/>
            <w:hideMark/>
          </w:tcPr>
          <w:p w14:paraId="0447785D" w14:textId="77777777" w:rsidR="00000000" w:rsidRDefault="002F725F">
            <w:pPr>
              <w:rPr>
                <w:rFonts w:eastAsia="Times New Roman"/>
                <w:sz w:val="20"/>
                <w:szCs w:val="20"/>
              </w:rPr>
            </w:pPr>
            <w:r>
              <w:rPr>
                <w:rFonts w:eastAsia="Times New Roman"/>
                <w:sz w:val="20"/>
                <w:szCs w:val="20"/>
              </w:rPr>
              <w:t> </w:t>
            </w:r>
          </w:p>
        </w:tc>
        <w:tc>
          <w:tcPr>
            <w:tcW w:w="0" w:type="auto"/>
            <w:hideMark/>
          </w:tcPr>
          <w:p w14:paraId="44E12BFA" w14:textId="77777777" w:rsidR="00000000" w:rsidRDefault="002F725F">
            <w:pPr>
              <w:rPr>
                <w:rFonts w:eastAsia="Times New Roman"/>
                <w:sz w:val="20"/>
                <w:szCs w:val="20"/>
              </w:rPr>
            </w:pPr>
            <w:r>
              <w:rPr>
                <w:rFonts w:eastAsia="Times New Roman"/>
                <w:sz w:val="20"/>
                <w:szCs w:val="20"/>
              </w:rPr>
              <w:t>By:</w:t>
            </w:r>
          </w:p>
        </w:tc>
        <w:tc>
          <w:tcPr>
            <w:tcW w:w="0" w:type="auto"/>
            <w:gridSpan w:val="2"/>
            <w:tcBorders>
              <w:bottom w:val="single" w:sz="12" w:space="0" w:color="000000"/>
            </w:tcBorders>
            <w:hideMark/>
          </w:tcPr>
          <w:p w14:paraId="0D60E566" w14:textId="77777777" w:rsidR="00000000" w:rsidRDefault="002F725F">
            <w:pPr>
              <w:rPr>
                <w:rFonts w:eastAsia="Times New Roman"/>
                <w:sz w:val="20"/>
                <w:szCs w:val="20"/>
              </w:rPr>
            </w:pPr>
            <w:r>
              <w:rPr>
                <w:rFonts w:eastAsia="Times New Roman"/>
                <w:sz w:val="20"/>
                <w:szCs w:val="20"/>
              </w:rPr>
              <w:t>/s/ NAN Shaodeng   </w:t>
            </w:r>
          </w:p>
        </w:tc>
      </w:tr>
      <w:tr w:rsidR="00000000" w14:paraId="0FDD47C8" w14:textId="77777777">
        <w:trPr>
          <w:divId w:val="305475121"/>
        </w:trPr>
        <w:tc>
          <w:tcPr>
            <w:tcW w:w="0" w:type="auto"/>
            <w:hideMark/>
          </w:tcPr>
          <w:p w14:paraId="0048D28C" w14:textId="77777777" w:rsidR="00000000" w:rsidRDefault="002F725F">
            <w:pPr>
              <w:rPr>
                <w:rFonts w:eastAsia="Times New Roman"/>
                <w:sz w:val="20"/>
                <w:szCs w:val="20"/>
              </w:rPr>
            </w:pPr>
            <w:r>
              <w:rPr>
                <w:rFonts w:eastAsia="Times New Roman"/>
                <w:sz w:val="20"/>
                <w:szCs w:val="20"/>
              </w:rPr>
              <w:t> </w:t>
            </w:r>
          </w:p>
        </w:tc>
        <w:tc>
          <w:tcPr>
            <w:tcW w:w="0" w:type="auto"/>
            <w:hideMark/>
          </w:tcPr>
          <w:p w14:paraId="04C20620" w14:textId="77777777" w:rsidR="00000000" w:rsidRDefault="002F725F">
            <w:pPr>
              <w:rPr>
                <w:rFonts w:eastAsia="Times New Roman"/>
                <w:sz w:val="20"/>
                <w:szCs w:val="20"/>
              </w:rPr>
            </w:pPr>
            <w:r>
              <w:rPr>
                <w:rFonts w:eastAsia="Times New Roman"/>
                <w:sz w:val="20"/>
                <w:szCs w:val="20"/>
              </w:rPr>
              <w:t> </w:t>
            </w:r>
          </w:p>
        </w:tc>
        <w:tc>
          <w:tcPr>
            <w:tcW w:w="0" w:type="auto"/>
            <w:hideMark/>
          </w:tcPr>
          <w:p w14:paraId="2271B51F" w14:textId="77777777" w:rsidR="00000000" w:rsidRDefault="002F725F">
            <w:pPr>
              <w:rPr>
                <w:rFonts w:eastAsia="Times New Roman"/>
                <w:sz w:val="20"/>
                <w:szCs w:val="20"/>
              </w:rPr>
            </w:pPr>
            <w:r>
              <w:rPr>
                <w:rFonts w:eastAsia="Times New Roman"/>
                <w:sz w:val="20"/>
                <w:szCs w:val="20"/>
              </w:rPr>
              <w:t>Name:</w:t>
            </w:r>
          </w:p>
        </w:tc>
        <w:tc>
          <w:tcPr>
            <w:tcW w:w="0" w:type="auto"/>
            <w:vAlign w:val="bottom"/>
            <w:hideMark/>
          </w:tcPr>
          <w:p w14:paraId="7F3E30A6" w14:textId="77777777" w:rsidR="00000000" w:rsidRDefault="002F725F">
            <w:pPr>
              <w:rPr>
                <w:rFonts w:eastAsia="Times New Roman"/>
                <w:sz w:val="20"/>
                <w:szCs w:val="20"/>
              </w:rPr>
            </w:pPr>
            <w:r>
              <w:rPr>
                <w:rFonts w:eastAsia="Times New Roman"/>
                <w:sz w:val="20"/>
                <w:szCs w:val="20"/>
              </w:rPr>
              <w:t>NAN Shaodeng</w:t>
            </w:r>
          </w:p>
        </w:tc>
      </w:tr>
      <w:tr w:rsidR="00000000" w14:paraId="6622C5CF" w14:textId="77777777">
        <w:trPr>
          <w:divId w:val="305475121"/>
        </w:trPr>
        <w:tc>
          <w:tcPr>
            <w:tcW w:w="0" w:type="auto"/>
            <w:hideMark/>
          </w:tcPr>
          <w:p w14:paraId="37177C14" w14:textId="77777777" w:rsidR="00000000" w:rsidRDefault="002F725F">
            <w:pPr>
              <w:rPr>
                <w:rFonts w:eastAsia="Times New Roman"/>
                <w:sz w:val="20"/>
                <w:szCs w:val="20"/>
              </w:rPr>
            </w:pPr>
            <w:r>
              <w:rPr>
                <w:rFonts w:eastAsia="Times New Roman"/>
                <w:sz w:val="20"/>
                <w:szCs w:val="20"/>
              </w:rPr>
              <w:t> </w:t>
            </w:r>
          </w:p>
        </w:tc>
        <w:tc>
          <w:tcPr>
            <w:tcW w:w="0" w:type="auto"/>
            <w:hideMark/>
          </w:tcPr>
          <w:p w14:paraId="1AFFDC7E" w14:textId="77777777" w:rsidR="00000000" w:rsidRDefault="002F725F">
            <w:pPr>
              <w:rPr>
                <w:rFonts w:eastAsia="Times New Roman"/>
                <w:sz w:val="20"/>
                <w:szCs w:val="20"/>
              </w:rPr>
            </w:pPr>
            <w:r>
              <w:rPr>
                <w:rFonts w:eastAsia="Times New Roman"/>
                <w:sz w:val="20"/>
                <w:szCs w:val="20"/>
              </w:rPr>
              <w:t> </w:t>
            </w:r>
          </w:p>
        </w:tc>
        <w:tc>
          <w:tcPr>
            <w:tcW w:w="0" w:type="auto"/>
            <w:hideMark/>
          </w:tcPr>
          <w:p w14:paraId="64BA7D5A" w14:textId="77777777" w:rsidR="00000000" w:rsidRDefault="002F725F">
            <w:pPr>
              <w:rPr>
                <w:rFonts w:eastAsia="Times New Roman"/>
                <w:sz w:val="20"/>
                <w:szCs w:val="20"/>
              </w:rPr>
            </w:pPr>
            <w:r>
              <w:rPr>
                <w:rFonts w:eastAsia="Times New Roman"/>
                <w:sz w:val="20"/>
                <w:szCs w:val="20"/>
              </w:rPr>
              <w:t>Title:</w:t>
            </w:r>
          </w:p>
        </w:tc>
        <w:tc>
          <w:tcPr>
            <w:tcW w:w="0" w:type="auto"/>
            <w:vAlign w:val="bottom"/>
            <w:hideMark/>
          </w:tcPr>
          <w:p w14:paraId="6167CCA5" w14:textId="77777777" w:rsidR="00000000" w:rsidRDefault="002F725F">
            <w:pPr>
              <w:rPr>
                <w:rFonts w:eastAsia="Times New Roman"/>
                <w:sz w:val="20"/>
                <w:szCs w:val="20"/>
              </w:rPr>
            </w:pPr>
            <w:r>
              <w:rPr>
                <w:rFonts w:eastAsia="Times New Roman"/>
                <w:sz w:val="20"/>
                <w:szCs w:val="20"/>
              </w:rPr>
              <w:t>Director</w:t>
            </w:r>
          </w:p>
        </w:tc>
      </w:tr>
      <w:tr w:rsidR="00000000" w14:paraId="4BF067BB" w14:textId="77777777">
        <w:trPr>
          <w:divId w:val="305475121"/>
        </w:trPr>
        <w:tc>
          <w:tcPr>
            <w:tcW w:w="0" w:type="auto"/>
            <w:hideMark/>
          </w:tcPr>
          <w:p w14:paraId="5F0B774E" w14:textId="77777777" w:rsidR="00000000" w:rsidRDefault="002F725F">
            <w:pPr>
              <w:rPr>
                <w:rFonts w:eastAsia="Times New Roman"/>
                <w:sz w:val="20"/>
                <w:szCs w:val="20"/>
              </w:rPr>
            </w:pPr>
            <w:r>
              <w:rPr>
                <w:rFonts w:eastAsia="Times New Roman"/>
                <w:sz w:val="20"/>
                <w:szCs w:val="20"/>
              </w:rPr>
              <w:t> </w:t>
            </w:r>
          </w:p>
        </w:tc>
        <w:tc>
          <w:tcPr>
            <w:tcW w:w="0" w:type="auto"/>
            <w:hideMark/>
          </w:tcPr>
          <w:p w14:paraId="55ECD4C2" w14:textId="77777777" w:rsidR="00000000" w:rsidRDefault="002F725F">
            <w:pPr>
              <w:rPr>
                <w:rFonts w:eastAsia="Times New Roman"/>
                <w:sz w:val="20"/>
                <w:szCs w:val="20"/>
              </w:rPr>
            </w:pPr>
            <w:r>
              <w:rPr>
                <w:rFonts w:eastAsia="Times New Roman"/>
                <w:sz w:val="20"/>
                <w:szCs w:val="20"/>
              </w:rPr>
              <w:t> </w:t>
            </w:r>
          </w:p>
        </w:tc>
        <w:tc>
          <w:tcPr>
            <w:tcW w:w="0" w:type="auto"/>
            <w:hideMark/>
          </w:tcPr>
          <w:p w14:paraId="79AB061E"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31169F77" w14:textId="77777777" w:rsidR="00000000" w:rsidRDefault="002F725F">
            <w:pPr>
              <w:rPr>
                <w:rFonts w:eastAsia="Times New Roman"/>
                <w:sz w:val="20"/>
                <w:szCs w:val="20"/>
              </w:rPr>
            </w:pPr>
            <w:r>
              <w:rPr>
                <w:rFonts w:eastAsia="Times New Roman"/>
                <w:sz w:val="20"/>
                <w:szCs w:val="20"/>
              </w:rPr>
              <w:t> </w:t>
            </w:r>
          </w:p>
        </w:tc>
      </w:tr>
      <w:tr w:rsidR="00000000" w14:paraId="40B049F8" w14:textId="77777777">
        <w:trPr>
          <w:divId w:val="305475121"/>
        </w:trPr>
        <w:tc>
          <w:tcPr>
            <w:tcW w:w="0" w:type="auto"/>
            <w:hideMark/>
          </w:tcPr>
          <w:p w14:paraId="60C8400E"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7D4E5217" w14:textId="77777777" w:rsidR="00000000" w:rsidRDefault="002F725F">
            <w:pPr>
              <w:rPr>
                <w:rFonts w:eastAsia="Times New Roman"/>
                <w:sz w:val="20"/>
                <w:szCs w:val="20"/>
              </w:rPr>
            </w:pPr>
            <w:r>
              <w:rPr>
                <w:rFonts w:eastAsia="Times New Roman"/>
                <w:b/>
                <w:bCs/>
                <w:sz w:val="20"/>
                <w:szCs w:val="20"/>
              </w:rPr>
              <w:t>OCEANPINE MERGER SUB INC.</w:t>
            </w:r>
            <w:r>
              <w:rPr>
                <w:rFonts w:eastAsia="Times New Roman"/>
                <w:sz w:val="20"/>
                <w:szCs w:val="20"/>
              </w:rPr>
              <w:t xml:space="preserve">  </w:t>
            </w:r>
          </w:p>
        </w:tc>
      </w:tr>
      <w:tr w:rsidR="00000000" w14:paraId="11B40A79" w14:textId="77777777">
        <w:trPr>
          <w:divId w:val="305475121"/>
        </w:trPr>
        <w:tc>
          <w:tcPr>
            <w:tcW w:w="0" w:type="auto"/>
            <w:hideMark/>
          </w:tcPr>
          <w:p w14:paraId="4612949F"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51DC7652" w14:textId="77777777" w:rsidR="00000000" w:rsidRDefault="002F725F">
            <w:pPr>
              <w:rPr>
                <w:rFonts w:eastAsia="Times New Roman"/>
                <w:sz w:val="20"/>
                <w:szCs w:val="20"/>
              </w:rPr>
            </w:pPr>
            <w:r>
              <w:rPr>
                <w:rFonts w:eastAsia="Times New Roman"/>
                <w:sz w:val="20"/>
                <w:szCs w:val="20"/>
              </w:rPr>
              <w:t> </w:t>
            </w:r>
          </w:p>
        </w:tc>
      </w:tr>
      <w:tr w:rsidR="00000000" w14:paraId="2BB4AFAF" w14:textId="77777777">
        <w:trPr>
          <w:divId w:val="305475121"/>
        </w:trPr>
        <w:tc>
          <w:tcPr>
            <w:tcW w:w="0" w:type="auto"/>
            <w:hideMark/>
          </w:tcPr>
          <w:p w14:paraId="43027FE6" w14:textId="77777777" w:rsidR="00000000" w:rsidRDefault="002F725F">
            <w:pPr>
              <w:rPr>
                <w:rFonts w:eastAsia="Times New Roman"/>
                <w:sz w:val="20"/>
                <w:szCs w:val="20"/>
              </w:rPr>
            </w:pPr>
            <w:r>
              <w:rPr>
                <w:rFonts w:eastAsia="Times New Roman"/>
                <w:sz w:val="20"/>
                <w:szCs w:val="20"/>
              </w:rPr>
              <w:t> </w:t>
            </w:r>
          </w:p>
        </w:tc>
        <w:tc>
          <w:tcPr>
            <w:tcW w:w="0" w:type="auto"/>
            <w:hideMark/>
          </w:tcPr>
          <w:p w14:paraId="51F18062" w14:textId="77777777" w:rsidR="00000000" w:rsidRDefault="002F725F">
            <w:pPr>
              <w:rPr>
                <w:rFonts w:eastAsia="Times New Roman"/>
                <w:sz w:val="20"/>
                <w:szCs w:val="20"/>
              </w:rPr>
            </w:pPr>
            <w:r>
              <w:rPr>
                <w:rFonts w:eastAsia="Times New Roman"/>
                <w:sz w:val="20"/>
                <w:szCs w:val="20"/>
              </w:rPr>
              <w:t>By:</w:t>
            </w:r>
          </w:p>
        </w:tc>
        <w:tc>
          <w:tcPr>
            <w:tcW w:w="0" w:type="auto"/>
            <w:gridSpan w:val="2"/>
            <w:tcBorders>
              <w:bottom w:val="single" w:sz="12" w:space="0" w:color="000000"/>
            </w:tcBorders>
            <w:hideMark/>
          </w:tcPr>
          <w:p w14:paraId="38D703AC" w14:textId="77777777" w:rsidR="00000000" w:rsidRDefault="002F725F">
            <w:pPr>
              <w:rPr>
                <w:rFonts w:eastAsia="Times New Roman"/>
                <w:sz w:val="20"/>
                <w:szCs w:val="20"/>
              </w:rPr>
            </w:pPr>
            <w:r>
              <w:rPr>
                <w:rFonts w:eastAsia="Times New Roman"/>
                <w:sz w:val="20"/>
                <w:szCs w:val="20"/>
              </w:rPr>
              <w:t>/s/ NAN Shaodeng   </w:t>
            </w:r>
          </w:p>
        </w:tc>
      </w:tr>
      <w:tr w:rsidR="00000000" w14:paraId="5EF5F863" w14:textId="77777777">
        <w:trPr>
          <w:divId w:val="305475121"/>
        </w:trPr>
        <w:tc>
          <w:tcPr>
            <w:tcW w:w="0" w:type="auto"/>
            <w:hideMark/>
          </w:tcPr>
          <w:p w14:paraId="4DC48A04" w14:textId="77777777" w:rsidR="00000000" w:rsidRDefault="002F725F">
            <w:pPr>
              <w:rPr>
                <w:rFonts w:eastAsia="Times New Roman"/>
                <w:sz w:val="20"/>
                <w:szCs w:val="20"/>
              </w:rPr>
            </w:pPr>
            <w:r>
              <w:rPr>
                <w:rFonts w:eastAsia="Times New Roman"/>
                <w:sz w:val="20"/>
                <w:szCs w:val="20"/>
              </w:rPr>
              <w:t> </w:t>
            </w:r>
          </w:p>
        </w:tc>
        <w:tc>
          <w:tcPr>
            <w:tcW w:w="0" w:type="auto"/>
            <w:hideMark/>
          </w:tcPr>
          <w:p w14:paraId="07EF9333" w14:textId="77777777" w:rsidR="00000000" w:rsidRDefault="002F725F">
            <w:pPr>
              <w:rPr>
                <w:rFonts w:eastAsia="Times New Roman"/>
                <w:sz w:val="20"/>
                <w:szCs w:val="20"/>
              </w:rPr>
            </w:pPr>
            <w:r>
              <w:rPr>
                <w:rFonts w:eastAsia="Times New Roman"/>
                <w:sz w:val="20"/>
                <w:szCs w:val="20"/>
              </w:rPr>
              <w:t> </w:t>
            </w:r>
          </w:p>
        </w:tc>
        <w:tc>
          <w:tcPr>
            <w:tcW w:w="0" w:type="auto"/>
            <w:hideMark/>
          </w:tcPr>
          <w:p w14:paraId="0CEEB38B" w14:textId="77777777" w:rsidR="00000000" w:rsidRDefault="002F725F">
            <w:pPr>
              <w:rPr>
                <w:rFonts w:eastAsia="Times New Roman"/>
                <w:sz w:val="20"/>
                <w:szCs w:val="20"/>
              </w:rPr>
            </w:pPr>
            <w:r>
              <w:rPr>
                <w:rFonts w:eastAsia="Times New Roman"/>
                <w:sz w:val="20"/>
                <w:szCs w:val="20"/>
              </w:rPr>
              <w:t>Name:</w:t>
            </w:r>
          </w:p>
        </w:tc>
        <w:tc>
          <w:tcPr>
            <w:tcW w:w="0" w:type="auto"/>
            <w:vAlign w:val="bottom"/>
            <w:hideMark/>
          </w:tcPr>
          <w:p w14:paraId="3C6A8ED3" w14:textId="77777777" w:rsidR="00000000" w:rsidRDefault="002F725F">
            <w:pPr>
              <w:rPr>
                <w:rFonts w:eastAsia="Times New Roman"/>
                <w:sz w:val="20"/>
                <w:szCs w:val="20"/>
              </w:rPr>
            </w:pPr>
            <w:r>
              <w:rPr>
                <w:rFonts w:eastAsia="Times New Roman"/>
                <w:sz w:val="20"/>
                <w:szCs w:val="20"/>
              </w:rPr>
              <w:t>NAN Shaodeng</w:t>
            </w:r>
          </w:p>
        </w:tc>
      </w:tr>
      <w:tr w:rsidR="00000000" w14:paraId="6398CE40" w14:textId="77777777">
        <w:trPr>
          <w:divId w:val="305475121"/>
        </w:trPr>
        <w:tc>
          <w:tcPr>
            <w:tcW w:w="0" w:type="auto"/>
            <w:hideMark/>
          </w:tcPr>
          <w:p w14:paraId="1D46CF99" w14:textId="77777777" w:rsidR="00000000" w:rsidRDefault="002F725F">
            <w:pPr>
              <w:rPr>
                <w:rFonts w:eastAsia="Times New Roman"/>
                <w:sz w:val="20"/>
                <w:szCs w:val="20"/>
              </w:rPr>
            </w:pPr>
            <w:r>
              <w:rPr>
                <w:rFonts w:eastAsia="Times New Roman"/>
                <w:sz w:val="20"/>
                <w:szCs w:val="20"/>
              </w:rPr>
              <w:t> </w:t>
            </w:r>
          </w:p>
        </w:tc>
        <w:tc>
          <w:tcPr>
            <w:tcW w:w="0" w:type="auto"/>
            <w:hideMark/>
          </w:tcPr>
          <w:p w14:paraId="4096EE0F" w14:textId="77777777" w:rsidR="00000000" w:rsidRDefault="002F725F">
            <w:pPr>
              <w:rPr>
                <w:rFonts w:eastAsia="Times New Roman"/>
                <w:sz w:val="20"/>
                <w:szCs w:val="20"/>
              </w:rPr>
            </w:pPr>
            <w:r>
              <w:rPr>
                <w:rFonts w:eastAsia="Times New Roman"/>
                <w:sz w:val="20"/>
                <w:szCs w:val="20"/>
              </w:rPr>
              <w:t> </w:t>
            </w:r>
          </w:p>
        </w:tc>
        <w:tc>
          <w:tcPr>
            <w:tcW w:w="0" w:type="auto"/>
            <w:hideMark/>
          </w:tcPr>
          <w:p w14:paraId="7937883E" w14:textId="77777777" w:rsidR="00000000" w:rsidRDefault="002F725F">
            <w:pPr>
              <w:rPr>
                <w:rFonts w:eastAsia="Times New Roman"/>
                <w:sz w:val="20"/>
                <w:szCs w:val="20"/>
              </w:rPr>
            </w:pPr>
            <w:r>
              <w:rPr>
                <w:rFonts w:eastAsia="Times New Roman"/>
                <w:sz w:val="20"/>
                <w:szCs w:val="20"/>
              </w:rPr>
              <w:t>Title:</w:t>
            </w:r>
          </w:p>
        </w:tc>
        <w:tc>
          <w:tcPr>
            <w:tcW w:w="0" w:type="auto"/>
            <w:vAlign w:val="bottom"/>
            <w:hideMark/>
          </w:tcPr>
          <w:p w14:paraId="6272A7B6" w14:textId="77777777" w:rsidR="00000000" w:rsidRDefault="002F725F">
            <w:pPr>
              <w:rPr>
                <w:rFonts w:eastAsia="Times New Roman"/>
                <w:sz w:val="20"/>
                <w:szCs w:val="20"/>
              </w:rPr>
            </w:pPr>
            <w:r>
              <w:rPr>
                <w:rFonts w:eastAsia="Times New Roman"/>
                <w:sz w:val="20"/>
                <w:szCs w:val="20"/>
              </w:rPr>
              <w:t>Director</w:t>
            </w:r>
          </w:p>
        </w:tc>
      </w:tr>
      <w:tr w:rsidR="00000000" w14:paraId="4E3BBB22" w14:textId="77777777">
        <w:trPr>
          <w:divId w:val="305475121"/>
        </w:trPr>
        <w:tc>
          <w:tcPr>
            <w:tcW w:w="0" w:type="auto"/>
            <w:hideMark/>
          </w:tcPr>
          <w:p w14:paraId="782D64FB" w14:textId="77777777" w:rsidR="00000000" w:rsidRDefault="002F725F">
            <w:pPr>
              <w:rPr>
                <w:rFonts w:eastAsia="Times New Roman"/>
                <w:sz w:val="20"/>
                <w:szCs w:val="20"/>
              </w:rPr>
            </w:pPr>
            <w:r>
              <w:rPr>
                <w:rFonts w:eastAsia="Times New Roman"/>
                <w:sz w:val="20"/>
                <w:szCs w:val="20"/>
              </w:rPr>
              <w:t> </w:t>
            </w:r>
          </w:p>
        </w:tc>
        <w:tc>
          <w:tcPr>
            <w:tcW w:w="0" w:type="auto"/>
            <w:hideMark/>
          </w:tcPr>
          <w:p w14:paraId="0087FB6E" w14:textId="77777777" w:rsidR="00000000" w:rsidRDefault="002F725F">
            <w:pPr>
              <w:rPr>
                <w:rFonts w:eastAsia="Times New Roman"/>
                <w:sz w:val="20"/>
                <w:szCs w:val="20"/>
              </w:rPr>
            </w:pPr>
            <w:r>
              <w:rPr>
                <w:rFonts w:eastAsia="Times New Roman"/>
                <w:sz w:val="20"/>
                <w:szCs w:val="20"/>
              </w:rPr>
              <w:t> </w:t>
            </w:r>
          </w:p>
        </w:tc>
        <w:tc>
          <w:tcPr>
            <w:tcW w:w="0" w:type="auto"/>
            <w:hideMark/>
          </w:tcPr>
          <w:p w14:paraId="7BC56361"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5E8277D3" w14:textId="77777777" w:rsidR="00000000" w:rsidRDefault="002F725F">
            <w:pPr>
              <w:rPr>
                <w:rFonts w:eastAsia="Times New Roman"/>
                <w:sz w:val="20"/>
                <w:szCs w:val="20"/>
              </w:rPr>
            </w:pPr>
            <w:r>
              <w:rPr>
                <w:rFonts w:eastAsia="Times New Roman"/>
                <w:sz w:val="20"/>
                <w:szCs w:val="20"/>
              </w:rPr>
              <w:t> </w:t>
            </w:r>
          </w:p>
        </w:tc>
      </w:tr>
      <w:tr w:rsidR="00000000" w14:paraId="2AD421BF" w14:textId="77777777">
        <w:trPr>
          <w:divId w:val="305475121"/>
        </w:trPr>
        <w:tc>
          <w:tcPr>
            <w:tcW w:w="0" w:type="auto"/>
            <w:hideMark/>
          </w:tcPr>
          <w:p w14:paraId="6486ED41"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2748B1A7" w14:textId="77777777" w:rsidR="00000000" w:rsidRDefault="002F725F">
            <w:pPr>
              <w:rPr>
                <w:rFonts w:eastAsia="Times New Roman"/>
                <w:sz w:val="20"/>
                <w:szCs w:val="20"/>
              </w:rPr>
            </w:pPr>
            <w:r>
              <w:rPr>
                <w:rFonts w:eastAsia="Times New Roman"/>
                <w:b/>
                <w:bCs/>
                <w:sz w:val="20"/>
                <w:szCs w:val="20"/>
              </w:rPr>
              <w:t>OCEANPINE CAPITAL INC.</w:t>
            </w:r>
            <w:r>
              <w:rPr>
                <w:rFonts w:eastAsia="Times New Roman"/>
                <w:sz w:val="20"/>
                <w:szCs w:val="20"/>
              </w:rPr>
              <w:t xml:space="preserve">  </w:t>
            </w:r>
          </w:p>
        </w:tc>
      </w:tr>
      <w:tr w:rsidR="00000000" w14:paraId="04387F4F" w14:textId="77777777">
        <w:trPr>
          <w:divId w:val="305475121"/>
        </w:trPr>
        <w:tc>
          <w:tcPr>
            <w:tcW w:w="0" w:type="auto"/>
            <w:hideMark/>
          </w:tcPr>
          <w:p w14:paraId="271F5A34"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78D4511B" w14:textId="77777777" w:rsidR="00000000" w:rsidRDefault="002F725F">
            <w:pPr>
              <w:rPr>
                <w:rFonts w:eastAsia="Times New Roman"/>
                <w:sz w:val="20"/>
                <w:szCs w:val="20"/>
              </w:rPr>
            </w:pPr>
            <w:r>
              <w:rPr>
                <w:rFonts w:eastAsia="Times New Roman"/>
                <w:sz w:val="20"/>
                <w:szCs w:val="20"/>
              </w:rPr>
              <w:t> </w:t>
            </w:r>
          </w:p>
        </w:tc>
      </w:tr>
      <w:tr w:rsidR="00000000" w14:paraId="65124A58" w14:textId="77777777">
        <w:trPr>
          <w:divId w:val="305475121"/>
        </w:trPr>
        <w:tc>
          <w:tcPr>
            <w:tcW w:w="0" w:type="auto"/>
            <w:hideMark/>
          </w:tcPr>
          <w:p w14:paraId="0678AEFA" w14:textId="77777777" w:rsidR="00000000" w:rsidRDefault="002F725F">
            <w:pPr>
              <w:rPr>
                <w:rFonts w:eastAsia="Times New Roman"/>
                <w:sz w:val="20"/>
                <w:szCs w:val="20"/>
              </w:rPr>
            </w:pPr>
            <w:r>
              <w:rPr>
                <w:rFonts w:eastAsia="Times New Roman"/>
                <w:sz w:val="20"/>
                <w:szCs w:val="20"/>
              </w:rPr>
              <w:t> </w:t>
            </w:r>
          </w:p>
        </w:tc>
        <w:tc>
          <w:tcPr>
            <w:tcW w:w="0" w:type="auto"/>
            <w:hideMark/>
          </w:tcPr>
          <w:p w14:paraId="5EDD65EA" w14:textId="77777777" w:rsidR="00000000" w:rsidRDefault="002F725F">
            <w:pPr>
              <w:rPr>
                <w:rFonts w:eastAsia="Times New Roman"/>
                <w:sz w:val="20"/>
                <w:szCs w:val="20"/>
              </w:rPr>
            </w:pPr>
            <w:r>
              <w:rPr>
                <w:rFonts w:eastAsia="Times New Roman"/>
                <w:sz w:val="20"/>
                <w:szCs w:val="20"/>
              </w:rPr>
              <w:t>By:</w:t>
            </w:r>
          </w:p>
        </w:tc>
        <w:tc>
          <w:tcPr>
            <w:tcW w:w="0" w:type="auto"/>
            <w:gridSpan w:val="2"/>
            <w:tcBorders>
              <w:bottom w:val="single" w:sz="12" w:space="0" w:color="000000"/>
            </w:tcBorders>
            <w:hideMark/>
          </w:tcPr>
          <w:p w14:paraId="6E9BAB94" w14:textId="77777777" w:rsidR="00000000" w:rsidRDefault="002F725F">
            <w:pPr>
              <w:rPr>
                <w:rFonts w:eastAsia="Times New Roman"/>
                <w:sz w:val="20"/>
                <w:szCs w:val="20"/>
              </w:rPr>
            </w:pPr>
            <w:r>
              <w:rPr>
                <w:rFonts w:eastAsia="Times New Roman"/>
                <w:sz w:val="20"/>
                <w:szCs w:val="20"/>
              </w:rPr>
              <w:t>/s/ Jiayu Yang  </w:t>
            </w:r>
          </w:p>
        </w:tc>
      </w:tr>
      <w:tr w:rsidR="00000000" w14:paraId="426830E0" w14:textId="77777777">
        <w:trPr>
          <w:divId w:val="305475121"/>
        </w:trPr>
        <w:tc>
          <w:tcPr>
            <w:tcW w:w="0" w:type="auto"/>
            <w:hideMark/>
          </w:tcPr>
          <w:p w14:paraId="09BAFC4C" w14:textId="77777777" w:rsidR="00000000" w:rsidRDefault="002F725F">
            <w:pPr>
              <w:rPr>
                <w:rFonts w:eastAsia="Times New Roman"/>
                <w:sz w:val="20"/>
                <w:szCs w:val="20"/>
              </w:rPr>
            </w:pPr>
            <w:r>
              <w:rPr>
                <w:rFonts w:eastAsia="Times New Roman"/>
                <w:sz w:val="20"/>
                <w:szCs w:val="20"/>
              </w:rPr>
              <w:t> </w:t>
            </w:r>
          </w:p>
        </w:tc>
        <w:tc>
          <w:tcPr>
            <w:tcW w:w="0" w:type="auto"/>
            <w:hideMark/>
          </w:tcPr>
          <w:p w14:paraId="656D996B" w14:textId="77777777" w:rsidR="00000000" w:rsidRDefault="002F725F">
            <w:pPr>
              <w:rPr>
                <w:rFonts w:eastAsia="Times New Roman"/>
                <w:sz w:val="20"/>
                <w:szCs w:val="20"/>
              </w:rPr>
            </w:pPr>
            <w:r>
              <w:rPr>
                <w:rFonts w:eastAsia="Times New Roman"/>
                <w:sz w:val="20"/>
                <w:szCs w:val="20"/>
              </w:rPr>
              <w:t> </w:t>
            </w:r>
          </w:p>
        </w:tc>
        <w:tc>
          <w:tcPr>
            <w:tcW w:w="0" w:type="auto"/>
            <w:hideMark/>
          </w:tcPr>
          <w:p w14:paraId="38A38559" w14:textId="77777777" w:rsidR="00000000" w:rsidRDefault="002F725F">
            <w:pPr>
              <w:rPr>
                <w:rFonts w:eastAsia="Times New Roman"/>
                <w:sz w:val="20"/>
                <w:szCs w:val="20"/>
              </w:rPr>
            </w:pPr>
            <w:r>
              <w:rPr>
                <w:rFonts w:eastAsia="Times New Roman"/>
                <w:sz w:val="20"/>
                <w:szCs w:val="20"/>
              </w:rPr>
              <w:t>Name:</w:t>
            </w:r>
          </w:p>
        </w:tc>
        <w:tc>
          <w:tcPr>
            <w:tcW w:w="0" w:type="auto"/>
            <w:vAlign w:val="bottom"/>
            <w:hideMark/>
          </w:tcPr>
          <w:p w14:paraId="743F7B40" w14:textId="77777777" w:rsidR="00000000" w:rsidRDefault="002F725F">
            <w:pPr>
              <w:rPr>
                <w:rFonts w:eastAsia="Times New Roman"/>
                <w:sz w:val="20"/>
                <w:szCs w:val="20"/>
              </w:rPr>
            </w:pPr>
            <w:r>
              <w:rPr>
                <w:rFonts w:eastAsia="Times New Roman"/>
                <w:sz w:val="20"/>
                <w:szCs w:val="20"/>
              </w:rPr>
              <w:t>Jiayu Yang</w:t>
            </w:r>
          </w:p>
        </w:tc>
      </w:tr>
      <w:tr w:rsidR="00000000" w14:paraId="560FF0B5" w14:textId="77777777">
        <w:trPr>
          <w:divId w:val="305475121"/>
        </w:trPr>
        <w:tc>
          <w:tcPr>
            <w:tcW w:w="0" w:type="auto"/>
            <w:hideMark/>
          </w:tcPr>
          <w:p w14:paraId="3227C722" w14:textId="77777777" w:rsidR="00000000" w:rsidRDefault="002F725F">
            <w:pPr>
              <w:rPr>
                <w:rFonts w:eastAsia="Times New Roman"/>
                <w:sz w:val="20"/>
                <w:szCs w:val="20"/>
              </w:rPr>
            </w:pPr>
            <w:r>
              <w:rPr>
                <w:rFonts w:eastAsia="Times New Roman"/>
                <w:sz w:val="20"/>
                <w:szCs w:val="20"/>
              </w:rPr>
              <w:t> </w:t>
            </w:r>
          </w:p>
        </w:tc>
        <w:tc>
          <w:tcPr>
            <w:tcW w:w="0" w:type="auto"/>
            <w:hideMark/>
          </w:tcPr>
          <w:p w14:paraId="3B0F4150" w14:textId="77777777" w:rsidR="00000000" w:rsidRDefault="002F725F">
            <w:pPr>
              <w:rPr>
                <w:rFonts w:eastAsia="Times New Roman"/>
                <w:sz w:val="20"/>
                <w:szCs w:val="20"/>
              </w:rPr>
            </w:pPr>
            <w:r>
              <w:rPr>
                <w:rFonts w:eastAsia="Times New Roman"/>
                <w:sz w:val="20"/>
                <w:szCs w:val="20"/>
              </w:rPr>
              <w:t> </w:t>
            </w:r>
          </w:p>
        </w:tc>
        <w:tc>
          <w:tcPr>
            <w:tcW w:w="0" w:type="auto"/>
            <w:hideMark/>
          </w:tcPr>
          <w:p w14:paraId="53496B5C" w14:textId="77777777" w:rsidR="00000000" w:rsidRDefault="002F725F">
            <w:pPr>
              <w:rPr>
                <w:rFonts w:eastAsia="Times New Roman"/>
                <w:sz w:val="20"/>
                <w:szCs w:val="20"/>
              </w:rPr>
            </w:pPr>
            <w:r>
              <w:rPr>
                <w:rFonts w:eastAsia="Times New Roman"/>
                <w:sz w:val="20"/>
                <w:szCs w:val="20"/>
              </w:rPr>
              <w:t>Title:</w:t>
            </w:r>
          </w:p>
        </w:tc>
        <w:tc>
          <w:tcPr>
            <w:tcW w:w="0" w:type="auto"/>
            <w:vAlign w:val="bottom"/>
            <w:hideMark/>
          </w:tcPr>
          <w:p w14:paraId="42A88555" w14:textId="77777777" w:rsidR="00000000" w:rsidRDefault="002F725F">
            <w:pPr>
              <w:rPr>
                <w:rFonts w:eastAsia="Times New Roman"/>
                <w:sz w:val="20"/>
                <w:szCs w:val="20"/>
              </w:rPr>
            </w:pPr>
            <w:r>
              <w:rPr>
                <w:rFonts w:eastAsia="Times New Roman"/>
                <w:sz w:val="20"/>
                <w:szCs w:val="20"/>
              </w:rPr>
              <w:t>Director</w:t>
            </w:r>
          </w:p>
        </w:tc>
      </w:tr>
      <w:tr w:rsidR="00000000" w14:paraId="5F3FF71F" w14:textId="77777777">
        <w:trPr>
          <w:divId w:val="305475121"/>
        </w:trPr>
        <w:tc>
          <w:tcPr>
            <w:tcW w:w="0" w:type="auto"/>
            <w:hideMark/>
          </w:tcPr>
          <w:p w14:paraId="3C923FFF" w14:textId="77777777" w:rsidR="00000000" w:rsidRDefault="002F725F">
            <w:pPr>
              <w:rPr>
                <w:rFonts w:eastAsia="Times New Roman"/>
                <w:sz w:val="20"/>
                <w:szCs w:val="20"/>
              </w:rPr>
            </w:pPr>
            <w:r>
              <w:rPr>
                <w:rFonts w:eastAsia="Times New Roman"/>
                <w:sz w:val="20"/>
                <w:szCs w:val="20"/>
              </w:rPr>
              <w:t> </w:t>
            </w:r>
          </w:p>
        </w:tc>
        <w:tc>
          <w:tcPr>
            <w:tcW w:w="0" w:type="auto"/>
            <w:hideMark/>
          </w:tcPr>
          <w:p w14:paraId="51ADF739" w14:textId="77777777" w:rsidR="00000000" w:rsidRDefault="002F725F">
            <w:pPr>
              <w:rPr>
                <w:rFonts w:eastAsia="Times New Roman"/>
                <w:sz w:val="20"/>
                <w:szCs w:val="20"/>
              </w:rPr>
            </w:pPr>
            <w:r>
              <w:rPr>
                <w:rFonts w:eastAsia="Times New Roman"/>
                <w:sz w:val="20"/>
                <w:szCs w:val="20"/>
              </w:rPr>
              <w:t> </w:t>
            </w:r>
          </w:p>
        </w:tc>
        <w:tc>
          <w:tcPr>
            <w:tcW w:w="0" w:type="auto"/>
            <w:hideMark/>
          </w:tcPr>
          <w:p w14:paraId="19F21A87"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77F07831" w14:textId="77777777" w:rsidR="00000000" w:rsidRDefault="002F725F">
            <w:pPr>
              <w:rPr>
                <w:rFonts w:eastAsia="Times New Roman"/>
                <w:sz w:val="20"/>
                <w:szCs w:val="20"/>
              </w:rPr>
            </w:pPr>
            <w:r>
              <w:rPr>
                <w:rFonts w:eastAsia="Times New Roman"/>
                <w:sz w:val="20"/>
                <w:szCs w:val="20"/>
              </w:rPr>
              <w:t>   </w:t>
            </w:r>
          </w:p>
        </w:tc>
      </w:tr>
      <w:tr w:rsidR="00000000" w14:paraId="189F4AAB" w14:textId="77777777">
        <w:trPr>
          <w:divId w:val="305475121"/>
        </w:trPr>
        <w:tc>
          <w:tcPr>
            <w:tcW w:w="0" w:type="auto"/>
            <w:hideMark/>
          </w:tcPr>
          <w:p w14:paraId="33F83BE6"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551EC603" w14:textId="77777777" w:rsidR="00000000" w:rsidRDefault="002F725F">
            <w:pPr>
              <w:rPr>
                <w:rFonts w:eastAsia="Times New Roman"/>
                <w:sz w:val="20"/>
                <w:szCs w:val="20"/>
              </w:rPr>
            </w:pPr>
            <w:r>
              <w:rPr>
                <w:rFonts w:eastAsia="Times New Roman"/>
                <w:b/>
                <w:bCs/>
                <w:sz w:val="20"/>
                <w:szCs w:val="20"/>
              </w:rPr>
              <w:t>OCEANPINE INVESTMENT FUND II LP  </w:t>
            </w:r>
          </w:p>
        </w:tc>
      </w:tr>
      <w:tr w:rsidR="00000000" w14:paraId="26171CD5" w14:textId="77777777">
        <w:trPr>
          <w:divId w:val="305475121"/>
        </w:trPr>
        <w:tc>
          <w:tcPr>
            <w:tcW w:w="0" w:type="auto"/>
            <w:hideMark/>
          </w:tcPr>
          <w:p w14:paraId="320032FA"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4CB064C8" w14:textId="77777777" w:rsidR="00000000" w:rsidRDefault="002F725F">
            <w:pPr>
              <w:rPr>
                <w:rFonts w:eastAsia="Times New Roman"/>
                <w:sz w:val="20"/>
                <w:szCs w:val="20"/>
              </w:rPr>
            </w:pPr>
            <w:r>
              <w:rPr>
                <w:rFonts w:eastAsia="Times New Roman"/>
                <w:sz w:val="20"/>
                <w:szCs w:val="20"/>
              </w:rPr>
              <w:t> </w:t>
            </w:r>
          </w:p>
        </w:tc>
      </w:tr>
      <w:tr w:rsidR="00000000" w14:paraId="2A0B4EDC" w14:textId="77777777">
        <w:trPr>
          <w:divId w:val="305475121"/>
        </w:trPr>
        <w:tc>
          <w:tcPr>
            <w:tcW w:w="0" w:type="auto"/>
            <w:hideMark/>
          </w:tcPr>
          <w:p w14:paraId="5FB9D87D" w14:textId="77777777" w:rsidR="00000000" w:rsidRDefault="002F725F">
            <w:pPr>
              <w:rPr>
                <w:rFonts w:eastAsia="Times New Roman"/>
                <w:sz w:val="20"/>
                <w:szCs w:val="20"/>
              </w:rPr>
            </w:pPr>
            <w:r>
              <w:rPr>
                <w:rFonts w:eastAsia="Times New Roman"/>
                <w:sz w:val="20"/>
                <w:szCs w:val="20"/>
              </w:rPr>
              <w:t> </w:t>
            </w:r>
          </w:p>
        </w:tc>
        <w:tc>
          <w:tcPr>
            <w:tcW w:w="0" w:type="auto"/>
            <w:hideMark/>
          </w:tcPr>
          <w:p w14:paraId="77B32DB1" w14:textId="77777777" w:rsidR="00000000" w:rsidRDefault="002F725F">
            <w:pPr>
              <w:rPr>
                <w:rFonts w:eastAsia="Times New Roman"/>
                <w:sz w:val="20"/>
                <w:szCs w:val="20"/>
              </w:rPr>
            </w:pPr>
            <w:r>
              <w:rPr>
                <w:rFonts w:eastAsia="Times New Roman"/>
                <w:sz w:val="20"/>
                <w:szCs w:val="20"/>
              </w:rPr>
              <w:t>By:</w:t>
            </w:r>
          </w:p>
        </w:tc>
        <w:tc>
          <w:tcPr>
            <w:tcW w:w="0" w:type="auto"/>
            <w:gridSpan w:val="2"/>
            <w:tcBorders>
              <w:bottom w:val="single" w:sz="12" w:space="0" w:color="000000"/>
            </w:tcBorders>
            <w:hideMark/>
          </w:tcPr>
          <w:p w14:paraId="2FECC9ED" w14:textId="77777777" w:rsidR="00000000" w:rsidRDefault="002F725F">
            <w:pPr>
              <w:rPr>
                <w:rFonts w:eastAsia="Times New Roman"/>
                <w:sz w:val="20"/>
                <w:szCs w:val="20"/>
              </w:rPr>
            </w:pPr>
            <w:r>
              <w:rPr>
                <w:rFonts w:eastAsia="Times New Roman"/>
                <w:sz w:val="20"/>
                <w:szCs w:val="20"/>
              </w:rPr>
              <w:t>/s/ Dave Liguang Chenn  </w:t>
            </w:r>
          </w:p>
        </w:tc>
      </w:tr>
      <w:tr w:rsidR="00000000" w14:paraId="0AA0C245" w14:textId="77777777">
        <w:trPr>
          <w:divId w:val="305475121"/>
        </w:trPr>
        <w:tc>
          <w:tcPr>
            <w:tcW w:w="0" w:type="auto"/>
            <w:hideMark/>
          </w:tcPr>
          <w:p w14:paraId="0EDD0586" w14:textId="77777777" w:rsidR="00000000" w:rsidRDefault="002F725F">
            <w:pPr>
              <w:rPr>
                <w:rFonts w:eastAsia="Times New Roman"/>
                <w:sz w:val="20"/>
                <w:szCs w:val="20"/>
              </w:rPr>
            </w:pPr>
            <w:r>
              <w:rPr>
                <w:rFonts w:eastAsia="Times New Roman"/>
                <w:sz w:val="20"/>
                <w:szCs w:val="20"/>
              </w:rPr>
              <w:t> </w:t>
            </w:r>
          </w:p>
        </w:tc>
        <w:tc>
          <w:tcPr>
            <w:tcW w:w="0" w:type="auto"/>
            <w:hideMark/>
          </w:tcPr>
          <w:p w14:paraId="5029909D" w14:textId="77777777" w:rsidR="00000000" w:rsidRDefault="002F725F">
            <w:pPr>
              <w:rPr>
                <w:rFonts w:eastAsia="Times New Roman"/>
                <w:sz w:val="20"/>
                <w:szCs w:val="20"/>
              </w:rPr>
            </w:pPr>
            <w:r>
              <w:rPr>
                <w:rFonts w:eastAsia="Times New Roman"/>
                <w:sz w:val="20"/>
                <w:szCs w:val="20"/>
              </w:rPr>
              <w:t> </w:t>
            </w:r>
          </w:p>
        </w:tc>
        <w:tc>
          <w:tcPr>
            <w:tcW w:w="0" w:type="auto"/>
            <w:hideMark/>
          </w:tcPr>
          <w:p w14:paraId="659DB3F2" w14:textId="77777777" w:rsidR="00000000" w:rsidRDefault="002F725F">
            <w:pPr>
              <w:rPr>
                <w:rFonts w:eastAsia="Times New Roman"/>
                <w:sz w:val="20"/>
                <w:szCs w:val="20"/>
              </w:rPr>
            </w:pPr>
            <w:r>
              <w:rPr>
                <w:rFonts w:eastAsia="Times New Roman"/>
                <w:sz w:val="20"/>
                <w:szCs w:val="20"/>
              </w:rPr>
              <w:t>Name:</w:t>
            </w:r>
          </w:p>
        </w:tc>
        <w:tc>
          <w:tcPr>
            <w:tcW w:w="0" w:type="auto"/>
            <w:vAlign w:val="bottom"/>
            <w:hideMark/>
          </w:tcPr>
          <w:p w14:paraId="6E0D2DBE" w14:textId="77777777" w:rsidR="00000000" w:rsidRDefault="002F725F">
            <w:pPr>
              <w:rPr>
                <w:rFonts w:eastAsia="Times New Roman"/>
                <w:sz w:val="20"/>
                <w:szCs w:val="20"/>
              </w:rPr>
            </w:pPr>
            <w:r>
              <w:rPr>
                <w:rFonts w:eastAsia="Times New Roman"/>
                <w:sz w:val="20"/>
                <w:szCs w:val="20"/>
              </w:rPr>
              <w:t>Dave Liguang Chenn</w:t>
            </w:r>
          </w:p>
        </w:tc>
      </w:tr>
      <w:tr w:rsidR="00000000" w14:paraId="3C39305E" w14:textId="77777777">
        <w:trPr>
          <w:divId w:val="305475121"/>
        </w:trPr>
        <w:tc>
          <w:tcPr>
            <w:tcW w:w="0" w:type="auto"/>
            <w:hideMark/>
          </w:tcPr>
          <w:p w14:paraId="54498870" w14:textId="77777777" w:rsidR="00000000" w:rsidRDefault="002F725F">
            <w:pPr>
              <w:rPr>
                <w:rFonts w:eastAsia="Times New Roman"/>
                <w:sz w:val="20"/>
                <w:szCs w:val="20"/>
              </w:rPr>
            </w:pPr>
            <w:r>
              <w:rPr>
                <w:rFonts w:eastAsia="Times New Roman"/>
                <w:sz w:val="20"/>
                <w:szCs w:val="20"/>
              </w:rPr>
              <w:t> </w:t>
            </w:r>
          </w:p>
        </w:tc>
        <w:tc>
          <w:tcPr>
            <w:tcW w:w="0" w:type="auto"/>
            <w:hideMark/>
          </w:tcPr>
          <w:p w14:paraId="24041372" w14:textId="77777777" w:rsidR="00000000" w:rsidRDefault="002F725F">
            <w:pPr>
              <w:rPr>
                <w:rFonts w:eastAsia="Times New Roman"/>
                <w:sz w:val="20"/>
                <w:szCs w:val="20"/>
              </w:rPr>
            </w:pPr>
            <w:r>
              <w:rPr>
                <w:rFonts w:eastAsia="Times New Roman"/>
                <w:sz w:val="20"/>
                <w:szCs w:val="20"/>
              </w:rPr>
              <w:t> </w:t>
            </w:r>
          </w:p>
        </w:tc>
        <w:tc>
          <w:tcPr>
            <w:tcW w:w="0" w:type="auto"/>
            <w:hideMark/>
          </w:tcPr>
          <w:p w14:paraId="4B6ABF53" w14:textId="77777777" w:rsidR="00000000" w:rsidRDefault="002F725F">
            <w:pPr>
              <w:rPr>
                <w:rFonts w:eastAsia="Times New Roman"/>
                <w:sz w:val="20"/>
                <w:szCs w:val="20"/>
              </w:rPr>
            </w:pPr>
            <w:r>
              <w:rPr>
                <w:rFonts w:eastAsia="Times New Roman"/>
                <w:sz w:val="20"/>
                <w:szCs w:val="20"/>
              </w:rPr>
              <w:t>Title:</w:t>
            </w:r>
          </w:p>
        </w:tc>
        <w:tc>
          <w:tcPr>
            <w:tcW w:w="0" w:type="auto"/>
            <w:vAlign w:val="bottom"/>
            <w:hideMark/>
          </w:tcPr>
          <w:p w14:paraId="593AB4DC" w14:textId="77777777" w:rsidR="00000000" w:rsidRDefault="002F725F">
            <w:pPr>
              <w:rPr>
                <w:rFonts w:eastAsia="Times New Roman"/>
                <w:sz w:val="20"/>
                <w:szCs w:val="20"/>
              </w:rPr>
            </w:pPr>
            <w:r>
              <w:rPr>
                <w:rFonts w:eastAsia="Times New Roman"/>
                <w:sz w:val="20"/>
                <w:szCs w:val="20"/>
              </w:rPr>
              <w:t>Director</w:t>
            </w:r>
          </w:p>
        </w:tc>
      </w:tr>
      <w:tr w:rsidR="00000000" w14:paraId="40DB8729" w14:textId="77777777">
        <w:trPr>
          <w:divId w:val="305475121"/>
        </w:trPr>
        <w:tc>
          <w:tcPr>
            <w:tcW w:w="0" w:type="auto"/>
            <w:hideMark/>
          </w:tcPr>
          <w:p w14:paraId="790154D2" w14:textId="77777777" w:rsidR="00000000" w:rsidRDefault="002F725F">
            <w:pPr>
              <w:rPr>
                <w:rFonts w:eastAsia="Times New Roman"/>
                <w:sz w:val="20"/>
                <w:szCs w:val="20"/>
              </w:rPr>
            </w:pPr>
            <w:r>
              <w:rPr>
                <w:rFonts w:eastAsia="Times New Roman"/>
                <w:sz w:val="20"/>
                <w:szCs w:val="20"/>
              </w:rPr>
              <w:t> </w:t>
            </w:r>
          </w:p>
        </w:tc>
        <w:tc>
          <w:tcPr>
            <w:tcW w:w="0" w:type="auto"/>
            <w:hideMark/>
          </w:tcPr>
          <w:p w14:paraId="431FF1DA" w14:textId="77777777" w:rsidR="00000000" w:rsidRDefault="002F725F">
            <w:pPr>
              <w:rPr>
                <w:rFonts w:eastAsia="Times New Roman"/>
                <w:sz w:val="20"/>
                <w:szCs w:val="20"/>
              </w:rPr>
            </w:pPr>
            <w:r>
              <w:rPr>
                <w:rFonts w:eastAsia="Times New Roman"/>
                <w:sz w:val="20"/>
                <w:szCs w:val="20"/>
              </w:rPr>
              <w:t> </w:t>
            </w:r>
          </w:p>
        </w:tc>
        <w:tc>
          <w:tcPr>
            <w:tcW w:w="0" w:type="auto"/>
            <w:hideMark/>
          </w:tcPr>
          <w:p w14:paraId="3B8E11E3"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5450F533" w14:textId="77777777" w:rsidR="00000000" w:rsidRDefault="002F725F">
            <w:pPr>
              <w:rPr>
                <w:rFonts w:eastAsia="Times New Roman"/>
                <w:sz w:val="20"/>
                <w:szCs w:val="20"/>
              </w:rPr>
            </w:pPr>
            <w:r>
              <w:rPr>
                <w:rFonts w:eastAsia="Times New Roman"/>
                <w:sz w:val="20"/>
                <w:szCs w:val="20"/>
              </w:rPr>
              <w:t>   </w:t>
            </w:r>
          </w:p>
        </w:tc>
      </w:tr>
      <w:tr w:rsidR="00000000" w14:paraId="4F72BD86" w14:textId="77777777">
        <w:trPr>
          <w:divId w:val="305475121"/>
        </w:trPr>
        <w:tc>
          <w:tcPr>
            <w:tcW w:w="0" w:type="auto"/>
            <w:hideMark/>
          </w:tcPr>
          <w:p w14:paraId="40DCFD5F"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78F0F84E" w14:textId="77777777" w:rsidR="00000000" w:rsidRDefault="002F725F">
            <w:pPr>
              <w:rPr>
                <w:rFonts w:eastAsia="Times New Roman"/>
                <w:sz w:val="20"/>
                <w:szCs w:val="20"/>
              </w:rPr>
            </w:pPr>
            <w:r>
              <w:rPr>
                <w:rFonts w:eastAsia="Times New Roman"/>
                <w:b/>
                <w:bCs/>
                <w:sz w:val="20"/>
                <w:szCs w:val="20"/>
              </w:rPr>
              <w:t>DAVE LIGUANG CHENN  </w:t>
            </w:r>
          </w:p>
        </w:tc>
      </w:tr>
      <w:tr w:rsidR="00000000" w14:paraId="6D02E8A3" w14:textId="77777777">
        <w:trPr>
          <w:divId w:val="305475121"/>
        </w:trPr>
        <w:tc>
          <w:tcPr>
            <w:tcW w:w="0" w:type="auto"/>
            <w:hideMark/>
          </w:tcPr>
          <w:p w14:paraId="7FDD9AD0"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7389154C" w14:textId="77777777" w:rsidR="00000000" w:rsidRDefault="002F725F">
            <w:pPr>
              <w:rPr>
                <w:rFonts w:eastAsia="Times New Roman"/>
                <w:sz w:val="20"/>
                <w:szCs w:val="20"/>
              </w:rPr>
            </w:pPr>
            <w:r>
              <w:rPr>
                <w:rFonts w:eastAsia="Times New Roman"/>
                <w:sz w:val="20"/>
                <w:szCs w:val="20"/>
              </w:rPr>
              <w:t> </w:t>
            </w:r>
          </w:p>
        </w:tc>
      </w:tr>
      <w:tr w:rsidR="00000000" w14:paraId="20A25130" w14:textId="77777777">
        <w:trPr>
          <w:divId w:val="305475121"/>
        </w:trPr>
        <w:tc>
          <w:tcPr>
            <w:tcW w:w="0" w:type="auto"/>
            <w:hideMark/>
          </w:tcPr>
          <w:p w14:paraId="23A3A1F0" w14:textId="77777777" w:rsidR="00000000" w:rsidRDefault="002F725F">
            <w:pPr>
              <w:rPr>
                <w:rFonts w:eastAsia="Times New Roman"/>
                <w:sz w:val="20"/>
                <w:szCs w:val="20"/>
              </w:rPr>
            </w:pPr>
            <w:r>
              <w:rPr>
                <w:rFonts w:eastAsia="Times New Roman"/>
                <w:sz w:val="20"/>
                <w:szCs w:val="20"/>
              </w:rPr>
              <w:t> </w:t>
            </w:r>
          </w:p>
        </w:tc>
        <w:tc>
          <w:tcPr>
            <w:tcW w:w="0" w:type="auto"/>
            <w:gridSpan w:val="3"/>
            <w:tcBorders>
              <w:bottom w:val="single" w:sz="12" w:space="0" w:color="000000"/>
            </w:tcBorders>
            <w:hideMark/>
          </w:tcPr>
          <w:p w14:paraId="57883D3E" w14:textId="77777777" w:rsidR="00000000" w:rsidRDefault="002F725F">
            <w:pPr>
              <w:rPr>
                <w:rFonts w:eastAsia="Times New Roman"/>
                <w:sz w:val="20"/>
                <w:szCs w:val="20"/>
              </w:rPr>
            </w:pPr>
            <w:r>
              <w:rPr>
                <w:rFonts w:eastAsia="Times New Roman"/>
                <w:sz w:val="20"/>
                <w:szCs w:val="20"/>
              </w:rPr>
              <w:t>/s/ Dave Liguang Chenn  </w:t>
            </w:r>
          </w:p>
        </w:tc>
      </w:tr>
    </w:tbl>
    <w:p w14:paraId="0E1153DD"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49CB0C51" w14:textId="77777777" w:rsidR="00000000" w:rsidRDefault="002F725F">
      <w:pPr>
        <w:pStyle w:val="NormalWeb"/>
        <w:spacing w:before="0" w:beforeAutospacing="0" w:after="0" w:afterAutospacing="0"/>
        <w:jc w:val="center"/>
        <w:divId w:val="305475121"/>
        <w:rPr>
          <w:sz w:val="20"/>
          <w:szCs w:val="20"/>
        </w:rPr>
      </w:pPr>
      <w:r>
        <w:rPr>
          <w:sz w:val="20"/>
          <w:szCs w:val="20"/>
        </w:rPr>
        <w:t>[</w:t>
      </w:r>
      <w:r>
        <w:rPr>
          <w:i/>
          <w:iCs/>
          <w:sz w:val="20"/>
          <w:szCs w:val="20"/>
        </w:rPr>
        <w:t>Signature Page to Schedule 13E-3 Transaction Statement</w:t>
      </w:r>
      <w:r>
        <w:rPr>
          <w:sz w:val="20"/>
          <w:szCs w:val="20"/>
        </w:rPr>
        <w:t>]</w:t>
      </w:r>
    </w:p>
    <w:p w14:paraId="0DA460C3"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7620CA70" w14:textId="77777777" w:rsidR="00000000" w:rsidRDefault="002F725F">
      <w:pPr>
        <w:pStyle w:val="NormalWeb"/>
        <w:spacing w:before="0" w:beforeAutospacing="0" w:after="0" w:afterAutospacing="0"/>
        <w:jc w:val="center"/>
        <w:divId w:val="1490248271"/>
        <w:rPr>
          <w:sz w:val="20"/>
          <w:szCs w:val="20"/>
        </w:rPr>
      </w:pPr>
      <w:r>
        <w:rPr>
          <w:sz w:val="20"/>
          <w:szCs w:val="20"/>
        </w:rPr>
        <w:t>1</w:t>
      </w:r>
      <w:r>
        <w:rPr>
          <w:sz w:val="20"/>
          <w:szCs w:val="20"/>
        </w:rPr>
        <w:t>6</w:t>
      </w:r>
    </w:p>
    <w:p w14:paraId="63033454"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0CFB6E49" w14:textId="77777777" w:rsidR="00000000" w:rsidRDefault="002F725F">
      <w:pPr>
        <w:pStyle w:val="NormalWeb"/>
        <w:spacing w:before="0" w:beforeAutospacing="0" w:after="0" w:afterAutospacing="0"/>
        <w:jc w:val="center"/>
        <w:divId w:val="305475121"/>
        <w:rPr>
          <w:sz w:val="20"/>
          <w:szCs w:val="20"/>
        </w:rPr>
      </w:pPr>
      <w:r>
        <w:rPr>
          <w:b/>
          <w:bCs/>
          <w:sz w:val="20"/>
          <w:szCs w:val="20"/>
        </w:rPr>
        <w:t>SIGNATURES</w:t>
      </w:r>
    </w:p>
    <w:p w14:paraId="24C28BFC"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p w14:paraId="5681157E" w14:textId="77777777" w:rsidR="00000000" w:rsidRDefault="002F725F">
      <w:pPr>
        <w:pStyle w:val="NormalWeb"/>
        <w:spacing w:before="0" w:beforeAutospacing="0" w:after="0" w:afterAutospacing="0"/>
        <w:ind w:firstLine="720"/>
        <w:jc w:val="both"/>
        <w:divId w:val="305475121"/>
        <w:rPr>
          <w:sz w:val="20"/>
          <w:szCs w:val="20"/>
        </w:rPr>
      </w:pPr>
      <w:r>
        <w:rPr>
          <w:sz w:val="20"/>
          <w:szCs w:val="20"/>
        </w:rPr>
        <w:t>After due inquiry and to the best of my knowledge and belief, I certify that the information set forth in this statement is true, complete and correct.</w:t>
      </w:r>
    </w:p>
    <w:p w14:paraId="31225F89" w14:textId="77777777" w:rsidR="00000000" w:rsidRDefault="002F725F">
      <w:pPr>
        <w:pStyle w:val="NormalWeb"/>
        <w:spacing w:before="0" w:beforeAutospacing="0" w:after="0" w:afterAutospacing="0"/>
        <w:ind w:firstLine="720"/>
        <w:jc w:val="both"/>
        <w:divId w:val="305475121"/>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5532"/>
        <w:gridCol w:w="289"/>
        <w:gridCol w:w="534"/>
        <w:gridCol w:w="3005"/>
      </w:tblGrid>
      <w:tr w:rsidR="00000000" w14:paraId="6D792FB3" w14:textId="77777777">
        <w:trPr>
          <w:divId w:val="305475121"/>
        </w:trPr>
        <w:tc>
          <w:tcPr>
            <w:tcW w:w="3000" w:type="pct"/>
            <w:hideMark/>
          </w:tcPr>
          <w:p w14:paraId="0EB7DFAB" w14:textId="77777777" w:rsidR="00000000" w:rsidRDefault="002F725F">
            <w:pPr>
              <w:pStyle w:val="NormalWeb"/>
              <w:spacing w:before="0" w:beforeAutospacing="0" w:after="0" w:afterAutospacing="0"/>
              <w:rPr>
                <w:sz w:val="20"/>
                <w:szCs w:val="20"/>
              </w:rPr>
            </w:pPr>
            <w:r>
              <w:rPr>
                <w:sz w:val="20"/>
                <w:szCs w:val="20"/>
              </w:rPr>
              <w:t>Date: May 8, 2026</w:t>
            </w:r>
          </w:p>
        </w:tc>
        <w:tc>
          <w:tcPr>
            <w:tcW w:w="150" w:type="pct"/>
            <w:vAlign w:val="bottom"/>
            <w:hideMark/>
          </w:tcPr>
          <w:p w14:paraId="3F0C4EE1" w14:textId="77777777" w:rsidR="00000000" w:rsidRDefault="002F725F">
            <w:pPr>
              <w:rPr>
                <w:rFonts w:eastAsia="Times New Roman"/>
                <w:sz w:val="20"/>
                <w:szCs w:val="20"/>
              </w:rPr>
            </w:pPr>
            <w:r>
              <w:rPr>
                <w:rFonts w:eastAsia="Times New Roman"/>
                <w:sz w:val="20"/>
                <w:szCs w:val="20"/>
              </w:rPr>
              <w:t> </w:t>
            </w:r>
          </w:p>
        </w:tc>
        <w:tc>
          <w:tcPr>
            <w:tcW w:w="200" w:type="pct"/>
            <w:vAlign w:val="bottom"/>
            <w:hideMark/>
          </w:tcPr>
          <w:p w14:paraId="563AEA93" w14:textId="77777777" w:rsidR="00000000" w:rsidRDefault="002F725F">
            <w:pPr>
              <w:rPr>
                <w:rFonts w:eastAsia="Times New Roman"/>
                <w:sz w:val="20"/>
                <w:szCs w:val="20"/>
              </w:rPr>
            </w:pPr>
            <w:r>
              <w:rPr>
                <w:rFonts w:eastAsia="Times New Roman"/>
                <w:sz w:val="20"/>
                <w:szCs w:val="20"/>
              </w:rPr>
              <w:t> </w:t>
            </w:r>
          </w:p>
        </w:tc>
        <w:tc>
          <w:tcPr>
            <w:tcW w:w="1650" w:type="pct"/>
            <w:vAlign w:val="bottom"/>
            <w:hideMark/>
          </w:tcPr>
          <w:p w14:paraId="2D45E544" w14:textId="77777777" w:rsidR="00000000" w:rsidRDefault="002F725F">
            <w:pPr>
              <w:rPr>
                <w:rFonts w:eastAsia="Times New Roman"/>
                <w:sz w:val="20"/>
                <w:szCs w:val="20"/>
              </w:rPr>
            </w:pPr>
            <w:r>
              <w:rPr>
                <w:rFonts w:eastAsia="Times New Roman"/>
                <w:sz w:val="20"/>
                <w:szCs w:val="20"/>
              </w:rPr>
              <w:t> </w:t>
            </w:r>
          </w:p>
        </w:tc>
      </w:tr>
      <w:tr w:rsidR="00000000" w14:paraId="52AEDD78" w14:textId="77777777">
        <w:trPr>
          <w:divId w:val="305475121"/>
        </w:trPr>
        <w:tc>
          <w:tcPr>
            <w:tcW w:w="0" w:type="auto"/>
            <w:hideMark/>
          </w:tcPr>
          <w:p w14:paraId="5D27E99A" w14:textId="77777777" w:rsidR="00000000" w:rsidRDefault="002F725F">
            <w:pPr>
              <w:rPr>
                <w:rFonts w:eastAsia="Times New Roman"/>
                <w:sz w:val="20"/>
                <w:szCs w:val="20"/>
              </w:rPr>
            </w:pPr>
            <w:r>
              <w:rPr>
                <w:rFonts w:eastAsia="Times New Roman"/>
                <w:sz w:val="20"/>
                <w:szCs w:val="20"/>
              </w:rPr>
              <w:lastRenderedPageBreak/>
              <w:t> </w:t>
            </w:r>
          </w:p>
        </w:tc>
        <w:tc>
          <w:tcPr>
            <w:tcW w:w="0" w:type="auto"/>
            <w:vAlign w:val="bottom"/>
            <w:hideMark/>
          </w:tcPr>
          <w:p w14:paraId="5F399149"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3E877D47"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6EDDEBE0" w14:textId="77777777" w:rsidR="00000000" w:rsidRDefault="002F725F">
            <w:pPr>
              <w:rPr>
                <w:rFonts w:eastAsia="Times New Roman"/>
                <w:sz w:val="20"/>
                <w:szCs w:val="20"/>
              </w:rPr>
            </w:pPr>
            <w:r>
              <w:rPr>
                <w:rFonts w:eastAsia="Times New Roman"/>
                <w:sz w:val="20"/>
                <w:szCs w:val="20"/>
              </w:rPr>
              <w:t> </w:t>
            </w:r>
          </w:p>
        </w:tc>
      </w:tr>
      <w:tr w:rsidR="00000000" w14:paraId="1083AACA" w14:textId="77777777">
        <w:trPr>
          <w:divId w:val="305475121"/>
        </w:trPr>
        <w:tc>
          <w:tcPr>
            <w:tcW w:w="0" w:type="auto"/>
            <w:hideMark/>
          </w:tcPr>
          <w:p w14:paraId="1973306B"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73153AF4" w14:textId="77777777" w:rsidR="00000000" w:rsidRDefault="002F725F">
            <w:pPr>
              <w:rPr>
                <w:rFonts w:eastAsia="Times New Roman"/>
                <w:sz w:val="20"/>
                <w:szCs w:val="20"/>
              </w:rPr>
            </w:pPr>
            <w:r>
              <w:rPr>
                <w:rFonts w:eastAsia="Times New Roman"/>
                <w:b/>
                <w:bCs/>
                <w:sz w:val="20"/>
                <w:szCs w:val="20"/>
              </w:rPr>
              <w:t>CRYSTAL PEAK INVESTMENT INC.</w:t>
            </w:r>
          </w:p>
        </w:tc>
      </w:tr>
      <w:tr w:rsidR="00000000" w14:paraId="23DFC934" w14:textId="77777777">
        <w:trPr>
          <w:divId w:val="305475121"/>
        </w:trPr>
        <w:tc>
          <w:tcPr>
            <w:tcW w:w="0" w:type="auto"/>
            <w:hideMark/>
          </w:tcPr>
          <w:p w14:paraId="263BBC82"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5CBB98BF" w14:textId="77777777" w:rsidR="00000000" w:rsidRDefault="002F725F">
            <w:pPr>
              <w:rPr>
                <w:rFonts w:eastAsia="Times New Roman"/>
                <w:sz w:val="20"/>
                <w:szCs w:val="20"/>
              </w:rPr>
            </w:pPr>
            <w:r>
              <w:rPr>
                <w:rFonts w:eastAsia="Times New Roman"/>
                <w:sz w:val="20"/>
                <w:szCs w:val="20"/>
              </w:rPr>
              <w:t> </w:t>
            </w:r>
          </w:p>
        </w:tc>
      </w:tr>
      <w:tr w:rsidR="00000000" w14:paraId="678F8B20" w14:textId="77777777">
        <w:trPr>
          <w:divId w:val="305475121"/>
        </w:trPr>
        <w:tc>
          <w:tcPr>
            <w:tcW w:w="0" w:type="auto"/>
            <w:hideMark/>
          </w:tcPr>
          <w:p w14:paraId="5B36A65B" w14:textId="77777777" w:rsidR="00000000" w:rsidRDefault="002F725F">
            <w:pPr>
              <w:rPr>
                <w:rFonts w:eastAsia="Times New Roman"/>
                <w:sz w:val="20"/>
                <w:szCs w:val="20"/>
              </w:rPr>
            </w:pPr>
            <w:r>
              <w:rPr>
                <w:rFonts w:eastAsia="Times New Roman"/>
                <w:sz w:val="20"/>
                <w:szCs w:val="20"/>
              </w:rPr>
              <w:t> </w:t>
            </w:r>
          </w:p>
        </w:tc>
        <w:tc>
          <w:tcPr>
            <w:tcW w:w="0" w:type="auto"/>
            <w:hideMark/>
          </w:tcPr>
          <w:p w14:paraId="5A98E26C" w14:textId="77777777" w:rsidR="00000000" w:rsidRDefault="002F725F">
            <w:pPr>
              <w:rPr>
                <w:rFonts w:eastAsia="Times New Roman"/>
                <w:sz w:val="20"/>
                <w:szCs w:val="20"/>
              </w:rPr>
            </w:pPr>
            <w:r>
              <w:rPr>
                <w:rFonts w:eastAsia="Times New Roman"/>
                <w:sz w:val="20"/>
                <w:szCs w:val="20"/>
              </w:rPr>
              <w:t>By:</w:t>
            </w:r>
          </w:p>
        </w:tc>
        <w:tc>
          <w:tcPr>
            <w:tcW w:w="0" w:type="auto"/>
            <w:gridSpan w:val="2"/>
            <w:tcBorders>
              <w:bottom w:val="single" w:sz="12" w:space="0" w:color="000000"/>
            </w:tcBorders>
            <w:hideMark/>
          </w:tcPr>
          <w:p w14:paraId="3633429E" w14:textId="77777777" w:rsidR="00000000" w:rsidRDefault="002F725F">
            <w:pPr>
              <w:rPr>
                <w:rFonts w:eastAsia="Times New Roman"/>
                <w:sz w:val="20"/>
                <w:szCs w:val="20"/>
              </w:rPr>
            </w:pPr>
            <w:r>
              <w:rPr>
                <w:rFonts w:eastAsia="Times New Roman"/>
                <w:sz w:val="20"/>
                <w:szCs w:val="20"/>
              </w:rPr>
              <w:t>/s/ Huaqin Xue   </w:t>
            </w:r>
          </w:p>
        </w:tc>
      </w:tr>
      <w:tr w:rsidR="00000000" w14:paraId="494FE621" w14:textId="77777777">
        <w:trPr>
          <w:divId w:val="305475121"/>
        </w:trPr>
        <w:tc>
          <w:tcPr>
            <w:tcW w:w="0" w:type="auto"/>
            <w:hideMark/>
          </w:tcPr>
          <w:p w14:paraId="08D941C4" w14:textId="77777777" w:rsidR="00000000" w:rsidRDefault="002F725F">
            <w:pPr>
              <w:rPr>
                <w:rFonts w:eastAsia="Times New Roman"/>
                <w:sz w:val="20"/>
                <w:szCs w:val="20"/>
              </w:rPr>
            </w:pPr>
            <w:r>
              <w:rPr>
                <w:rFonts w:eastAsia="Times New Roman"/>
                <w:sz w:val="20"/>
                <w:szCs w:val="20"/>
              </w:rPr>
              <w:t> </w:t>
            </w:r>
          </w:p>
        </w:tc>
        <w:tc>
          <w:tcPr>
            <w:tcW w:w="0" w:type="auto"/>
            <w:hideMark/>
          </w:tcPr>
          <w:p w14:paraId="11BCA857" w14:textId="77777777" w:rsidR="00000000" w:rsidRDefault="002F725F">
            <w:pPr>
              <w:rPr>
                <w:rFonts w:eastAsia="Times New Roman"/>
                <w:sz w:val="20"/>
                <w:szCs w:val="20"/>
              </w:rPr>
            </w:pPr>
            <w:r>
              <w:rPr>
                <w:rFonts w:eastAsia="Times New Roman"/>
                <w:sz w:val="20"/>
                <w:szCs w:val="20"/>
              </w:rPr>
              <w:t> </w:t>
            </w:r>
          </w:p>
        </w:tc>
        <w:tc>
          <w:tcPr>
            <w:tcW w:w="0" w:type="auto"/>
            <w:hideMark/>
          </w:tcPr>
          <w:p w14:paraId="0D92C48F" w14:textId="77777777" w:rsidR="00000000" w:rsidRDefault="002F725F">
            <w:pPr>
              <w:rPr>
                <w:rFonts w:eastAsia="Times New Roman"/>
                <w:sz w:val="20"/>
                <w:szCs w:val="20"/>
              </w:rPr>
            </w:pPr>
            <w:r>
              <w:rPr>
                <w:rFonts w:eastAsia="Times New Roman"/>
                <w:sz w:val="20"/>
                <w:szCs w:val="20"/>
              </w:rPr>
              <w:t>Name:</w:t>
            </w:r>
          </w:p>
        </w:tc>
        <w:tc>
          <w:tcPr>
            <w:tcW w:w="0" w:type="auto"/>
            <w:vAlign w:val="bottom"/>
            <w:hideMark/>
          </w:tcPr>
          <w:p w14:paraId="528B6935" w14:textId="77777777" w:rsidR="00000000" w:rsidRDefault="002F725F">
            <w:pPr>
              <w:rPr>
                <w:rFonts w:eastAsia="Times New Roman"/>
                <w:sz w:val="20"/>
                <w:szCs w:val="20"/>
              </w:rPr>
            </w:pPr>
            <w:r>
              <w:rPr>
                <w:rFonts w:eastAsia="Times New Roman"/>
                <w:sz w:val="20"/>
                <w:szCs w:val="20"/>
              </w:rPr>
              <w:t>Huaqin Xue</w:t>
            </w:r>
          </w:p>
        </w:tc>
      </w:tr>
      <w:tr w:rsidR="00000000" w14:paraId="1BDE18AB" w14:textId="77777777">
        <w:trPr>
          <w:divId w:val="305475121"/>
        </w:trPr>
        <w:tc>
          <w:tcPr>
            <w:tcW w:w="0" w:type="auto"/>
            <w:hideMark/>
          </w:tcPr>
          <w:p w14:paraId="193C4B98" w14:textId="77777777" w:rsidR="00000000" w:rsidRDefault="002F725F">
            <w:pPr>
              <w:rPr>
                <w:rFonts w:eastAsia="Times New Roman"/>
                <w:sz w:val="20"/>
                <w:szCs w:val="20"/>
              </w:rPr>
            </w:pPr>
            <w:r>
              <w:rPr>
                <w:rFonts w:eastAsia="Times New Roman"/>
                <w:sz w:val="20"/>
                <w:szCs w:val="20"/>
              </w:rPr>
              <w:t> </w:t>
            </w:r>
          </w:p>
        </w:tc>
        <w:tc>
          <w:tcPr>
            <w:tcW w:w="0" w:type="auto"/>
            <w:hideMark/>
          </w:tcPr>
          <w:p w14:paraId="392CC443" w14:textId="77777777" w:rsidR="00000000" w:rsidRDefault="002F725F">
            <w:pPr>
              <w:rPr>
                <w:rFonts w:eastAsia="Times New Roman"/>
                <w:sz w:val="20"/>
                <w:szCs w:val="20"/>
              </w:rPr>
            </w:pPr>
            <w:r>
              <w:rPr>
                <w:rFonts w:eastAsia="Times New Roman"/>
                <w:sz w:val="20"/>
                <w:szCs w:val="20"/>
              </w:rPr>
              <w:t> </w:t>
            </w:r>
          </w:p>
        </w:tc>
        <w:tc>
          <w:tcPr>
            <w:tcW w:w="0" w:type="auto"/>
            <w:hideMark/>
          </w:tcPr>
          <w:p w14:paraId="0572011B" w14:textId="77777777" w:rsidR="00000000" w:rsidRDefault="002F725F">
            <w:pPr>
              <w:rPr>
                <w:rFonts w:eastAsia="Times New Roman"/>
                <w:sz w:val="20"/>
                <w:szCs w:val="20"/>
              </w:rPr>
            </w:pPr>
            <w:r>
              <w:rPr>
                <w:rFonts w:eastAsia="Times New Roman"/>
                <w:sz w:val="20"/>
                <w:szCs w:val="20"/>
              </w:rPr>
              <w:t>Title:</w:t>
            </w:r>
          </w:p>
        </w:tc>
        <w:tc>
          <w:tcPr>
            <w:tcW w:w="0" w:type="auto"/>
            <w:vAlign w:val="bottom"/>
            <w:hideMark/>
          </w:tcPr>
          <w:p w14:paraId="01A11638" w14:textId="77777777" w:rsidR="00000000" w:rsidRDefault="002F725F">
            <w:pPr>
              <w:rPr>
                <w:rFonts w:eastAsia="Times New Roman"/>
                <w:sz w:val="20"/>
                <w:szCs w:val="20"/>
              </w:rPr>
            </w:pPr>
            <w:r>
              <w:rPr>
                <w:rFonts w:eastAsia="Times New Roman"/>
                <w:sz w:val="20"/>
                <w:szCs w:val="20"/>
              </w:rPr>
              <w:t>Director</w:t>
            </w:r>
          </w:p>
        </w:tc>
      </w:tr>
      <w:tr w:rsidR="00000000" w14:paraId="6229D5EC" w14:textId="77777777">
        <w:trPr>
          <w:divId w:val="305475121"/>
        </w:trPr>
        <w:tc>
          <w:tcPr>
            <w:tcW w:w="0" w:type="auto"/>
            <w:hideMark/>
          </w:tcPr>
          <w:p w14:paraId="3265260D" w14:textId="77777777" w:rsidR="00000000" w:rsidRDefault="002F725F">
            <w:pPr>
              <w:rPr>
                <w:rFonts w:eastAsia="Times New Roman"/>
                <w:sz w:val="20"/>
                <w:szCs w:val="20"/>
              </w:rPr>
            </w:pPr>
            <w:r>
              <w:rPr>
                <w:rFonts w:eastAsia="Times New Roman"/>
                <w:sz w:val="20"/>
                <w:szCs w:val="20"/>
              </w:rPr>
              <w:t> </w:t>
            </w:r>
          </w:p>
        </w:tc>
        <w:tc>
          <w:tcPr>
            <w:tcW w:w="0" w:type="auto"/>
            <w:hideMark/>
          </w:tcPr>
          <w:p w14:paraId="6D717C1A" w14:textId="77777777" w:rsidR="00000000" w:rsidRDefault="002F725F">
            <w:pPr>
              <w:rPr>
                <w:rFonts w:eastAsia="Times New Roman"/>
                <w:sz w:val="20"/>
                <w:szCs w:val="20"/>
              </w:rPr>
            </w:pPr>
            <w:r>
              <w:rPr>
                <w:rFonts w:eastAsia="Times New Roman"/>
                <w:sz w:val="20"/>
                <w:szCs w:val="20"/>
              </w:rPr>
              <w:t> </w:t>
            </w:r>
          </w:p>
        </w:tc>
        <w:tc>
          <w:tcPr>
            <w:tcW w:w="0" w:type="auto"/>
            <w:hideMark/>
          </w:tcPr>
          <w:p w14:paraId="35B2DC8E"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29C4136C" w14:textId="77777777" w:rsidR="00000000" w:rsidRDefault="002F725F">
            <w:pPr>
              <w:rPr>
                <w:rFonts w:eastAsia="Times New Roman"/>
                <w:sz w:val="20"/>
                <w:szCs w:val="20"/>
              </w:rPr>
            </w:pPr>
            <w:r>
              <w:rPr>
                <w:rFonts w:eastAsia="Times New Roman"/>
                <w:sz w:val="20"/>
                <w:szCs w:val="20"/>
              </w:rPr>
              <w:t> </w:t>
            </w:r>
          </w:p>
        </w:tc>
      </w:tr>
      <w:tr w:rsidR="00000000" w14:paraId="492D6D35" w14:textId="77777777">
        <w:trPr>
          <w:divId w:val="305475121"/>
        </w:trPr>
        <w:tc>
          <w:tcPr>
            <w:tcW w:w="0" w:type="auto"/>
            <w:hideMark/>
          </w:tcPr>
          <w:p w14:paraId="7A00A7B5"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062EB6F4" w14:textId="77777777" w:rsidR="00000000" w:rsidRDefault="002F725F">
            <w:pPr>
              <w:rPr>
                <w:rFonts w:eastAsia="Times New Roman"/>
                <w:sz w:val="20"/>
                <w:szCs w:val="20"/>
              </w:rPr>
            </w:pPr>
            <w:r>
              <w:rPr>
                <w:rFonts w:eastAsia="Times New Roman"/>
                <w:b/>
                <w:bCs/>
                <w:sz w:val="20"/>
                <w:szCs w:val="20"/>
              </w:rPr>
              <w:t>CRYSTAL PEAK HOLDINGS INC.</w:t>
            </w:r>
          </w:p>
        </w:tc>
      </w:tr>
      <w:tr w:rsidR="00000000" w14:paraId="678FF445" w14:textId="77777777">
        <w:trPr>
          <w:divId w:val="305475121"/>
        </w:trPr>
        <w:tc>
          <w:tcPr>
            <w:tcW w:w="0" w:type="auto"/>
            <w:hideMark/>
          </w:tcPr>
          <w:p w14:paraId="6EC3576D"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56FDF43F" w14:textId="77777777" w:rsidR="00000000" w:rsidRDefault="002F725F">
            <w:pPr>
              <w:rPr>
                <w:rFonts w:eastAsia="Times New Roman"/>
                <w:sz w:val="20"/>
                <w:szCs w:val="20"/>
              </w:rPr>
            </w:pPr>
            <w:r>
              <w:rPr>
                <w:rFonts w:eastAsia="Times New Roman"/>
                <w:sz w:val="20"/>
                <w:szCs w:val="20"/>
              </w:rPr>
              <w:t> </w:t>
            </w:r>
          </w:p>
        </w:tc>
      </w:tr>
      <w:tr w:rsidR="00000000" w14:paraId="24A14BDB" w14:textId="77777777">
        <w:trPr>
          <w:divId w:val="305475121"/>
        </w:trPr>
        <w:tc>
          <w:tcPr>
            <w:tcW w:w="0" w:type="auto"/>
            <w:hideMark/>
          </w:tcPr>
          <w:p w14:paraId="189ADDAD" w14:textId="77777777" w:rsidR="00000000" w:rsidRDefault="002F725F">
            <w:pPr>
              <w:rPr>
                <w:rFonts w:eastAsia="Times New Roman"/>
                <w:sz w:val="20"/>
                <w:szCs w:val="20"/>
              </w:rPr>
            </w:pPr>
            <w:r>
              <w:rPr>
                <w:rFonts w:eastAsia="Times New Roman"/>
                <w:sz w:val="20"/>
                <w:szCs w:val="20"/>
              </w:rPr>
              <w:t> </w:t>
            </w:r>
          </w:p>
        </w:tc>
        <w:tc>
          <w:tcPr>
            <w:tcW w:w="0" w:type="auto"/>
            <w:hideMark/>
          </w:tcPr>
          <w:p w14:paraId="0836EAD3" w14:textId="77777777" w:rsidR="00000000" w:rsidRDefault="002F725F">
            <w:pPr>
              <w:rPr>
                <w:rFonts w:eastAsia="Times New Roman"/>
                <w:sz w:val="20"/>
                <w:szCs w:val="20"/>
              </w:rPr>
            </w:pPr>
            <w:r>
              <w:rPr>
                <w:rFonts w:eastAsia="Times New Roman"/>
                <w:sz w:val="20"/>
                <w:szCs w:val="20"/>
              </w:rPr>
              <w:t>By:</w:t>
            </w:r>
          </w:p>
        </w:tc>
        <w:tc>
          <w:tcPr>
            <w:tcW w:w="0" w:type="auto"/>
            <w:gridSpan w:val="2"/>
            <w:tcBorders>
              <w:bottom w:val="single" w:sz="12" w:space="0" w:color="000000"/>
            </w:tcBorders>
            <w:hideMark/>
          </w:tcPr>
          <w:p w14:paraId="3DDB643D" w14:textId="77777777" w:rsidR="00000000" w:rsidRDefault="002F725F">
            <w:pPr>
              <w:rPr>
                <w:rFonts w:eastAsia="Times New Roman"/>
                <w:sz w:val="20"/>
                <w:szCs w:val="20"/>
              </w:rPr>
            </w:pPr>
            <w:r>
              <w:rPr>
                <w:rFonts w:eastAsia="Times New Roman"/>
                <w:sz w:val="20"/>
                <w:szCs w:val="20"/>
              </w:rPr>
              <w:t>/s/ Huaqin Xue  </w:t>
            </w:r>
          </w:p>
        </w:tc>
      </w:tr>
      <w:tr w:rsidR="00000000" w14:paraId="4A2B70AD" w14:textId="77777777">
        <w:trPr>
          <w:divId w:val="305475121"/>
        </w:trPr>
        <w:tc>
          <w:tcPr>
            <w:tcW w:w="0" w:type="auto"/>
            <w:hideMark/>
          </w:tcPr>
          <w:p w14:paraId="5AE7E646" w14:textId="77777777" w:rsidR="00000000" w:rsidRDefault="002F725F">
            <w:pPr>
              <w:rPr>
                <w:rFonts w:eastAsia="Times New Roman"/>
                <w:sz w:val="20"/>
                <w:szCs w:val="20"/>
              </w:rPr>
            </w:pPr>
            <w:r>
              <w:rPr>
                <w:rFonts w:eastAsia="Times New Roman"/>
                <w:sz w:val="20"/>
                <w:szCs w:val="20"/>
              </w:rPr>
              <w:t> </w:t>
            </w:r>
          </w:p>
        </w:tc>
        <w:tc>
          <w:tcPr>
            <w:tcW w:w="0" w:type="auto"/>
            <w:hideMark/>
          </w:tcPr>
          <w:p w14:paraId="0D7A03D8" w14:textId="77777777" w:rsidR="00000000" w:rsidRDefault="002F725F">
            <w:pPr>
              <w:rPr>
                <w:rFonts w:eastAsia="Times New Roman"/>
                <w:sz w:val="20"/>
                <w:szCs w:val="20"/>
              </w:rPr>
            </w:pPr>
            <w:r>
              <w:rPr>
                <w:rFonts w:eastAsia="Times New Roman"/>
                <w:sz w:val="20"/>
                <w:szCs w:val="20"/>
              </w:rPr>
              <w:t> </w:t>
            </w:r>
          </w:p>
        </w:tc>
        <w:tc>
          <w:tcPr>
            <w:tcW w:w="0" w:type="auto"/>
            <w:hideMark/>
          </w:tcPr>
          <w:p w14:paraId="1CF224FA" w14:textId="77777777" w:rsidR="00000000" w:rsidRDefault="002F725F">
            <w:pPr>
              <w:rPr>
                <w:rFonts w:eastAsia="Times New Roman"/>
                <w:sz w:val="20"/>
                <w:szCs w:val="20"/>
              </w:rPr>
            </w:pPr>
            <w:r>
              <w:rPr>
                <w:rFonts w:eastAsia="Times New Roman"/>
                <w:sz w:val="20"/>
                <w:szCs w:val="20"/>
              </w:rPr>
              <w:t>Name:</w:t>
            </w:r>
          </w:p>
        </w:tc>
        <w:tc>
          <w:tcPr>
            <w:tcW w:w="0" w:type="auto"/>
            <w:vAlign w:val="bottom"/>
            <w:hideMark/>
          </w:tcPr>
          <w:p w14:paraId="10814472" w14:textId="77777777" w:rsidR="00000000" w:rsidRDefault="002F725F">
            <w:pPr>
              <w:rPr>
                <w:rFonts w:eastAsia="Times New Roman"/>
                <w:sz w:val="20"/>
                <w:szCs w:val="20"/>
              </w:rPr>
            </w:pPr>
            <w:r>
              <w:rPr>
                <w:rFonts w:eastAsia="Times New Roman"/>
                <w:sz w:val="20"/>
                <w:szCs w:val="20"/>
              </w:rPr>
              <w:t>Huaqin Xue</w:t>
            </w:r>
          </w:p>
        </w:tc>
      </w:tr>
      <w:tr w:rsidR="00000000" w14:paraId="01BE3E1E" w14:textId="77777777">
        <w:trPr>
          <w:divId w:val="305475121"/>
        </w:trPr>
        <w:tc>
          <w:tcPr>
            <w:tcW w:w="0" w:type="auto"/>
            <w:hideMark/>
          </w:tcPr>
          <w:p w14:paraId="7F8E7D94" w14:textId="77777777" w:rsidR="00000000" w:rsidRDefault="002F725F">
            <w:pPr>
              <w:rPr>
                <w:rFonts w:eastAsia="Times New Roman"/>
                <w:sz w:val="20"/>
                <w:szCs w:val="20"/>
              </w:rPr>
            </w:pPr>
            <w:r>
              <w:rPr>
                <w:rFonts w:eastAsia="Times New Roman"/>
                <w:sz w:val="20"/>
                <w:szCs w:val="20"/>
              </w:rPr>
              <w:t> </w:t>
            </w:r>
          </w:p>
        </w:tc>
        <w:tc>
          <w:tcPr>
            <w:tcW w:w="0" w:type="auto"/>
            <w:hideMark/>
          </w:tcPr>
          <w:p w14:paraId="187483B7" w14:textId="77777777" w:rsidR="00000000" w:rsidRDefault="002F725F">
            <w:pPr>
              <w:rPr>
                <w:rFonts w:eastAsia="Times New Roman"/>
                <w:sz w:val="20"/>
                <w:szCs w:val="20"/>
              </w:rPr>
            </w:pPr>
            <w:r>
              <w:rPr>
                <w:rFonts w:eastAsia="Times New Roman"/>
                <w:sz w:val="20"/>
                <w:szCs w:val="20"/>
              </w:rPr>
              <w:t> </w:t>
            </w:r>
          </w:p>
        </w:tc>
        <w:tc>
          <w:tcPr>
            <w:tcW w:w="0" w:type="auto"/>
            <w:hideMark/>
          </w:tcPr>
          <w:p w14:paraId="48EDBB27" w14:textId="77777777" w:rsidR="00000000" w:rsidRDefault="002F725F">
            <w:pPr>
              <w:rPr>
                <w:rFonts w:eastAsia="Times New Roman"/>
                <w:sz w:val="20"/>
                <w:szCs w:val="20"/>
              </w:rPr>
            </w:pPr>
            <w:r>
              <w:rPr>
                <w:rFonts w:eastAsia="Times New Roman"/>
                <w:sz w:val="20"/>
                <w:szCs w:val="20"/>
              </w:rPr>
              <w:t>Title:</w:t>
            </w:r>
          </w:p>
        </w:tc>
        <w:tc>
          <w:tcPr>
            <w:tcW w:w="0" w:type="auto"/>
            <w:vAlign w:val="bottom"/>
            <w:hideMark/>
          </w:tcPr>
          <w:p w14:paraId="63319F6F" w14:textId="77777777" w:rsidR="00000000" w:rsidRDefault="002F725F">
            <w:pPr>
              <w:rPr>
                <w:rFonts w:eastAsia="Times New Roman"/>
                <w:sz w:val="20"/>
                <w:szCs w:val="20"/>
              </w:rPr>
            </w:pPr>
            <w:r>
              <w:rPr>
                <w:rFonts w:eastAsia="Times New Roman"/>
                <w:sz w:val="20"/>
                <w:szCs w:val="20"/>
              </w:rPr>
              <w:t>Director</w:t>
            </w:r>
          </w:p>
        </w:tc>
      </w:tr>
      <w:tr w:rsidR="00000000" w14:paraId="12449AA2" w14:textId="77777777">
        <w:trPr>
          <w:divId w:val="305475121"/>
        </w:trPr>
        <w:tc>
          <w:tcPr>
            <w:tcW w:w="0" w:type="auto"/>
            <w:hideMark/>
          </w:tcPr>
          <w:p w14:paraId="7A61C1BD" w14:textId="77777777" w:rsidR="00000000" w:rsidRDefault="002F725F">
            <w:pPr>
              <w:rPr>
                <w:rFonts w:eastAsia="Times New Roman"/>
                <w:sz w:val="20"/>
                <w:szCs w:val="20"/>
              </w:rPr>
            </w:pPr>
            <w:r>
              <w:rPr>
                <w:rFonts w:eastAsia="Times New Roman"/>
                <w:sz w:val="20"/>
                <w:szCs w:val="20"/>
              </w:rPr>
              <w:t> </w:t>
            </w:r>
          </w:p>
        </w:tc>
        <w:tc>
          <w:tcPr>
            <w:tcW w:w="0" w:type="auto"/>
            <w:hideMark/>
          </w:tcPr>
          <w:p w14:paraId="13525C63" w14:textId="77777777" w:rsidR="00000000" w:rsidRDefault="002F725F">
            <w:pPr>
              <w:rPr>
                <w:rFonts w:eastAsia="Times New Roman"/>
                <w:sz w:val="20"/>
                <w:szCs w:val="20"/>
              </w:rPr>
            </w:pPr>
            <w:r>
              <w:rPr>
                <w:rFonts w:eastAsia="Times New Roman"/>
                <w:sz w:val="20"/>
                <w:szCs w:val="20"/>
              </w:rPr>
              <w:t> </w:t>
            </w:r>
          </w:p>
        </w:tc>
        <w:tc>
          <w:tcPr>
            <w:tcW w:w="0" w:type="auto"/>
            <w:hideMark/>
          </w:tcPr>
          <w:p w14:paraId="59AEFB95"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28F6771F" w14:textId="77777777" w:rsidR="00000000" w:rsidRDefault="002F725F">
            <w:pPr>
              <w:rPr>
                <w:rFonts w:eastAsia="Times New Roman"/>
                <w:sz w:val="20"/>
                <w:szCs w:val="20"/>
              </w:rPr>
            </w:pPr>
            <w:r>
              <w:rPr>
                <w:rFonts w:eastAsia="Times New Roman"/>
                <w:sz w:val="20"/>
                <w:szCs w:val="20"/>
              </w:rPr>
              <w:t> </w:t>
            </w:r>
          </w:p>
        </w:tc>
      </w:tr>
      <w:tr w:rsidR="00000000" w14:paraId="15239906" w14:textId="77777777">
        <w:trPr>
          <w:divId w:val="305475121"/>
        </w:trPr>
        <w:tc>
          <w:tcPr>
            <w:tcW w:w="0" w:type="auto"/>
            <w:hideMark/>
          </w:tcPr>
          <w:p w14:paraId="6CECFF6E"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5B102335" w14:textId="77777777" w:rsidR="00000000" w:rsidRDefault="002F725F">
            <w:pPr>
              <w:rPr>
                <w:rFonts w:eastAsia="Times New Roman"/>
                <w:sz w:val="20"/>
                <w:szCs w:val="20"/>
              </w:rPr>
            </w:pPr>
            <w:r>
              <w:rPr>
                <w:rFonts w:eastAsia="Times New Roman"/>
                <w:b/>
                <w:bCs/>
                <w:sz w:val="20"/>
                <w:szCs w:val="20"/>
              </w:rPr>
              <w:t>HUAQIN XUE</w:t>
            </w:r>
            <w:r>
              <w:rPr>
                <w:rFonts w:eastAsia="Times New Roman"/>
                <w:sz w:val="20"/>
                <w:szCs w:val="20"/>
              </w:rPr>
              <w:t xml:space="preserve">  </w:t>
            </w:r>
          </w:p>
        </w:tc>
      </w:tr>
      <w:tr w:rsidR="00000000" w14:paraId="4881641D" w14:textId="77777777">
        <w:trPr>
          <w:divId w:val="305475121"/>
        </w:trPr>
        <w:tc>
          <w:tcPr>
            <w:tcW w:w="0" w:type="auto"/>
            <w:hideMark/>
          </w:tcPr>
          <w:p w14:paraId="11B23CD2"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7DD3FC42" w14:textId="77777777" w:rsidR="00000000" w:rsidRDefault="002F725F">
            <w:pPr>
              <w:rPr>
                <w:rFonts w:eastAsia="Times New Roman"/>
                <w:sz w:val="20"/>
                <w:szCs w:val="20"/>
              </w:rPr>
            </w:pPr>
            <w:r>
              <w:rPr>
                <w:rFonts w:eastAsia="Times New Roman"/>
                <w:sz w:val="20"/>
                <w:szCs w:val="20"/>
              </w:rPr>
              <w:t> </w:t>
            </w:r>
          </w:p>
        </w:tc>
      </w:tr>
      <w:tr w:rsidR="00000000" w14:paraId="47D0BFA2" w14:textId="77777777">
        <w:trPr>
          <w:divId w:val="305475121"/>
        </w:trPr>
        <w:tc>
          <w:tcPr>
            <w:tcW w:w="0" w:type="auto"/>
            <w:hideMark/>
          </w:tcPr>
          <w:p w14:paraId="26EA9B5B" w14:textId="77777777" w:rsidR="00000000" w:rsidRDefault="002F725F">
            <w:pPr>
              <w:rPr>
                <w:rFonts w:eastAsia="Times New Roman"/>
                <w:sz w:val="20"/>
                <w:szCs w:val="20"/>
              </w:rPr>
            </w:pPr>
            <w:r>
              <w:rPr>
                <w:rFonts w:eastAsia="Times New Roman"/>
                <w:sz w:val="20"/>
                <w:szCs w:val="20"/>
              </w:rPr>
              <w:t> </w:t>
            </w:r>
          </w:p>
        </w:tc>
        <w:tc>
          <w:tcPr>
            <w:tcW w:w="0" w:type="auto"/>
            <w:gridSpan w:val="3"/>
            <w:tcBorders>
              <w:bottom w:val="single" w:sz="12" w:space="0" w:color="000000"/>
            </w:tcBorders>
            <w:hideMark/>
          </w:tcPr>
          <w:p w14:paraId="1156BE57" w14:textId="77777777" w:rsidR="00000000" w:rsidRDefault="002F725F">
            <w:pPr>
              <w:rPr>
                <w:rFonts w:eastAsia="Times New Roman"/>
                <w:sz w:val="20"/>
                <w:szCs w:val="20"/>
              </w:rPr>
            </w:pPr>
            <w:r>
              <w:rPr>
                <w:rFonts w:eastAsia="Times New Roman"/>
                <w:sz w:val="20"/>
                <w:szCs w:val="20"/>
              </w:rPr>
              <w:t>/s/ Huaqin Xue  </w:t>
            </w:r>
          </w:p>
        </w:tc>
      </w:tr>
    </w:tbl>
    <w:p w14:paraId="2E549440"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7DC83263" w14:textId="77777777" w:rsidR="00000000" w:rsidRDefault="002F725F">
      <w:pPr>
        <w:pStyle w:val="NormalWeb"/>
        <w:spacing w:before="0" w:beforeAutospacing="0" w:after="0" w:afterAutospacing="0"/>
        <w:jc w:val="center"/>
        <w:divId w:val="305475121"/>
        <w:rPr>
          <w:sz w:val="20"/>
          <w:szCs w:val="20"/>
        </w:rPr>
      </w:pPr>
      <w:r>
        <w:rPr>
          <w:sz w:val="20"/>
          <w:szCs w:val="20"/>
        </w:rPr>
        <w:t>[</w:t>
      </w:r>
      <w:r>
        <w:rPr>
          <w:i/>
          <w:iCs/>
          <w:sz w:val="20"/>
          <w:szCs w:val="20"/>
        </w:rPr>
        <w:t>Signature Page to Schedule 13E-3 Transaction Statement</w:t>
      </w:r>
      <w:r>
        <w:rPr>
          <w:sz w:val="20"/>
          <w:szCs w:val="20"/>
        </w:rPr>
        <w:t>]</w:t>
      </w:r>
    </w:p>
    <w:p w14:paraId="044209B0"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747A5304" w14:textId="77777777" w:rsidR="00000000" w:rsidRDefault="002F725F">
      <w:pPr>
        <w:pStyle w:val="NormalWeb"/>
        <w:spacing w:before="0" w:beforeAutospacing="0" w:after="0" w:afterAutospacing="0"/>
        <w:jc w:val="center"/>
        <w:divId w:val="123936941"/>
        <w:rPr>
          <w:sz w:val="20"/>
          <w:szCs w:val="20"/>
        </w:rPr>
      </w:pPr>
      <w:r>
        <w:rPr>
          <w:sz w:val="20"/>
          <w:szCs w:val="20"/>
        </w:rPr>
        <w:t>1</w:t>
      </w:r>
      <w:r>
        <w:rPr>
          <w:sz w:val="20"/>
          <w:szCs w:val="20"/>
        </w:rPr>
        <w:t>7</w:t>
      </w:r>
    </w:p>
    <w:p w14:paraId="13CFB57F" w14:textId="77777777" w:rsidR="00000000" w:rsidRDefault="002F725F">
      <w:pPr>
        <w:pStyle w:val="NormalWeb"/>
        <w:spacing w:before="0" w:beforeAutospacing="0" w:after="0" w:afterAutospacing="0"/>
        <w:jc w:val="center"/>
        <w:divId w:val="305475121"/>
        <w:rPr>
          <w:sz w:val="20"/>
          <w:szCs w:val="20"/>
        </w:rPr>
      </w:pPr>
      <w:r>
        <w:rPr>
          <w:sz w:val="20"/>
          <w:szCs w:val="20"/>
        </w:rPr>
        <w:t> </w:t>
      </w:r>
    </w:p>
    <w:p w14:paraId="22727220" w14:textId="77777777" w:rsidR="00000000" w:rsidRDefault="002F725F">
      <w:pPr>
        <w:pStyle w:val="NormalWeb"/>
        <w:spacing w:before="0" w:beforeAutospacing="0" w:after="0" w:afterAutospacing="0"/>
        <w:jc w:val="right"/>
        <w:divId w:val="415980837"/>
        <w:rPr>
          <w:sz w:val="20"/>
          <w:szCs w:val="20"/>
        </w:rPr>
      </w:pPr>
      <w:bookmarkStart w:id="17" w:name="gfpea028961701ex99-a1.htm"/>
      <w:bookmarkEnd w:id="17"/>
      <w:r>
        <w:rPr>
          <w:b/>
          <w:bCs/>
          <w:sz w:val="20"/>
          <w:szCs w:val="20"/>
        </w:rPr>
        <w:t>Exhibit (a)-(1)</w:t>
      </w:r>
    </w:p>
    <w:p w14:paraId="1B90F6D1"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3596474" w14:textId="77777777" w:rsidR="00000000" w:rsidRDefault="002F725F">
      <w:pPr>
        <w:pStyle w:val="NormalWeb"/>
        <w:spacing w:before="0" w:beforeAutospacing="0" w:after="0" w:afterAutospacing="0"/>
        <w:jc w:val="center"/>
        <w:divId w:val="415980837"/>
        <w:rPr>
          <w:sz w:val="20"/>
          <w:szCs w:val="20"/>
        </w:rPr>
      </w:pPr>
      <w:r>
        <w:rPr>
          <w:sz w:val="20"/>
          <w:szCs w:val="20"/>
        </w:rPr>
        <w:t>PRELIMINARY PROXY STATEMENT OF THE COMPANY</w:t>
      </w:r>
    </w:p>
    <w:p w14:paraId="376F7648" w14:textId="77777777" w:rsidR="00000000" w:rsidRDefault="002F725F">
      <w:pPr>
        <w:pStyle w:val="NormalWeb"/>
        <w:spacing w:before="0" w:beforeAutospacing="0" w:after="0" w:afterAutospacing="0"/>
        <w:jc w:val="center"/>
        <w:divId w:val="415980837"/>
        <w:rPr>
          <w:sz w:val="20"/>
          <w:szCs w:val="20"/>
        </w:rPr>
      </w:pPr>
      <w:r>
        <w:rPr>
          <w:b/>
          <w:bCs/>
          <w:i/>
          <w:iCs/>
          <w:sz w:val="20"/>
          <w:szCs w:val="20"/>
        </w:rPr>
        <w:t> </w:t>
      </w:r>
    </w:p>
    <w:p w14:paraId="4A196E37" w14:textId="77777777" w:rsidR="00000000" w:rsidRDefault="002F725F">
      <w:pPr>
        <w:pStyle w:val="NormalWeb"/>
        <w:spacing w:before="0" w:beforeAutospacing="0" w:after="0" w:afterAutospacing="0"/>
        <w:jc w:val="center"/>
        <w:divId w:val="415980837"/>
        <w:rPr>
          <w:sz w:val="20"/>
          <w:szCs w:val="20"/>
        </w:rPr>
      </w:pPr>
      <w:r>
        <w:rPr>
          <w:rFonts w:asciiTheme="minorHAnsi" w:hAnsiTheme="minorHAnsi" w:cstheme="minorBidi"/>
          <w:noProof/>
          <w:sz w:val="22"/>
          <w:szCs w:val="22"/>
        </w:rPr>
        <w:drawing>
          <wp:inline distT="0" distB="0" distL="0" distR="0" wp14:anchorId="2F5BA458" wp14:editId="69BC8F92">
            <wp:extent cx="1619250" cy="628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19250" cy="628650"/>
                    </a:xfrm>
                    <a:prstGeom prst="rect">
                      <a:avLst/>
                    </a:prstGeom>
                    <a:noFill/>
                    <a:ln>
                      <a:noFill/>
                    </a:ln>
                  </pic:spPr>
                </pic:pic>
              </a:graphicData>
            </a:graphic>
          </wp:inline>
        </w:drawing>
      </w:r>
    </w:p>
    <w:p w14:paraId="4CA60773"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878ADF5" w14:textId="77777777" w:rsidR="00000000" w:rsidRDefault="002F725F">
      <w:pPr>
        <w:pStyle w:val="NormalWeb"/>
        <w:spacing w:before="0" w:beforeAutospacing="0" w:after="0" w:afterAutospacing="0"/>
        <w:jc w:val="both"/>
        <w:divId w:val="415980837"/>
        <w:rPr>
          <w:sz w:val="20"/>
          <w:szCs w:val="20"/>
        </w:rPr>
      </w:pPr>
      <w:r>
        <w:rPr>
          <w:sz w:val="20"/>
          <w:szCs w:val="20"/>
        </w:rPr>
        <w:t>Shareholders of LakeShore Biopharma Co., Ltd:</w:t>
      </w:r>
    </w:p>
    <w:p w14:paraId="68B6480C" w14:textId="77777777" w:rsidR="00000000" w:rsidRDefault="002F725F">
      <w:pPr>
        <w:pStyle w:val="NormalWeb"/>
        <w:spacing w:before="0" w:beforeAutospacing="0" w:after="0" w:afterAutospacing="0"/>
        <w:jc w:val="both"/>
        <w:divId w:val="415980837"/>
        <w:rPr>
          <w:sz w:val="20"/>
          <w:szCs w:val="20"/>
        </w:rPr>
      </w:pPr>
      <w:r>
        <w:rPr>
          <w:sz w:val="20"/>
          <w:szCs w:val="20"/>
        </w:rPr>
        <w:t>Re: Notice of Extraordinary General Meeting of Shareholders</w:t>
      </w:r>
    </w:p>
    <w:p w14:paraId="33F6EF7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34D92C8" w14:textId="77777777" w:rsidR="00000000" w:rsidRDefault="002F725F">
      <w:pPr>
        <w:pStyle w:val="NormalWeb"/>
        <w:spacing w:before="0" w:beforeAutospacing="0" w:after="0" w:afterAutospacing="0"/>
        <w:jc w:val="both"/>
        <w:divId w:val="415980837"/>
        <w:rPr>
          <w:sz w:val="20"/>
          <w:szCs w:val="20"/>
        </w:rPr>
      </w:pPr>
      <w:r>
        <w:rPr>
          <w:sz w:val="20"/>
          <w:szCs w:val="20"/>
        </w:rPr>
        <w:t>Dear Shareholder:</w:t>
      </w:r>
    </w:p>
    <w:p w14:paraId="7204C15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B7B34A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You are cordially invited to attend an extraordinary general meeting of shareholders of La</w:t>
      </w:r>
      <w:r>
        <w:rPr>
          <w:sz w:val="20"/>
          <w:szCs w:val="20"/>
        </w:rPr>
        <w:t>keShore Biopharma Co., Ltd, an exempted company with limited liability incorporated under the laws of the Cayman Islands (the “Company”), to be held on </w:t>
      </w:r>
      <w:r>
        <w:rPr>
          <w:sz w:val="20"/>
          <w:szCs w:val="20"/>
          <w:u w:val="single"/>
        </w:rPr>
        <w:t>                                  </w:t>
      </w:r>
      <w:r>
        <w:rPr>
          <w:sz w:val="20"/>
          <w:szCs w:val="20"/>
        </w:rPr>
        <w:t> at </w:t>
      </w:r>
      <w:r>
        <w:rPr>
          <w:sz w:val="20"/>
          <w:szCs w:val="20"/>
          <w:u w:val="single"/>
        </w:rPr>
        <w:t>                         </w:t>
      </w:r>
      <w:r>
        <w:rPr>
          <w:sz w:val="20"/>
          <w:szCs w:val="20"/>
        </w:rPr>
        <w:t xml:space="preserve">a.m. (Beijing Time). The meeting will be </w:t>
      </w:r>
      <w:r>
        <w:rPr>
          <w:sz w:val="20"/>
          <w:szCs w:val="20"/>
        </w:rPr>
        <w:t>held at</w:t>
      </w:r>
      <w:r>
        <w:rPr>
          <w:sz w:val="20"/>
          <w:szCs w:val="20"/>
          <w:u w:val="single"/>
        </w:rPr>
        <w:t>                               </w:t>
      </w:r>
      <w:r>
        <w:rPr>
          <w:sz w:val="20"/>
          <w:szCs w:val="20"/>
        </w:rPr>
        <w:t>or at such other time on such other date and at such other place to which the meeting may be adjourned. The accompanying notice of the extraordinary general meeting and proxy statement provide information regarding the</w:t>
      </w:r>
      <w:r>
        <w:rPr>
          <w:sz w:val="20"/>
          <w:szCs w:val="20"/>
        </w:rPr>
        <w:t xml:space="preserve"> matters to be considered and voted on at the extraordinary general meeting, including at any adjournment or postponement thereof.</w:t>
      </w:r>
    </w:p>
    <w:p w14:paraId="009EB32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34C58A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November 4, 2025, the Company entered into an Agreement and Plan of Merger (the “Original Merger Agreement”) with Oceanp</w:t>
      </w:r>
      <w:r>
        <w:rPr>
          <w:sz w:val="20"/>
          <w:szCs w:val="20"/>
        </w:rPr>
        <w:t>ine Skyline Inc., an exempted company with limited liability incorporated under the laws of the Cayman Islands (“Parent”), and Oceanpine Merger Sub Inc., an exempted company with limited liability incorporated under the laws of the Cayman Islands and a who</w:t>
      </w:r>
      <w:r>
        <w:rPr>
          <w:sz w:val="20"/>
          <w:szCs w:val="20"/>
        </w:rPr>
        <w:t>lly owned subsidiary of Parent (“Merger Sub”). On April 29, 2026, the Company, Parent and Merger Sub entered into Amendment No. 1 to Agreement and Plan of Merger (“Amendment No. 1 to the Merger Agreement”). The Original Merger Agreement, as amended by Amen</w:t>
      </w:r>
      <w:r>
        <w:rPr>
          <w:sz w:val="20"/>
          <w:szCs w:val="20"/>
        </w:rPr>
        <w:t>dment No. 1 to the Merger Agreement and as may be further amended from time to time, is hereinafter referred to as the “Merger Agreement.” Pursuant to the Merger Agreement, Merger Sub will be merged with and into the Company (the “Merger”), with the Compan</w:t>
      </w:r>
      <w:r>
        <w:rPr>
          <w:sz w:val="20"/>
          <w:szCs w:val="20"/>
        </w:rPr>
        <w:t xml:space="preserve">y continuing as the surviving company (the “Surviving Company”) and becoming a wholly owned subsidiary of Parent. The purpose of the extraordinary general meeting is for you and the other </w:t>
      </w:r>
      <w:r>
        <w:rPr>
          <w:sz w:val="20"/>
          <w:szCs w:val="20"/>
        </w:rPr>
        <w:lastRenderedPageBreak/>
        <w:t>registered shareholders of the Company to consider and vote, amongst</w:t>
      </w:r>
      <w:r>
        <w:rPr>
          <w:sz w:val="20"/>
          <w:szCs w:val="20"/>
        </w:rPr>
        <w:t xml:space="preserve"> other things, upon a proposal to authorize and approve the Merger Agreement and the plan of merger required to be filed with the Registrar of Companies of the Cayman Islands in connection with the Merger (the “Plan of Merger”) and the transactions contemp</w:t>
      </w:r>
      <w:r>
        <w:rPr>
          <w:sz w:val="20"/>
          <w:szCs w:val="20"/>
        </w:rPr>
        <w:t>lated by the Merger Agreement and the Plan of Merger, including the Merger, the Variation of Share Capital and the Adoption of Amended M&amp;A (collectively, the “Transactions”). Copies of the Merger Agreement and the form of the Plan of Merger are attached as</w:t>
      </w:r>
      <w:r>
        <w:rPr>
          <w:sz w:val="20"/>
          <w:szCs w:val="20"/>
        </w:rPr>
        <w:t xml:space="preserve"> Annex A and Annex B, respectively, to the accompanying proxy statement.</w:t>
      </w:r>
    </w:p>
    <w:p w14:paraId="02F2DFC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A80C9E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Each of Parent and Merger Sub was formed solely for purposes of the Merger and the investment and financing transactions related to the Merger. At the effective time of the Merger (</w:t>
      </w:r>
      <w:r>
        <w:rPr>
          <w:sz w:val="20"/>
          <w:szCs w:val="20"/>
        </w:rPr>
        <w:t>the “Effective Time”), Parent will be beneficially owned by Oceanpine Capital Inc. (the “Sponsor”), Oceanpine Investment Fund II LP (“Oceanpine Investment”), Crystal Peak Investment Inc. (“Crystal Peak”), Adjuvant Global Health Technology Fund, L.P. (“Adju</w:t>
      </w:r>
      <w:r>
        <w:rPr>
          <w:sz w:val="20"/>
          <w:szCs w:val="20"/>
        </w:rPr>
        <w:t>vant Fund”), Adjuvant Global Health Technology Fund DE, L.P. (“Adjuvant Fund DE”, together with Adjuvant Fund, collectively, “Adjuvant Capital”), Superstring Capital Master Fund LP (“Superstring Capital”), MSA GROWTH FUND II, L.P. (“MSA Growth”), and Epiph</w:t>
      </w:r>
      <w:r>
        <w:rPr>
          <w:sz w:val="20"/>
          <w:szCs w:val="20"/>
        </w:rPr>
        <w:t>ron Capital (Hong Kong) Limited (“Epiphron Capital”) (collectively, the “Rollover Shareholders”). Throughout this proxy statement, Parent, Merger Sub and the Rollover Shareholders are collectively referred to as the “Buyer Group.” Parent, Merger Sub, the S</w:t>
      </w:r>
      <w:r>
        <w:rPr>
          <w:sz w:val="20"/>
          <w:szCs w:val="20"/>
        </w:rPr>
        <w:t>ponsor, Oceanpine Investment, Dave Liguang Chenn, Crystal Peak, Crystal Peak Holdings Inc. (“Crystal Holdings”), and Huaqin Xue are collectively referred to herein as the “Buyer Filing Persons,” and each, the “Buyer Filing Person.” Adjuvant Capital, Supers</w:t>
      </w:r>
      <w:r>
        <w:rPr>
          <w:sz w:val="20"/>
          <w:szCs w:val="20"/>
        </w:rPr>
        <w:t xml:space="preserve">tring Capital, MSA Growth and Epiphron Capital are collectively referred to herein as the “Other Rollover Shareholders,” and each, the “Other Rollover Shareholder.” As of the date of the accompanying proxy statement, the Rollover Shareholders collectively </w:t>
      </w:r>
      <w:r>
        <w:rPr>
          <w:sz w:val="20"/>
          <w:szCs w:val="20"/>
        </w:rPr>
        <w:t xml:space="preserve">beneficially own 21,988,169 ordinary shares, par value US$0.0002 per share, of the Company (each, a “Share”), which collectively represent approximately 53.35% of the voting power of the total issued and outstanding Shares. If the Merger is completed, the </w:t>
      </w:r>
      <w:r>
        <w:rPr>
          <w:sz w:val="20"/>
          <w:szCs w:val="20"/>
        </w:rPr>
        <w:t>Company will continue its operations as a privately held company and will be wholly owned by Parent, and the Shares and the warrants to purchase Shares (each, a “Company Warrant”, and collectively, the “Company Warrants”) will no longer be listed for quota</w:t>
      </w:r>
      <w:r>
        <w:rPr>
          <w:sz w:val="20"/>
          <w:szCs w:val="20"/>
        </w:rPr>
        <w:t>tion on OTC Pink tier of the OTC Markets (“OTC Pink”).</w:t>
      </w:r>
    </w:p>
    <w:p w14:paraId="79CED4F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ECC4EF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If the Merger is consummated, at the Effective Time, each Share issued and outstanding immediately prior to the Effective Time, other than the Excluded Shares (as defined below) and the Dissenting Sh</w:t>
      </w:r>
      <w:r>
        <w:rPr>
          <w:sz w:val="20"/>
          <w:szCs w:val="20"/>
        </w:rPr>
        <w:t>ares (as defined below), will be cancelled in exchange for the right to receive US$0.066 in cash per Share, without interest and net of any applicable withholding taxes (the “Per Share Merger Consideration”).</w:t>
      </w:r>
    </w:p>
    <w:p w14:paraId="4EFD0CF3"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CE6B638" w14:textId="77777777" w:rsidR="00000000" w:rsidRDefault="002F725F">
      <w:pPr>
        <w:pStyle w:val="NormalWeb"/>
        <w:spacing w:before="0" w:beforeAutospacing="0" w:after="0" w:afterAutospacing="0"/>
        <w:jc w:val="center"/>
        <w:divId w:val="759452389"/>
        <w:rPr>
          <w:sz w:val="20"/>
          <w:szCs w:val="20"/>
        </w:rPr>
      </w:pPr>
      <w:r>
        <w:rPr>
          <w:sz w:val="20"/>
          <w:szCs w:val="20"/>
        </w:rPr>
        <w:t> </w:t>
      </w:r>
    </w:p>
    <w:p w14:paraId="19E96A6C"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AA4702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Notwithstanding the foregoing, if the Mer</w:t>
      </w:r>
      <w:r>
        <w:rPr>
          <w:sz w:val="20"/>
          <w:szCs w:val="20"/>
        </w:rPr>
        <w:t>ger is completed, the following Shares will not be cancelled in exchange for the right to receive the cash consideration described above, but will be cancelled and cease to exist at the Effective Time:</w:t>
      </w:r>
    </w:p>
    <w:p w14:paraId="01703802" w14:textId="77777777" w:rsidR="00000000" w:rsidRDefault="002F725F">
      <w:pPr>
        <w:pStyle w:val="NormalWeb"/>
        <w:spacing w:before="0" w:beforeAutospacing="0" w:after="0" w:afterAutospacing="0"/>
        <w:ind w:left="144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020CA266" w14:textId="77777777">
        <w:trPr>
          <w:divId w:val="415980837"/>
          <w:tblCellSpacing w:w="0" w:type="dxa"/>
        </w:trPr>
        <w:tc>
          <w:tcPr>
            <w:tcW w:w="720" w:type="dxa"/>
            <w:hideMark/>
          </w:tcPr>
          <w:p w14:paraId="4921470B" w14:textId="77777777" w:rsidR="00000000" w:rsidRDefault="002F725F">
            <w:pPr>
              <w:rPr>
                <w:sz w:val="20"/>
                <w:szCs w:val="20"/>
              </w:rPr>
            </w:pPr>
          </w:p>
        </w:tc>
        <w:tc>
          <w:tcPr>
            <w:tcW w:w="720" w:type="dxa"/>
            <w:hideMark/>
          </w:tcPr>
          <w:p w14:paraId="1CAF522F" w14:textId="77777777" w:rsidR="00000000" w:rsidRDefault="002F725F">
            <w:pPr>
              <w:rPr>
                <w:rFonts w:eastAsia="Times New Roman"/>
                <w:sz w:val="20"/>
                <w:szCs w:val="20"/>
              </w:rPr>
            </w:pPr>
            <w:r>
              <w:rPr>
                <w:rFonts w:eastAsia="Times New Roman"/>
                <w:sz w:val="20"/>
                <w:szCs w:val="20"/>
              </w:rPr>
              <w:t>(a)</w:t>
            </w:r>
          </w:p>
        </w:tc>
        <w:tc>
          <w:tcPr>
            <w:tcW w:w="0" w:type="auto"/>
            <w:hideMark/>
          </w:tcPr>
          <w:p w14:paraId="0CF08435" w14:textId="77777777" w:rsidR="00000000" w:rsidRDefault="002F725F">
            <w:pPr>
              <w:jc w:val="both"/>
              <w:rPr>
                <w:rFonts w:eastAsia="Times New Roman"/>
                <w:sz w:val="20"/>
                <w:szCs w:val="20"/>
              </w:rPr>
            </w:pPr>
            <w:r>
              <w:rPr>
                <w:rFonts w:eastAsia="Times New Roman"/>
                <w:sz w:val="20"/>
                <w:szCs w:val="20"/>
              </w:rPr>
              <w:t>(i) Shares beneficially owned (as determined pursuant to Rule 13d-3 under the Securities Exchange Act of 1934, as amended) by the Rollover Shareholders as of November 4, 2025, and any other Shares that may be acquired by any Rollover Shareholder between No</w:t>
            </w:r>
            <w:r>
              <w:rPr>
                <w:rFonts w:eastAsia="Times New Roman"/>
                <w:sz w:val="20"/>
                <w:szCs w:val="20"/>
              </w:rPr>
              <w:t>vember 4, 2025 and the Effective Time (collectively, the “Rollover Shares”), (ii) Shares held by Parent, Merger Sub and any of their respective affiliates, (iii) Shares held by the Company or any subsidiary of the Company or held in the Company’s treasury,</w:t>
            </w:r>
            <w:r>
              <w:rPr>
                <w:rFonts w:eastAsia="Times New Roman"/>
                <w:sz w:val="20"/>
                <w:szCs w:val="20"/>
              </w:rPr>
              <w:t xml:space="preserve"> and (iv) Shares held by holders who prior to the closing of the Merger agree with Parent not to receive any merger consideration with respect to such Shares, in each case, issued and outstanding immediately prior to the Effective Time (collectively, the “</w:t>
            </w:r>
            <w:r>
              <w:rPr>
                <w:rFonts w:eastAsia="Times New Roman"/>
                <w:sz w:val="20"/>
                <w:szCs w:val="20"/>
              </w:rPr>
              <w:t>Excluded Shares”), will be cancelled and cease to exist at the Effective Time without payment of any consideration or distribution therefor; and</w:t>
            </w:r>
          </w:p>
        </w:tc>
      </w:tr>
    </w:tbl>
    <w:p w14:paraId="39BEDEEC" w14:textId="77777777" w:rsidR="00000000" w:rsidRDefault="002F725F">
      <w:pPr>
        <w:pStyle w:val="NormalWeb"/>
        <w:spacing w:before="0" w:beforeAutospacing="0" w:after="0" w:afterAutospacing="0"/>
        <w:ind w:left="144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0741617E" w14:textId="77777777">
        <w:trPr>
          <w:divId w:val="415980837"/>
          <w:tblCellSpacing w:w="0" w:type="dxa"/>
        </w:trPr>
        <w:tc>
          <w:tcPr>
            <w:tcW w:w="720" w:type="dxa"/>
            <w:hideMark/>
          </w:tcPr>
          <w:p w14:paraId="6A7AE298" w14:textId="77777777" w:rsidR="00000000" w:rsidRDefault="002F725F">
            <w:pPr>
              <w:rPr>
                <w:sz w:val="20"/>
                <w:szCs w:val="20"/>
              </w:rPr>
            </w:pPr>
          </w:p>
        </w:tc>
        <w:tc>
          <w:tcPr>
            <w:tcW w:w="720" w:type="dxa"/>
            <w:hideMark/>
          </w:tcPr>
          <w:p w14:paraId="0753D06B" w14:textId="77777777" w:rsidR="00000000" w:rsidRDefault="002F725F">
            <w:pPr>
              <w:rPr>
                <w:rFonts w:eastAsia="Times New Roman"/>
                <w:sz w:val="20"/>
                <w:szCs w:val="20"/>
              </w:rPr>
            </w:pPr>
            <w:r>
              <w:rPr>
                <w:rFonts w:eastAsia="Times New Roman"/>
                <w:sz w:val="20"/>
                <w:szCs w:val="20"/>
              </w:rPr>
              <w:t>(b)</w:t>
            </w:r>
          </w:p>
        </w:tc>
        <w:tc>
          <w:tcPr>
            <w:tcW w:w="0" w:type="auto"/>
            <w:hideMark/>
          </w:tcPr>
          <w:p w14:paraId="356F3B44" w14:textId="77777777" w:rsidR="00000000" w:rsidRDefault="002F725F">
            <w:pPr>
              <w:jc w:val="both"/>
              <w:rPr>
                <w:rFonts w:eastAsia="Times New Roman"/>
                <w:sz w:val="20"/>
                <w:szCs w:val="20"/>
              </w:rPr>
            </w:pPr>
            <w:r>
              <w:rPr>
                <w:rFonts w:eastAsia="Times New Roman"/>
                <w:sz w:val="20"/>
                <w:szCs w:val="20"/>
              </w:rPr>
              <w:t>Shares that are issued and outstanding immediately prior to the Effective Time and that are held by reg</w:t>
            </w:r>
            <w:r>
              <w:rPr>
                <w:rFonts w:eastAsia="Times New Roman"/>
                <w:sz w:val="20"/>
                <w:szCs w:val="20"/>
              </w:rPr>
              <w:t>istered shareholders who have validly exercised and have not effectively withdrawn or lost their rights to dissent from the Merger (the “Dissenting Shares”) in accordance with Section 238 of the Companies Act (As Revised) of the Cayman Islands (the “Cayman</w:t>
            </w:r>
            <w:r>
              <w:rPr>
                <w:rFonts w:eastAsia="Times New Roman"/>
                <w:sz w:val="20"/>
                <w:szCs w:val="20"/>
              </w:rPr>
              <w:t xml:space="preserve"> Islands Companies Act”) will be cancelled and cease to exist at the Effective Time and the holders of such Dissenting Shares will </w:t>
            </w:r>
            <w:r>
              <w:rPr>
                <w:rFonts w:eastAsia="Times New Roman"/>
                <w:sz w:val="20"/>
                <w:szCs w:val="20"/>
              </w:rPr>
              <w:lastRenderedPageBreak/>
              <w:t xml:space="preserve">be entitled to receive only the payment of the fair value of their Dissenting Shares as determined by the Grand Court of the </w:t>
            </w:r>
            <w:r>
              <w:rPr>
                <w:rFonts w:eastAsia="Times New Roman"/>
                <w:sz w:val="20"/>
                <w:szCs w:val="20"/>
              </w:rPr>
              <w:t>Cayman Islands in accordance with Section 238 of the Cayman Islands Companies Act.</w:t>
            </w:r>
          </w:p>
        </w:tc>
      </w:tr>
    </w:tbl>
    <w:p w14:paraId="7245E4AE"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p w14:paraId="7E62D31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From and after the Effective Time, each Company Warrant will, by virtue of the Merger, be treated in the manner as set forth in the warrant agreement, dated June 8, 2021,</w:t>
      </w:r>
      <w:r>
        <w:rPr>
          <w:sz w:val="20"/>
          <w:szCs w:val="20"/>
        </w:rPr>
        <w:t xml:space="preserve"> by and between Summit Healthcare Acquisition Corp. and Continental Stock Transfer &amp; Trust Company, as amended by the warrant assignment agreement, dated September 29, 2022, by and among Summit Healthcare Acquisition Corp., the Company and Continental Stoc</w:t>
      </w:r>
      <w:r>
        <w:rPr>
          <w:sz w:val="20"/>
          <w:szCs w:val="20"/>
        </w:rPr>
        <w:t>k Transfer &amp; Trust Company (the “Warrant Agreement”).</w:t>
      </w:r>
    </w:p>
    <w:p w14:paraId="3049A23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3E168C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Pursuant to Section 4.5 of the Warrant Agreement, in the case of any merger or consolidation of the Company with or into another corporation (other than a consolidation or merger in which the Company </w:t>
      </w:r>
      <w:r>
        <w:rPr>
          <w:sz w:val="20"/>
          <w:szCs w:val="20"/>
        </w:rPr>
        <w:t>is the continuing corporation and that does not result in any reclassification or reorganization of the issued and outstanding Shares), the holders of the Company Warrants shall thereafter have the right to purchase and receive, upon the basis and upon the</w:t>
      </w:r>
      <w:r>
        <w:rPr>
          <w:sz w:val="20"/>
          <w:szCs w:val="20"/>
        </w:rPr>
        <w:t xml:space="preserve"> terms and conditions specified in the Company Warrants and in lieu of the Shares immediately theretofore purchasable and receivable upon the exercise of the rights represented thereby, the kind and amount of shares or stock or other securities or property</w:t>
      </w:r>
      <w:r>
        <w:rPr>
          <w:sz w:val="20"/>
          <w:szCs w:val="20"/>
        </w:rPr>
        <w:t xml:space="preserve"> (including cash) receivable upon such merger or consolidation, that the holder of the Company Warrants would have received if such holder had exercised his, her or its Company Warrant(s) immediately prior to such event. Accordingly, as a result of the Mer</w:t>
      </w:r>
      <w:r>
        <w:rPr>
          <w:sz w:val="20"/>
          <w:szCs w:val="20"/>
        </w:rPr>
        <w:t>ger and immediately after the Effective Time, the holder(s) of each of the Company Warrants that is issued and outstanding immediately prior to the Effective Time will have the right to receive US$0.0066 (being one-tenth of the Per Share Merger Considerati</w:t>
      </w:r>
      <w:r>
        <w:rPr>
          <w:sz w:val="20"/>
          <w:szCs w:val="20"/>
        </w:rPr>
        <w:t>on as one Company Warrant is exercisable for one-tenth of a Share) per Company Warrant in cash, upon the exercise of such Company Warrant by paying US$11.5, the exercise price per Company Warrant, to the Surviving Company.</w:t>
      </w:r>
    </w:p>
    <w:p w14:paraId="497E899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6714F2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Section 4.5 of the Warrant Agre</w:t>
      </w:r>
      <w:r>
        <w:rPr>
          <w:sz w:val="20"/>
          <w:szCs w:val="20"/>
        </w:rPr>
        <w:t>ement further provides that, if less than 70% of the consideration receivable by the holders of the Shares in such a transaction is payable in the form of shares in the successor entity that is listed for trading on a national securities exchange or is quo</w:t>
      </w:r>
      <w:r>
        <w:rPr>
          <w:sz w:val="20"/>
          <w:szCs w:val="20"/>
        </w:rPr>
        <w:t>ted in an established over-the-counter market, or is to be so listed for trading or quoted immediately following such event, and if the registered holder of the Company Warrant properly exercises the Company Warrant within thirty days following public disc</w:t>
      </w:r>
      <w:r>
        <w:rPr>
          <w:sz w:val="20"/>
          <w:szCs w:val="20"/>
        </w:rPr>
        <w:t>losure of the consummation of such applicable event by the Company, the warrant exercise price will be reduced as specified in the Warrant Agreement based on the Black-Scholes value (as defined in the Warrant Agreement) of the Company Warrant.</w:t>
      </w:r>
    </w:p>
    <w:p w14:paraId="13F586B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D3D2F1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or prio</w:t>
      </w:r>
      <w:r>
        <w:rPr>
          <w:sz w:val="20"/>
          <w:szCs w:val="20"/>
        </w:rPr>
        <w:t>r to the Effective Time, the Company will terminate the 2020 Share Incentive Plan of the Company (the “2020 Plan”) and the 2024 Share Incentive Plan of the Company (the “2024 Plan” and together with the 2020 Plan, the “Share Incentive Plans”) and all award</w:t>
      </w:r>
      <w:r>
        <w:rPr>
          <w:sz w:val="20"/>
          <w:szCs w:val="20"/>
        </w:rPr>
        <w:t xml:space="preserve"> agreements entered into under each option to purchase Shares (each, a “Company Option”) and each restricted share unit or other right to acquire Shares (each, a “Company RSU”) granted under the Share Incentive Plans, effective as of the Effective Time.</w:t>
      </w:r>
    </w:p>
    <w:p w14:paraId="3F4513D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8173B08" w14:textId="77777777" w:rsidR="00000000" w:rsidRDefault="002F725F">
      <w:pPr>
        <w:pStyle w:val="NormalWeb"/>
        <w:spacing w:before="0" w:beforeAutospacing="0" w:after="0" w:afterAutospacing="0"/>
        <w:jc w:val="center"/>
        <w:divId w:val="1216353154"/>
        <w:rPr>
          <w:sz w:val="20"/>
          <w:szCs w:val="20"/>
        </w:rPr>
      </w:pPr>
      <w:r>
        <w:rPr>
          <w:sz w:val="20"/>
          <w:szCs w:val="20"/>
        </w:rPr>
        <w:t>i</w:t>
      </w:r>
      <w:r>
        <w:rPr>
          <w:sz w:val="20"/>
          <w:szCs w:val="20"/>
        </w:rPr>
        <w:t>i</w:t>
      </w:r>
    </w:p>
    <w:p w14:paraId="0E407B86"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ACF807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Each Company Option granted under the 2020 Plan that is not vested and is outstanding immediately prior to the Effective Time will become fully vested as of the Effective Time. Each Company Option granted under the 2020 Plan that is fully vested and o</w:t>
      </w:r>
      <w:r>
        <w:rPr>
          <w:sz w:val="20"/>
          <w:szCs w:val="20"/>
        </w:rPr>
        <w:t xml:space="preserve">utstanding immediately prior to the Effective Time and the unvested Company Options that become fully vested as of the Effective Time pursuant to the preceding sentence will be cancelled as of the Effective Time and immediately converted into the right to </w:t>
      </w:r>
      <w:r>
        <w:rPr>
          <w:sz w:val="20"/>
          <w:szCs w:val="20"/>
        </w:rPr>
        <w:t>receive in exchange therefor an amount of cash equal to (i) the excess, if any, of (A) the Per Share Merger Consideration over (B) the exercise price of such Company Option, multiplied by (ii) the number of Shares underlying such Company Option, which amou</w:t>
      </w:r>
      <w:r>
        <w:rPr>
          <w:sz w:val="20"/>
          <w:szCs w:val="20"/>
        </w:rPr>
        <w:t>nt will be paid as soon as reasonably practicable following the Effective Time by the Surviving Company pursuant to the ordinary payroll practices; provided, that if the exercise price of any such vested Company Option is equal to or greater than the Per S</w:t>
      </w:r>
      <w:r>
        <w:rPr>
          <w:sz w:val="20"/>
          <w:szCs w:val="20"/>
        </w:rPr>
        <w:t>hare Merger Consideration, such vested Company Option will be cancelled without any payment therefor.</w:t>
      </w:r>
    </w:p>
    <w:p w14:paraId="657F7B2A"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6A4EDB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Each Company RSU granted under the 2020 Plan that is not vested and is outstanding immediately prior to the Effective Time will become fully vested imme</w:t>
      </w:r>
      <w:r>
        <w:rPr>
          <w:sz w:val="20"/>
          <w:szCs w:val="20"/>
        </w:rPr>
        <w:t xml:space="preserve">diately prior to the Effective Time. Each Company RSU granted under the 2020 Plan that is fully vested and outstanding immediately prior to the Effective Time and the unvested </w:t>
      </w:r>
      <w:r>
        <w:rPr>
          <w:sz w:val="20"/>
          <w:szCs w:val="20"/>
        </w:rPr>
        <w:lastRenderedPageBreak/>
        <w:t>Company RSUs that become fully vested as of the Effective Time pursuant to the p</w:t>
      </w:r>
      <w:r>
        <w:rPr>
          <w:sz w:val="20"/>
          <w:szCs w:val="20"/>
        </w:rPr>
        <w:t>receding sentence will be cancelled as of the Effective Time and immediately converted into the right to receive in exchange therefor an amount of cash equal to (i) the Per Share Merger Consideration, multiplied by (ii) the number of Shares subject to such</w:t>
      </w:r>
      <w:r>
        <w:rPr>
          <w:sz w:val="20"/>
          <w:szCs w:val="20"/>
        </w:rPr>
        <w:t xml:space="preserve"> Company RSUs, which amount will be paid as soon as reasonably practicable following the Effective Time by the Surviving Company pursuant to the ordinary payroll practices.</w:t>
      </w:r>
    </w:p>
    <w:p w14:paraId="6040A88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B8E001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At the Effective Time, except as otherwise agreed to in writing between a holder </w:t>
      </w:r>
      <w:r>
        <w:rPr>
          <w:sz w:val="20"/>
          <w:szCs w:val="20"/>
        </w:rPr>
        <w:t>of a Company Option and Parent, each Company Option under the 2024 Plan, whether vested or unvested, will be assumed by Parent as an option to purchase the shares of Parent (“Parent Shares”) under an equity incentive plan to be established by Parent, exerc</w:t>
      </w:r>
      <w:r>
        <w:rPr>
          <w:sz w:val="20"/>
          <w:szCs w:val="20"/>
        </w:rPr>
        <w:t>isable into a number of Parent Shares equal to the product of (i) the number of Shares subject to the corresponding Company Option immediately prior to the Effective Time, multiplied by (ii) a fraction (such ratio, the “Exchange Ratio”), the numerator of w</w:t>
      </w:r>
      <w:r>
        <w:rPr>
          <w:sz w:val="20"/>
          <w:szCs w:val="20"/>
        </w:rPr>
        <w:t>hich is the Per Share Merger Consideration and the denominator of which is the fair market value of a Parent Share as of the Effective Time, and rounding such product down to the nearest whole number of Parent Shares, with an exercise price per share subje</w:t>
      </w:r>
      <w:r>
        <w:rPr>
          <w:sz w:val="20"/>
          <w:szCs w:val="20"/>
        </w:rPr>
        <w:t xml:space="preserve">ct to the assumed option equal to the exercise price for which the corresponding Company Option was exercisable immediately prior to the Effective Time divided by the Exchange Ratio, and rounded up to the nearest whole cent. Except as provided above, each </w:t>
      </w:r>
      <w:r>
        <w:rPr>
          <w:sz w:val="20"/>
          <w:szCs w:val="20"/>
        </w:rPr>
        <w:t>assumed option will continue to have, and be subject to, the same terms and conditions as the corresponding Company Option set forth in the 2024 Plan and the applicable award agreement as in effect immediately prior to the Effective Time.</w:t>
      </w:r>
    </w:p>
    <w:p w14:paraId="01A70D7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0BB3E4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the Effectiv</w:t>
      </w:r>
      <w:r>
        <w:rPr>
          <w:sz w:val="20"/>
          <w:szCs w:val="20"/>
        </w:rPr>
        <w:t>e Time, except as otherwise agreed to in writing between a holder of a Company RSU and Parent, each Company RSU under the 2024 Plan, whether vested or unvested, will be assumed by Parent as a restricted stock unit award with respect to a number of Parent S</w:t>
      </w:r>
      <w:r>
        <w:rPr>
          <w:sz w:val="20"/>
          <w:szCs w:val="20"/>
        </w:rPr>
        <w:t>hares equal to the product of (i) the number of Shares subject to such Company RSU immediately prior to the Effective Time, multiplied by (ii) the Exchange Ratio, rounding such product down to the nearest whole number of Parent Shares. Except as provided a</w:t>
      </w:r>
      <w:r>
        <w:rPr>
          <w:sz w:val="20"/>
          <w:szCs w:val="20"/>
        </w:rPr>
        <w:t>bove, each assumed restricted stock unit award will continue to have, and be subject to, the same terms and conditions as the corresponding Company RSU set forth in the 2024 Plan and the applicable award agreement as in effect immediately prior to the Effe</w:t>
      </w:r>
      <w:r>
        <w:rPr>
          <w:sz w:val="20"/>
          <w:szCs w:val="20"/>
        </w:rPr>
        <w:t>ctive Time.</w:t>
      </w:r>
    </w:p>
    <w:p w14:paraId="2A520E2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8F5CF0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Parent may seek, prior to the closing date, to agree with an individual holder of any Company Options or Company RSUs that all or a portion of such holder’s Company Options or Company RSUs will not be treated as provided in the Merger Agreeme</w:t>
      </w:r>
      <w:r>
        <w:rPr>
          <w:sz w:val="20"/>
          <w:szCs w:val="20"/>
        </w:rPr>
        <w:t>nt, but will instead be treated as otherwise agreed by and among such holder, the Company and Parent; provided, that in no event will such arrangement result in the assumption, substitution or continuation of such Company Options or Company RSUs with terms</w:t>
      </w:r>
      <w:r>
        <w:rPr>
          <w:sz w:val="20"/>
          <w:szCs w:val="20"/>
        </w:rPr>
        <w:t xml:space="preserve"> and conditions that provide additional benefits to such individual holder as compared to terms and conditions in effect immediately prior to the Effective Time. The Company agrees that, to the extent that Parent has identified to the Company in writing, a</w:t>
      </w:r>
      <w:r>
        <w:rPr>
          <w:sz w:val="20"/>
          <w:szCs w:val="20"/>
        </w:rPr>
        <w:t>t least 15 days prior to the closing date, the individuals with whom it is seeking agreement with respect to such Company Options or Company RSUs, the Company will use commercially reasonable efforts to facilitate Parent’s access to such individuals in ord</w:t>
      </w:r>
      <w:r>
        <w:rPr>
          <w:sz w:val="20"/>
          <w:szCs w:val="20"/>
        </w:rPr>
        <w:t>er to discuss such alternative arrangement.</w:t>
      </w:r>
    </w:p>
    <w:p w14:paraId="7913734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A3B44E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the Effective Time, the memorandum and articles of association of the Company, by virtue of the Merger and without any further action by the Surviving Company, will be amended and restated in its entirety to</w:t>
      </w:r>
      <w:r>
        <w:rPr>
          <w:sz w:val="20"/>
          <w:szCs w:val="20"/>
        </w:rPr>
        <w:t xml:space="preserve"> read identically to the memorandum and articles of association of Merger Sub, as in effect immediately prior to the Effective Time (the “Adoption of Amended M&amp;A”), until thereafter amended in accordance with applicable laws and as provided in such memoran</w:t>
      </w:r>
      <w:r>
        <w:rPr>
          <w:sz w:val="20"/>
          <w:szCs w:val="20"/>
        </w:rPr>
        <w:t xml:space="preserve">dum and articles of association; provided, however, that, (a) all references to “Oceanpine Merger Sub Inc.” in the memorandum and articles of association of the Surviving Company will be amended to “LakeShore Biopharma Co., Ltd”, (b) references therein to </w:t>
      </w:r>
      <w:r>
        <w:rPr>
          <w:sz w:val="20"/>
          <w:szCs w:val="20"/>
        </w:rPr>
        <w:t>the authorized share capital of the Merger Sub will be amended as necessary to correctly describe the authorized share capital of the Surviving Company as approved in the Plan of Merger, and (c) such memorandum and articles of association will include such</w:t>
      </w:r>
      <w:r>
        <w:rPr>
          <w:sz w:val="20"/>
          <w:szCs w:val="20"/>
        </w:rPr>
        <w:t xml:space="preserve"> indemnification, advancement of expenses and exculpation provisions as required by the Merger Agreement.</w:t>
      </w:r>
    </w:p>
    <w:p w14:paraId="4ED0023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CF1511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the Effective Time, pursuant to the Merger Agreement and the Plan of Merger, the Company’s authorized share capital will be amended, from US$50,0</w:t>
      </w:r>
      <w:r>
        <w:rPr>
          <w:sz w:val="20"/>
          <w:szCs w:val="20"/>
        </w:rPr>
        <w:t>00 divided into 250,000,000 ordinary shares of a par value of US$0.0002 each to US$50,000 divided into 500,000,000 ordinary shares of a par value of US$0.0001 each (the “Variation of Share Capital”), which is necessary to align the Surviving Company’s auth</w:t>
      </w:r>
      <w:r>
        <w:rPr>
          <w:sz w:val="20"/>
          <w:szCs w:val="20"/>
        </w:rPr>
        <w:t>orized share capital to be the same as that of Merger Sub as set forth in the Plan of Merger. The Variation of Share Capital will not affect the merger consideration to be received by the Unaffiliated Security Holders.</w:t>
      </w:r>
    </w:p>
    <w:p w14:paraId="70C0D524"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p w14:paraId="30BDB499" w14:textId="77777777" w:rsidR="00000000" w:rsidRDefault="002F725F">
      <w:pPr>
        <w:pStyle w:val="NormalWeb"/>
        <w:spacing w:before="0" w:beforeAutospacing="0" w:after="0" w:afterAutospacing="0"/>
        <w:jc w:val="center"/>
        <w:divId w:val="1775436196"/>
        <w:rPr>
          <w:sz w:val="20"/>
          <w:szCs w:val="20"/>
        </w:rPr>
      </w:pPr>
      <w:r>
        <w:rPr>
          <w:sz w:val="20"/>
          <w:szCs w:val="20"/>
        </w:rPr>
        <w:t>ii</w:t>
      </w:r>
      <w:r>
        <w:rPr>
          <w:sz w:val="20"/>
          <w:szCs w:val="20"/>
        </w:rPr>
        <w:t>i</w:t>
      </w:r>
    </w:p>
    <w:p w14:paraId="78C6286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509A51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Buyer Group intends to fu</w:t>
      </w:r>
      <w:r>
        <w:rPr>
          <w:sz w:val="20"/>
          <w:szCs w:val="20"/>
        </w:rPr>
        <w:t>nd the merger consideration through a combination of (i) rollover equity (represented by the Rollover Shares) from the Rollover Shareholders and (ii) cash contribution by the Sponsor. On November 4, 2025, Parent entered into an equity commitment letter wit</w:t>
      </w:r>
      <w:r>
        <w:rPr>
          <w:sz w:val="20"/>
          <w:szCs w:val="20"/>
        </w:rPr>
        <w:t>h the Sponsor, which was amended and restated in its entirety by that certain amended and restated equity commitment letter, dated as of April 29, 2026, by and among Parent, the Sponsor and the Company (as may be further amended and restated from time to t</w:t>
      </w:r>
      <w:r>
        <w:rPr>
          <w:sz w:val="20"/>
          <w:szCs w:val="20"/>
        </w:rPr>
        <w:t>ime, the “Equity Commitment Letter”), pursuant to which the Sponsor has agreed, subject to the terms and conditions thereof, to provide or procure the provision of the necessary cash financing for the Transactions. Concurrently with the execution of the Or</w:t>
      </w:r>
      <w:r>
        <w:rPr>
          <w:sz w:val="20"/>
          <w:szCs w:val="20"/>
        </w:rPr>
        <w:t>iginal Merger Agreement, the Rollover Shareholders and Parent entered into a rollover and support agreement dated as of November 4, 2025, which was amended and restated in its entirety by that certain amended and restated rollover and support agreement, da</w:t>
      </w:r>
      <w:r>
        <w:rPr>
          <w:sz w:val="20"/>
          <w:szCs w:val="20"/>
        </w:rPr>
        <w:t xml:space="preserve">ted as of April 29, 2026, by and among Parent, the Rollover Shareholders and the Company (as may be further amended and restated from time to time, the “Support Agreement”). On the same date, the Sponsor executed and delivered a limited guarantee in favor </w:t>
      </w:r>
      <w:r>
        <w:rPr>
          <w:sz w:val="20"/>
          <w:szCs w:val="20"/>
        </w:rPr>
        <w:t>of the Company, which was amended and restated in its entirety by that certain amended and restated limited guarantee, dated as of April 29, 2026, by the Sponsor in favor of the Company (as may be further amended and restated from time to time, the “Limite</w:t>
      </w:r>
      <w:r>
        <w:rPr>
          <w:sz w:val="20"/>
          <w:szCs w:val="20"/>
        </w:rPr>
        <w:t>d Guarantee”), to guarantee certain payment obligations of Parent under the Merger Agreement.</w:t>
      </w:r>
    </w:p>
    <w:p w14:paraId="3E0ED53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A15AC5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April 28, 2026, a special committee of the board of directors of the Company (the “Board”), composed solely of independent and disinterested directors (the “</w:t>
      </w:r>
      <w:r>
        <w:rPr>
          <w:sz w:val="20"/>
          <w:szCs w:val="20"/>
        </w:rPr>
        <w:t>Special Committee”), acting with full power and authority delegated by the Board, reviewed and considered the terms and conditions of the Merger Agreement, the Plan of Merger, the Limited Guarantee and the Transactions. The Special Committee, after consult</w:t>
      </w:r>
      <w:r>
        <w:rPr>
          <w:sz w:val="20"/>
          <w:szCs w:val="20"/>
        </w:rPr>
        <w:t xml:space="preserve">ation with its financial advisor and legal counsel and due consideration of all relevant factors, unanimously (a) determined that the Merger as contemplated in the Merger Agreement and the Plan of Merger is fair to and in the best interests of the Company </w:t>
      </w:r>
      <w:r>
        <w:rPr>
          <w:sz w:val="20"/>
          <w:szCs w:val="20"/>
        </w:rPr>
        <w:t xml:space="preserve">and its shareholders, other than shareholders who are affiliates of the Company and the holders of Excluded Shares (such unaffiliated shareholders are referred to herein as the “Unaffiliated Security Holders”), and it is advisable for the Company to enter </w:t>
      </w:r>
      <w:r>
        <w:rPr>
          <w:sz w:val="20"/>
          <w:szCs w:val="20"/>
        </w:rPr>
        <w:t>into the Merger Agreement, the Plan of Merger, the Limited Guarantee and the consummation of the Transactions, and (b) recommended that the Board authorize and approve the Merger Agreement, the Plan of Merger, the Equity Commitment Letter, the Support Agre</w:t>
      </w:r>
      <w:r>
        <w:rPr>
          <w:sz w:val="20"/>
          <w:szCs w:val="20"/>
        </w:rPr>
        <w:t>ement, the Limited Guarantee, and the consummation of the Transactions.</w:t>
      </w:r>
    </w:p>
    <w:p w14:paraId="0C8162E5"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ABBA42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April 28, 2026, the Board (other than Ms. Rui (Rachel) Yu who recused herself from the meeting of the Board and Dr. Hui (David) Shao who abstained from voting at the meeting of th</w:t>
      </w:r>
      <w:r>
        <w:rPr>
          <w:sz w:val="20"/>
          <w:szCs w:val="20"/>
        </w:rPr>
        <w:t>e Board), acting upon the unanimous recommendation of the Special Committee, (a) determined that the Merger as contemplated in the Merger Agreement and the Plan of Merger is fair to and in the best interests of the Company and the Unaffiliated Security Hol</w:t>
      </w:r>
      <w:r>
        <w:rPr>
          <w:sz w:val="20"/>
          <w:szCs w:val="20"/>
        </w:rPr>
        <w:t>ders and it is advisable for the Company to enter into the Merger Agreement, the Plan of Merger, the Equity Commitment Letter, the Support Agreement and the Limited Guarantee and to consummate the Transactions, (b) authorized and approved the Merger Agreem</w:t>
      </w:r>
      <w:r>
        <w:rPr>
          <w:sz w:val="20"/>
          <w:szCs w:val="20"/>
        </w:rPr>
        <w:t>ent, the Plan of Merger, the Equity Commitment Letter, the Support Agreement, the Limited Guarantee and the Transactions, and (c) resolved to recommend the approval and authorization of the Merger Agreement, the Plan of Merger and the consummation of the T</w:t>
      </w:r>
      <w:r>
        <w:rPr>
          <w:sz w:val="20"/>
          <w:szCs w:val="20"/>
        </w:rPr>
        <w:t>ransactions to the shareholders of the Company and directed that the Merger Agreement, the Plan of Merger and the consummation of the Transactions be submitted to the shareholders of the Company for authorization and approval.</w:t>
      </w:r>
    </w:p>
    <w:p w14:paraId="6B94AE5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1F19227"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Accordingly, the Board reco</w:t>
      </w:r>
      <w:r>
        <w:rPr>
          <w:b/>
          <w:bCs/>
          <w:sz w:val="20"/>
          <w:szCs w:val="20"/>
        </w:rPr>
        <w:t>mmends that you vote FOR the proposal to authorize and approve the Merger Agreement, the Plan of Merger, and the consummation of the Transactions, including (i) the Merger; (ii) the variation of the authorized share capital of the Company from US$50,000 di</w:t>
      </w:r>
      <w:r>
        <w:rPr>
          <w:b/>
          <w:bCs/>
          <w:sz w:val="20"/>
          <w:szCs w:val="20"/>
        </w:rPr>
        <w:t>vided into 250,000,000 ordinary shares of a par value of US$0.0002 each to US$50,000 divided into 500,000,000 ordinary shares of a par value of US$0.0001 each, at the Effective Time (the “Variation of Share Capital”); and (iii) the amendment and restatemen</w:t>
      </w:r>
      <w:r>
        <w:rPr>
          <w:b/>
          <w:bCs/>
          <w:sz w:val="20"/>
          <w:szCs w:val="20"/>
        </w:rPr>
        <w:t xml:space="preserve">t of the existing memorandum and articles of association by their deletion in their entirety and the substitution in their place of the new memorandum and articles of association at the Effective Time, in the form attached as Annex 2 to the Plan of Merger </w:t>
      </w:r>
      <w:r>
        <w:rPr>
          <w:b/>
          <w:bCs/>
          <w:sz w:val="20"/>
          <w:szCs w:val="20"/>
        </w:rPr>
        <w:t xml:space="preserve">(the “Adoption of Amended M&amp;A”), FOR the proposal to authorize each of the members of the Special Committee to do all things necessary to give effect to the Merger Agreement, the Plan of Merger, and the Transactions, including the Merger, the Variation of </w:t>
      </w:r>
      <w:r>
        <w:rPr>
          <w:b/>
          <w:bCs/>
          <w:sz w:val="20"/>
          <w:szCs w:val="20"/>
        </w:rPr>
        <w:t xml:space="preserve">Share Capital, </w:t>
      </w:r>
      <w:r>
        <w:rPr>
          <w:b/>
          <w:bCs/>
          <w:sz w:val="20"/>
          <w:szCs w:val="20"/>
        </w:rPr>
        <w:lastRenderedPageBreak/>
        <w:t>and the Adoption of Amended M&amp;A, and FOR the proposal to adjourn the extraordinary general meeting in order to allow the Company to solicit additional proxies in the event that there are insufficient proxies received at the time of the extra</w:t>
      </w:r>
      <w:r>
        <w:rPr>
          <w:b/>
          <w:bCs/>
          <w:sz w:val="20"/>
          <w:szCs w:val="20"/>
        </w:rPr>
        <w:t>ordinary general meeting to pass the special resolutions to be proposed at the extraordinary general meeting.</w:t>
      </w:r>
    </w:p>
    <w:p w14:paraId="6B80CBE4"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 </w:t>
      </w:r>
    </w:p>
    <w:p w14:paraId="471ACEF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Merger cannot be completed unless the Merger Agreement, the Plan </w:t>
      </w:r>
      <w:r>
        <w:rPr>
          <w:sz w:val="20"/>
          <w:szCs w:val="20"/>
        </w:rPr>
        <w:t>of Merger and the consummation of the Transactions are authorized and approved by a special resolution of the shareholders of the Company in accordance with the Company’s second amended and restated memorandum and articles of association and the Cayman Isl</w:t>
      </w:r>
      <w:r>
        <w:rPr>
          <w:sz w:val="20"/>
          <w:szCs w:val="20"/>
        </w:rPr>
        <w:t>ands Companies Act, which requires the affirmative vote of holders of Shares representing not less than two-thirds of the votes cast by such shareholders as, being entitled to do so, vote in person or, where proxies are allowed, by proxy or, in the case of</w:t>
      </w:r>
      <w:r>
        <w:rPr>
          <w:sz w:val="20"/>
          <w:szCs w:val="20"/>
        </w:rPr>
        <w:t xml:space="preserve"> corporations, by their duly authorised representatives, as a single class at the extraordinary general meeting or any adjournment or postponement thereof. In addition, a special resolution of the shareholders of the Company is required to authorize the Sp</w:t>
      </w:r>
      <w:r>
        <w:rPr>
          <w:sz w:val="20"/>
          <w:szCs w:val="20"/>
        </w:rPr>
        <w:t>ecial Committee to do all things necessary to give effect to the Merger Agreement, the Plan of Merger and the consummation of the Transactions, including the Merger, the Variation of Share Capital, and the Adoption of Amended M&amp;A, which is subject to the s</w:t>
      </w:r>
      <w:r>
        <w:rPr>
          <w:sz w:val="20"/>
          <w:szCs w:val="20"/>
        </w:rPr>
        <w:t xml:space="preserve">ame two-thirds voting threshold as described above. As of the date of the accompanying proxy statement, the Rollover Shareholders beneficially own in the aggregate 21,988,169 Shares, which collectively represent approximately 53.35% of the voting power of </w:t>
      </w:r>
      <w:r>
        <w:rPr>
          <w:sz w:val="20"/>
          <w:szCs w:val="20"/>
        </w:rPr>
        <w:t>the total issued and outstanding Shares, all of which will be voted in favor of the authorization and approval of the Merger Agreement, the Plan of Merger and the consummation of the Transactions, and the authorization of the Special Committee to do all th</w:t>
      </w:r>
      <w:r>
        <w:rPr>
          <w:sz w:val="20"/>
          <w:szCs w:val="20"/>
        </w:rPr>
        <w:t>ings necessary to give effect to the foregoing. Accordingly, based on 41,212,693 Shares expected to be issued and outstanding on</w:t>
      </w:r>
      <w:r>
        <w:rPr>
          <w:sz w:val="20"/>
          <w:szCs w:val="20"/>
          <w:u w:val="single"/>
        </w:rPr>
        <w:t>                                </w:t>
      </w:r>
      <w:r>
        <w:rPr>
          <w:sz w:val="20"/>
          <w:szCs w:val="20"/>
        </w:rPr>
        <w:t xml:space="preserve"> , the record date for voting Shares at the extraordinary general meeting (the “Share Record Dat</w:t>
      </w:r>
      <w:r>
        <w:rPr>
          <w:sz w:val="20"/>
          <w:szCs w:val="20"/>
        </w:rPr>
        <w:t>e”), and assuming the Rollover Shareholders’ compliance with their voting obligations under the Support Agreement to vote all their Shares in favor of the special resolutions, (a) at least 5,486,960 Shares owned by the Unaffiliated Security Holders equal t</w:t>
      </w:r>
      <w:r>
        <w:rPr>
          <w:sz w:val="20"/>
          <w:szCs w:val="20"/>
        </w:rPr>
        <w:t>o approximately 13.31% of the voting power of the total issued and outstanding Shares as of the Share Record Date must be voted in favor of the special resolutions to be proposed at the extraordinary general meeting for them to be approved, assuming all sh</w:t>
      </w:r>
      <w:r>
        <w:rPr>
          <w:sz w:val="20"/>
          <w:szCs w:val="20"/>
        </w:rPr>
        <w:t>areholders of the Company will be present and voting in person or by proxy at the extraordinary general meeting; (b) at least 2,739,447 Shares owned by the Unaffiliated Security Holders equal to approximately 6.65% of the voting power of the total issued a</w:t>
      </w:r>
      <w:r>
        <w:rPr>
          <w:sz w:val="20"/>
          <w:szCs w:val="20"/>
        </w:rPr>
        <w:t>nd outstanding Shares as of the Share Record Date must be voted in favor of the special resolutions to be proposed at the extraordinary general meeting for them to be approved, assuming the shareholders holding 90% of the voting power of the total issued a</w:t>
      </w:r>
      <w:r>
        <w:rPr>
          <w:sz w:val="20"/>
          <w:szCs w:val="20"/>
        </w:rPr>
        <w:t xml:space="preserve">nd outstanding Shares as of the Share Record Date will be present and voting in person or by proxy at the extraordinary general meeting; and (c) shareholders holding more than 80.03% of the voting power of the total issued and outstanding Shares as of the </w:t>
      </w:r>
      <w:r>
        <w:rPr>
          <w:sz w:val="20"/>
          <w:szCs w:val="20"/>
        </w:rPr>
        <w:t>Share Record Date (including 53.35% of the voting power held by the Rollover Shareholders) must be present and voting in person or by proxy at the extraordinary general meeting, such that the votes cast solely by the Rollover Shareholders will be insuffici</w:t>
      </w:r>
      <w:r>
        <w:rPr>
          <w:sz w:val="20"/>
          <w:szCs w:val="20"/>
        </w:rPr>
        <w:t>ent to reach the two-thirds approval threshold for the special resolutions. In practice, with 53.35% of the voting power committed to vote in favor, it is unlikely that the Merger Agreement, the Plan of Merger, and the consummation of the Transactions will</w:t>
      </w:r>
      <w:r>
        <w:rPr>
          <w:sz w:val="20"/>
          <w:szCs w:val="20"/>
        </w:rPr>
        <w:t xml:space="preserve"> not be authorized and approved by the Company’s shareholders.</w:t>
      </w:r>
    </w:p>
    <w:p w14:paraId="6A83556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B70A25E" w14:textId="77777777" w:rsidR="00000000" w:rsidRDefault="002F725F">
      <w:pPr>
        <w:pStyle w:val="NormalWeb"/>
        <w:spacing w:before="0" w:beforeAutospacing="0" w:after="0" w:afterAutospacing="0"/>
        <w:jc w:val="center"/>
        <w:divId w:val="2099710646"/>
        <w:rPr>
          <w:sz w:val="20"/>
          <w:szCs w:val="20"/>
        </w:rPr>
      </w:pPr>
      <w:r>
        <w:rPr>
          <w:sz w:val="20"/>
          <w:szCs w:val="20"/>
        </w:rPr>
        <w:t>i</w:t>
      </w:r>
      <w:r>
        <w:rPr>
          <w:sz w:val="20"/>
          <w:szCs w:val="20"/>
        </w:rPr>
        <w:t>v</w:t>
      </w:r>
    </w:p>
    <w:p w14:paraId="3B11C857"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343F836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An ordinary resolution of the shareholders of the Company to adjourn the extraordinary general meeting, if necessary, to allow the Company to solicit additional proxies in the event that</w:t>
      </w:r>
      <w:r>
        <w:rPr>
          <w:sz w:val="20"/>
          <w:szCs w:val="20"/>
        </w:rPr>
        <w:t xml:space="preserve"> there are insufficient proxies received at the time of the extraordinary general meeting to pass the special resolutions to be proposed at the extraordinary general meeting, requires the affirmative vote of holders of Shares representing a simple majority</w:t>
      </w:r>
      <w:r>
        <w:rPr>
          <w:sz w:val="20"/>
          <w:szCs w:val="20"/>
        </w:rPr>
        <w:t xml:space="preserve"> of the votes cast by such shareholders as, being entitled to do so, vote in person or, where proxies are allowed, by proxy or, in the case of corporations, by their duly authorised representatives, as a single class at the extraordinary general meeting or</w:t>
      </w:r>
      <w:r>
        <w:rPr>
          <w:sz w:val="20"/>
          <w:szCs w:val="20"/>
        </w:rPr>
        <w:t xml:space="preserve"> any adjournment or postponement thereof. Given the Rollover Shareholders’ shareholding as described above and assuming their compliance with their voting undertaking under the Support Agreement to vote all their Shares in favor of such ordinary resolution</w:t>
      </w:r>
      <w:r>
        <w:rPr>
          <w:sz w:val="20"/>
          <w:szCs w:val="20"/>
        </w:rPr>
        <w:t>, based on the number of Shares expected to be issued and outstanding on the Share Record Date, approval of the ordinary resolution will not require any affirmative votes from the Unaffiliated Security Holders.</w:t>
      </w:r>
    </w:p>
    <w:p w14:paraId="03A1D3E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24BF11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accompanying proxy statement provides d</w:t>
      </w:r>
      <w:r>
        <w:rPr>
          <w:sz w:val="20"/>
          <w:szCs w:val="20"/>
        </w:rPr>
        <w:t xml:space="preserve">etailed information about the Merger and the extraordinary general meeting. We encourage you to read the entire document and all of the attachments and other documents </w:t>
      </w:r>
      <w:r>
        <w:rPr>
          <w:sz w:val="20"/>
          <w:szCs w:val="20"/>
        </w:rPr>
        <w:lastRenderedPageBreak/>
        <w:t>referred to or incorporated by reference herein carefully. You may also obtain more info</w:t>
      </w:r>
      <w:r>
        <w:rPr>
          <w:sz w:val="20"/>
          <w:szCs w:val="20"/>
        </w:rPr>
        <w:t>rmation about the Company from documents the Company has filed with the United States Securities and Exchange Commission (the “SEC”), which are available for free at the SEC’s website at www.sec.gov.</w:t>
      </w:r>
    </w:p>
    <w:p w14:paraId="666C7F21"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B56005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Rollover Shareholders, who are registered sharehol</w:t>
      </w:r>
      <w:r>
        <w:rPr>
          <w:sz w:val="20"/>
          <w:szCs w:val="20"/>
        </w:rPr>
        <w:t>ders of the Company, have the right to demand poll voting at the meeting, and will exercise such right during the meeting. Accordingly, the voting on all resolutions at the extraordinary general meeting is expected to be conducted by way of a poll rather t</w:t>
      </w:r>
      <w:r>
        <w:rPr>
          <w:sz w:val="20"/>
          <w:szCs w:val="20"/>
        </w:rPr>
        <w:t>han on a show of hands. The effect of poll voting is that the number of votes each holder has will depend on the number of Shares held by such holder. If you receive more than one proxy card because you own Shares that are registered in different names, pl</w:t>
      </w:r>
      <w:r>
        <w:rPr>
          <w:sz w:val="20"/>
          <w:szCs w:val="20"/>
        </w:rPr>
        <w:t xml:space="preserve">ease vote all of your Shares shown on each of your proxy cards in accordance with the instructions set forth on the proxy card. Whether or not you plan to attend the extraordinary general meeting, please complete the accompanying proxy card, in accordance </w:t>
      </w:r>
      <w:r>
        <w:rPr>
          <w:sz w:val="20"/>
          <w:szCs w:val="20"/>
        </w:rPr>
        <w:t>with the instructions set forth on the proxy card, as promptly as possible. The deadline to lodge your proxy card is</w:t>
      </w:r>
      <w:r>
        <w:rPr>
          <w:sz w:val="20"/>
          <w:szCs w:val="20"/>
          <w:u w:val="single"/>
        </w:rPr>
        <w:t>                       </w:t>
      </w:r>
      <w:r>
        <w:rPr>
          <w:sz w:val="20"/>
          <w:szCs w:val="20"/>
        </w:rPr>
        <w:t>at</w:t>
      </w:r>
      <w:r>
        <w:rPr>
          <w:sz w:val="20"/>
          <w:szCs w:val="20"/>
          <w:u w:val="single"/>
        </w:rPr>
        <w:t>                     </w:t>
      </w:r>
      <w:r>
        <w:rPr>
          <w:sz w:val="20"/>
          <w:szCs w:val="20"/>
        </w:rPr>
        <w:t>a.m. (Beijing time), being 48 hours before the time appointed for the extraordinary general me</w:t>
      </w:r>
      <w:r>
        <w:rPr>
          <w:sz w:val="20"/>
          <w:szCs w:val="20"/>
        </w:rPr>
        <w:t>eting. Each registered holder of Shares has one vote for each Share held as of 5 p.m. Cayman Islands time on the Share Record Date.</w:t>
      </w:r>
    </w:p>
    <w:p w14:paraId="5D58AE6C"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E285FB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Completing the proxy card in accordance with the instructions set forth on the proxy card will not deprive you of your rig</w:t>
      </w:r>
      <w:r>
        <w:rPr>
          <w:sz w:val="20"/>
          <w:szCs w:val="20"/>
        </w:rPr>
        <w:t>ht to attend the extraordinary general meeting and vote your Shares in person. Please note, however, that if you hold your Shares through a financial intermediary such as a broker, bank or nominee, you must rely on the procedures of the financial intermedi</w:t>
      </w:r>
      <w:r>
        <w:rPr>
          <w:sz w:val="20"/>
          <w:szCs w:val="20"/>
        </w:rPr>
        <w:t>ary through which you hold your Shares if you wish to vote at the extraordinary general meeting.</w:t>
      </w:r>
    </w:p>
    <w:p w14:paraId="5DEDD53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818722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Registered shareholders who have validly exercised and have not effectively withdrawn or lost their rights to dissent from the Merger will have the right to </w:t>
      </w:r>
      <w:r>
        <w:rPr>
          <w:sz w:val="20"/>
          <w:szCs w:val="20"/>
        </w:rPr>
        <w:t>receive payment of the fair value of their Shares as determined by the Grand Court of the Cayman Islands in accordance with Section 238 of the Cayman Islands Companies Act, subject to Section 239 of the Cayman Islands Companies Act, if the Merger is comple</w:t>
      </w:r>
      <w:r>
        <w:rPr>
          <w:sz w:val="20"/>
          <w:szCs w:val="20"/>
        </w:rPr>
        <w:t>ted, but only if they deliver to the Company, before the vote to authorize and approve the Merger is taken at the extraordinary general meeting, a written objection to the Merger and subsequently comply with all procedures and requirements of Section 238 o</w:t>
      </w:r>
      <w:r>
        <w:rPr>
          <w:sz w:val="20"/>
          <w:szCs w:val="20"/>
        </w:rPr>
        <w:t>f the Cayman Islands Companies Act for the exercise of dissenters’ rights. A copy of Section 238 is attached as Annex D to the accompanying proxy statement. The fair value of your Shares as determined by the Grand Court of the Cayman Islands under the Caym</w:t>
      </w:r>
      <w:r>
        <w:rPr>
          <w:sz w:val="20"/>
          <w:szCs w:val="20"/>
        </w:rPr>
        <w:t>an Islands Companies Act could be more than, the same as, or less than the merger consideration you would receive pursuant to the Merger Agreement if you do not exercise your right to dissent with respect to your Shares.</w:t>
      </w:r>
    </w:p>
    <w:p w14:paraId="2CDEE76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E5F3F1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Neither the SEC nor any state sec</w:t>
      </w:r>
      <w:r>
        <w:rPr>
          <w:sz w:val="20"/>
          <w:szCs w:val="20"/>
        </w:rPr>
        <w:t>urities regulatory agency has approved or disapproved the Merger, passed upon the merits or fairness of the Merger or passed upon the adequacy or accuracy of the disclosure in this letter or in the accompanying notice of the extraordinary general meeting o</w:t>
      </w:r>
      <w:r>
        <w:rPr>
          <w:sz w:val="20"/>
          <w:szCs w:val="20"/>
        </w:rPr>
        <w:t>r proxy statement. Any representation to the contrary is a criminal offense.</w:t>
      </w:r>
    </w:p>
    <w:p w14:paraId="270440C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936E49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If you have any questions or need assistance voting your Shares, please contact our Investor Relations Department by phone at +86 (10) 8920-2086 or by email at ir@lakeshorebio.c</w:t>
      </w:r>
      <w:r>
        <w:rPr>
          <w:sz w:val="20"/>
          <w:szCs w:val="20"/>
        </w:rPr>
        <w:t>om.</w:t>
      </w:r>
    </w:p>
    <w:p w14:paraId="79EC792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FF1AB01" w14:textId="77777777" w:rsidR="00000000" w:rsidRDefault="002F725F">
      <w:pPr>
        <w:pStyle w:val="NormalWeb"/>
        <w:spacing w:before="0" w:beforeAutospacing="0" w:after="0" w:afterAutospacing="0"/>
        <w:jc w:val="center"/>
        <w:divId w:val="11156018"/>
        <w:rPr>
          <w:sz w:val="20"/>
          <w:szCs w:val="20"/>
        </w:rPr>
      </w:pPr>
      <w:r>
        <w:rPr>
          <w:sz w:val="20"/>
          <w:szCs w:val="20"/>
        </w:rPr>
        <w:t>v</w:t>
      </w:r>
    </w:p>
    <w:p w14:paraId="753A48B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80457F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Thank you for your cooperation and continued support.</w:t>
      </w:r>
    </w:p>
    <w:p w14:paraId="39B07813"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3744"/>
        <w:gridCol w:w="1872"/>
        <w:gridCol w:w="3744"/>
      </w:tblGrid>
      <w:tr w:rsidR="00000000" w14:paraId="27CD442C" w14:textId="77777777">
        <w:trPr>
          <w:divId w:val="415980837"/>
        </w:trPr>
        <w:tc>
          <w:tcPr>
            <w:tcW w:w="2000" w:type="pct"/>
            <w:hideMark/>
          </w:tcPr>
          <w:p w14:paraId="41FB51B6" w14:textId="77777777" w:rsidR="00000000" w:rsidRDefault="002F725F">
            <w:pPr>
              <w:rPr>
                <w:rFonts w:eastAsia="Times New Roman"/>
                <w:sz w:val="20"/>
                <w:szCs w:val="20"/>
              </w:rPr>
            </w:pPr>
            <w:r>
              <w:rPr>
                <w:rFonts w:eastAsia="Times New Roman"/>
                <w:sz w:val="20"/>
                <w:szCs w:val="20"/>
              </w:rPr>
              <w:t>Sincerely,</w:t>
            </w:r>
          </w:p>
        </w:tc>
        <w:tc>
          <w:tcPr>
            <w:tcW w:w="1000" w:type="pct"/>
            <w:hideMark/>
          </w:tcPr>
          <w:p w14:paraId="617A80AB" w14:textId="77777777" w:rsidR="00000000" w:rsidRDefault="002F725F">
            <w:pPr>
              <w:rPr>
                <w:rFonts w:eastAsia="Times New Roman"/>
                <w:sz w:val="20"/>
                <w:szCs w:val="20"/>
              </w:rPr>
            </w:pPr>
            <w:r>
              <w:rPr>
                <w:rFonts w:eastAsia="Times New Roman"/>
                <w:sz w:val="20"/>
                <w:szCs w:val="20"/>
              </w:rPr>
              <w:t> </w:t>
            </w:r>
          </w:p>
        </w:tc>
        <w:tc>
          <w:tcPr>
            <w:tcW w:w="2000" w:type="pct"/>
            <w:hideMark/>
          </w:tcPr>
          <w:p w14:paraId="33A6F9E3" w14:textId="77777777" w:rsidR="00000000" w:rsidRDefault="002F725F">
            <w:pPr>
              <w:rPr>
                <w:rFonts w:eastAsia="Times New Roman"/>
                <w:sz w:val="20"/>
                <w:szCs w:val="20"/>
              </w:rPr>
            </w:pPr>
            <w:r>
              <w:rPr>
                <w:rFonts w:eastAsia="Times New Roman"/>
                <w:sz w:val="20"/>
                <w:szCs w:val="20"/>
              </w:rPr>
              <w:t>Sincerely,</w:t>
            </w:r>
          </w:p>
        </w:tc>
      </w:tr>
      <w:tr w:rsidR="00000000" w14:paraId="614FC2D7" w14:textId="77777777">
        <w:trPr>
          <w:divId w:val="415980837"/>
        </w:trPr>
        <w:tc>
          <w:tcPr>
            <w:tcW w:w="0" w:type="auto"/>
            <w:hideMark/>
          </w:tcPr>
          <w:p w14:paraId="08BD0323" w14:textId="77777777" w:rsidR="00000000" w:rsidRDefault="002F725F">
            <w:pPr>
              <w:rPr>
                <w:rFonts w:eastAsia="Times New Roman"/>
                <w:sz w:val="20"/>
                <w:szCs w:val="20"/>
              </w:rPr>
            </w:pPr>
            <w:r>
              <w:rPr>
                <w:rFonts w:eastAsia="Times New Roman"/>
                <w:sz w:val="20"/>
                <w:szCs w:val="20"/>
              </w:rPr>
              <w:t> </w:t>
            </w:r>
          </w:p>
        </w:tc>
        <w:tc>
          <w:tcPr>
            <w:tcW w:w="0" w:type="auto"/>
            <w:hideMark/>
          </w:tcPr>
          <w:p w14:paraId="562DFD33" w14:textId="77777777" w:rsidR="00000000" w:rsidRDefault="002F725F">
            <w:pPr>
              <w:rPr>
                <w:rFonts w:eastAsia="Times New Roman"/>
                <w:sz w:val="20"/>
                <w:szCs w:val="20"/>
              </w:rPr>
            </w:pPr>
            <w:r>
              <w:rPr>
                <w:rFonts w:eastAsia="Times New Roman"/>
                <w:sz w:val="20"/>
                <w:szCs w:val="20"/>
              </w:rPr>
              <w:t> </w:t>
            </w:r>
          </w:p>
        </w:tc>
        <w:tc>
          <w:tcPr>
            <w:tcW w:w="0" w:type="auto"/>
            <w:hideMark/>
          </w:tcPr>
          <w:p w14:paraId="3D57832A" w14:textId="77777777" w:rsidR="00000000" w:rsidRDefault="002F725F">
            <w:pPr>
              <w:rPr>
                <w:rFonts w:eastAsia="Times New Roman"/>
                <w:sz w:val="20"/>
                <w:szCs w:val="20"/>
              </w:rPr>
            </w:pPr>
            <w:r>
              <w:rPr>
                <w:rFonts w:eastAsia="Times New Roman"/>
                <w:sz w:val="20"/>
                <w:szCs w:val="20"/>
              </w:rPr>
              <w:t> </w:t>
            </w:r>
          </w:p>
        </w:tc>
      </w:tr>
      <w:tr w:rsidR="00000000" w14:paraId="6346A551" w14:textId="77777777">
        <w:trPr>
          <w:divId w:val="415980837"/>
        </w:trPr>
        <w:tc>
          <w:tcPr>
            <w:tcW w:w="0" w:type="auto"/>
            <w:tcBorders>
              <w:bottom w:val="single" w:sz="12" w:space="0" w:color="000000"/>
            </w:tcBorders>
            <w:hideMark/>
          </w:tcPr>
          <w:p w14:paraId="4BF2911D" w14:textId="77777777" w:rsidR="00000000" w:rsidRDefault="002F725F">
            <w:pPr>
              <w:rPr>
                <w:rFonts w:eastAsia="Times New Roman"/>
                <w:sz w:val="20"/>
                <w:szCs w:val="20"/>
              </w:rPr>
            </w:pPr>
            <w:r>
              <w:rPr>
                <w:rFonts w:eastAsia="Times New Roman"/>
                <w:sz w:val="20"/>
                <w:szCs w:val="20"/>
              </w:rPr>
              <w:t> </w:t>
            </w:r>
          </w:p>
        </w:tc>
        <w:tc>
          <w:tcPr>
            <w:tcW w:w="0" w:type="auto"/>
            <w:hideMark/>
          </w:tcPr>
          <w:p w14:paraId="33B5EBAA"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hideMark/>
          </w:tcPr>
          <w:p w14:paraId="651EA256" w14:textId="77777777" w:rsidR="00000000" w:rsidRDefault="002F725F">
            <w:pPr>
              <w:rPr>
                <w:rFonts w:eastAsia="Times New Roman"/>
                <w:sz w:val="20"/>
                <w:szCs w:val="20"/>
              </w:rPr>
            </w:pPr>
            <w:r>
              <w:rPr>
                <w:rFonts w:eastAsia="Times New Roman"/>
                <w:sz w:val="20"/>
                <w:szCs w:val="20"/>
              </w:rPr>
              <w:t> </w:t>
            </w:r>
          </w:p>
        </w:tc>
      </w:tr>
      <w:tr w:rsidR="00000000" w14:paraId="643EF1F3" w14:textId="77777777">
        <w:trPr>
          <w:divId w:val="415980837"/>
        </w:trPr>
        <w:tc>
          <w:tcPr>
            <w:tcW w:w="0" w:type="auto"/>
            <w:hideMark/>
          </w:tcPr>
          <w:p w14:paraId="2840F9BB" w14:textId="77777777" w:rsidR="00000000" w:rsidRDefault="002F725F">
            <w:pPr>
              <w:rPr>
                <w:rFonts w:eastAsia="Times New Roman"/>
                <w:sz w:val="20"/>
                <w:szCs w:val="20"/>
              </w:rPr>
            </w:pPr>
            <w:r>
              <w:rPr>
                <w:rFonts w:eastAsia="Times New Roman"/>
                <w:sz w:val="20"/>
                <w:szCs w:val="20"/>
              </w:rPr>
              <w:t>Jutao (Adam) Zhao</w:t>
            </w:r>
          </w:p>
        </w:tc>
        <w:tc>
          <w:tcPr>
            <w:tcW w:w="0" w:type="auto"/>
            <w:hideMark/>
          </w:tcPr>
          <w:p w14:paraId="5FB94496" w14:textId="77777777" w:rsidR="00000000" w:rsidRDefault="002F725F">
            <w:pPr>
              <w:rPr>
                <w:rFonts w:eastAsia="Times New Roman"/>
                <w:sz w:val="20"/>
                <w:szCs w:val="20"/>
              </w:rPr>
            </w:pPr>
            <w:r>
              <w:rPr>
                <w:rFonts w:eastAsia="Times New Roman"/>
                <w:sz w:val="20"/>
                <w:szCs w:val="20"/>
              </w:rPr>
              <w:t> </w:t>
            </w:r>
          </w:p>
        </w:tc>
        <w:tc>
          <w:tcPr>
            <w:tcW w:w="0" w:type="auto"/>
            <w:hideMark/>
          </w:tcPr>
          <w:p w14:paraId="61891D89" w14:textId="77777777" w:rsidR="00000000" w:rsidRDefault="002F725F">
            <w:pPr>
              <w:rPr>
                <w:rFonts w:eastAsia="Times New Roman"/>
                <w:sz w:val="20"/>
                <w:szCs w:val="20"/>
              </w:rPr>
            </w:pPr>
            <w:r>
              <w:rPr>
                <w:rFonts w:eastAsia="Times New Roman"/>
                <w:sz w:val="20"/>
                <w:szCs w:val="20"/>
              </w:rPr>
              <w:t>Yue (Pierson) Pan</w:t>
            </w:r>
          </w:p>
        </w:tc>
      </w:tr>
      <w:tr w:rsidR="00000000" w14:paraId="13290E39" w14:textId="77777777">
        <w:trPr>
          <w:divId w:val="415980837"/>
        </w:trPr>
        <w:tc>
          <w:tcPr>
            <w:tcW w:w="0" w:type="auto"/>
            <w:hideMark/>
          </w:tcPr>
          <w:p w14:paraId="5DD4E7AB" w14:textId="77777777" w:rsidR="00000000" w:rsidRDefault="002F725F">
            <w:pPr>
              <w:rPr>
                <w:rFonts w:eastAsia="Times New Roman"/>
                <w:sz w:val="20"/>
                <w:szCs w:val="20"/>
              </w:rPr>
            </w:pPr>
            <w:r>
              <w:rPr>
                <w:rFonts w:eastAsia="Times New Roman"/>
                <w:sz w:val="20"/>
                <w:szCs w:val="20"/>
              </w:rPr>
              <w:t>Chairperson of the Special Committee</w:t>
            </w:r>
          </w:p>
        </w:tc>
        <w:tc>
          <w:tcPr>
            <w:tcW w:w="0" w:type="auto"/>
            <w:hideMark/>
          </w:tcPr>
          <w:p w14:paraId="4BC876A5" w14:textId="77777777" w:rsidR="00000000" w:rsidRDefault="002F725F">
            <w:pPr>
              <w:rPr>
                <w:rFonts w:eastAsia="Times New Roman"/>
                <w:sz w:val="20"/>
                <w:szCs w:val="20"/>
              </w:rPr>
            </w:pPr>
            <w:r>
              <w:rPr>
                <w:rFonts w:eastAsia="Times New Roman"/>
                <w:sz w:val="20"/>
                <w:szCs w:val="20"/>
              </w:rPr>
              <w:t> </w:t>
            </w:r>
          </w:p>
        </w:tc>
        <w:tc>
          <w:tcPr>
            <w:tcW w:w="0" w:type="auto"/>
            <w:hideMark/>
          </w:tcPr>
          <w:p w14:paraId="647C6484" w14:textId="77777777" w:rsidR="00000000" w:rsidRDefault="002F725F">
            <w:pPr>
              <w:rPr>
                <w:rFonts w:eastAsia="Times New Roman"/>
                <w:sz w:val="20"/>
                <w:szCs w:val="20"/>
              </w:rPr>
            </w:pPr>
            <w:r>
              <w:rPr>
                <w:rFonts w:eastAsia="Times New Roman"/>
                <w:sz w:val="20"/>
                <w:szCs w:val="20"/>
              </w:rPr>
              <w:t>Chairperson of the Board</w:t>
            </w:r>
          </w:p>
        </w:tc>
      </w:tr>
    </w:tbl>
    <w:p w14:paraId="29135442"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594409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accompanying proxy statement is dated  </w:t>
      </w:r>
      <w:r>
        <w:rPr>
          <w:sz w:val="20"/>
          <w:szCs w:val="20"/>
          <w:u w:val="single"/>
        </w:rPr>
        <w:t>             </w:t>
      </w:r>
      <w:r>
        <w:rPr>
          <w:sz w:val="20"/>
          <w:szCs w:val="20"/>
        </w:rPr>
        <w:t xml:space="preserve">, and is first being mailed to the Company’s shareholders on or about  </w:t>
      </w:r>
      <w:r>
        <w:rPr>
          <w:sz w:val="20"/>
          <w:szCs w:val="20"/>
          <w:u w:val="single"/>
        </w:rPr>
        <w:t>           </w:t>
      </w:r>
      <w:r>
        <w:rPr>
          <w:sz w:val="20"/>
          <w:szCs w:val="20"/>
        </w:rPr>
        <w:t>.</w:t>
      </w:r>
    </w:p>
    <w:p w14:paraId="037FC2AC"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p w14:paraId="575BE8B8" w14:textId="77777777" w:rsidR="00000000" w:rsidRDefault="002F725F">
      <w:pPr>
        <w:pStyle w:val="NormalWeb"/>
        <w:spacing w:before="0" w:beforeAutospacing="0" w:after="0" w:afterAutospacing="0"/>
        <w:jc w:val="center"/>
        <w:divId w:val="1577400713"/>
        <w:rPr>
          <w:sz w:val="20"/>
          <w:szCs w:val="20"/>
        </w:rPr>
      </w:pPr>
      <w:r>
        <w:rPr>
          <w:sz w:val="20"/>
          <w:szCs w:val="20"/>
        </w:rPr>
        <w:t>v</w:t>
      </w:r>
      <w:r>
        <w:rPr>
          <w:sz w:val="20"/>
          <w:szCs w:val="20"/>
        </w:rPr>
        <w:t>i</w:t>
      </w:r>
    </w:p>
    <w:p w14:paraId="7BFBC96F"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056BAB6D" w14:textId="77777777" w:rsidR="00000000" w:rsidRDefault="002F725F">
      <w:pPr>
        <w:pStyle w:val="NormalWeb"/>
        <w:spacing w:before="0" w:beforeAutospacing="0" w:after="0" w:afterAutospacing="0"/>
        <w:jc w:val="center"/>
        <w:divId w:val="415980837"/>
        <w:rPr>
          <w:sz w:val="20"/>
          <w:szCs w:val="20"/>
        </w:rPr>
      </w:pPr>
      <w:bookmarkStart w:id="18" w:name="gfpea028961701ex99-a1.htmb_001"/>
      <w:bookmarkEnd w:id="18"/>
      <w:r>
        <w:rPr>
          <w:b/>
          <w:bCs/>
          <w:sz w:val="20"/>
          <w:szCs w:val="20"/>
        </w:rPr>
        <w:t>LAKESHORE BIOPHARMA CO., LTD</w:t>
      </w:r>
    </w:p>
    <w:p w14:paraId="0E9C3111"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1913230F" w14:textId="77777777" w:rsidR="00000000" w:rsidRDefault="002F725F">
      <w:pPr>
        <w:pStyle w:val="NormalWeb"/>
        <w:spacing w:before="0" w:beforeAutospacing="0" w:after="0" w:afterAutospacing="0"/>
        <w:jc w:val="center"/>
        <w:divId w:val="415980837"/>
        <w:rPr>
          <w:sz w:val="20"/>
          <w:szCs w:val="20"/>
        </w:rPr>
      </w:pPr>
      <w:bookmarkStart w:id="19" w:name="gfpea028961701ex99-a1.htma_02"/>
      <w:bookmarkEnd w:id="19"/>
      <w:r>
        <w:rPr>
          <w:b/>
          <w:bCs/>
          <w:sz w:val="20"/>
          <w:szCs w:val="20"/>
        </w:rPr>
        <w:t>NOTICE OF EXTRAORDINARY GENERAL MEETING OF</w:t>
      </w:r>
    </w:p>
    <w:p w14:paraId="0E34ADAD" w14:textId="77777777" w:rsidR="00000000" w:rsidRDefault="002F725F">
      <w:pPr>
        <w:pStyle w:val="NormalWeb"/>
        <w:spacing w:before="0" w:beforeAutospacing="0" w:after="0" w:afterAutospacing="0"/>
        <w:jc w:val="center"/>
        <w:divId w:val="415980837"/>
        <w:rPr>
          <w:sz w:val="20"/>
          <w:szCs w:val="20"/>
        </w:rPr>
      </w:pPr>
      <w:r>
        <w:rPr>
          <w:b/>
          <w:bCs/>
          <w:sz w:val="20"/>
          <w:szCs w:val="20"/>
        </w:rPr>
        <w:t xml:space="preserve">SHAREHOLDERS TO BE HELD ON </w:t>
      </w:r>
      <w:r>
        <w:rPr>
          <w:b/>
          <w:bCs/>
          <w:sz w:val="20"/>
          <w:szCs w:val="20"/>
          <w:u w:val="single"/>
        </w:rPr>
        <w:t>                                         </w:t>
      </w:r>
    </w:p>
    <w:p w14:paraId="15F7744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1359F7D" w14:textId="77777777" w:rsidR="00000000" w:rsidRDefault="002F725F">
      <w:pPr>
        <w:pStyle w:val="NormalWeb"/>
        <w:spacing w:before="0" w:beforeAutospacing="0" w:after="0" w:afterAutospacing="0"/>
        <w:jc w:val="both"/>
        <w:divId w:val="415980837"/>
        <w:rPr>
          <w:sz w:val="20"/>
          <w:szCs w:val="20"/>
        </w:rPr>
      </w:pPr>
      <w:r>
        <w:rPr>
          <w:sz w:val="20"/>
          <w:szCs w:val="20"/>
        </w:rPr>
        <w:t>Dear Shareholder:</w:t>
      </w:r>
    </w:p>
    <w:p w14:paraId="11345F5F" w14:textId="77777777" w:rsidR="00000000" w:rsidRDefault="002F725F">
      <w:pPr>
        <w:pStyle w:val="NormalWeb"/>
        <w:spacing w:before="0" w:beforeAutospacing="0" w:after="0" w:afterAutospacing="0"/>
        <w:divId w:val="415980837"/>
        <w:rPr>
          <w:sz w:val="20"/>
          <w:szCs w:val="20"/>
        </w:rPr>
      </w:pPr>
      <w:r>
        <w:rPr>
          <w:sz w:val="20"/>
          <w:szCs w:val="20"/>
        </w:rPr>
        <w:t> </w:t>
      </w:r>
    </w:p>
    <w:p w14:paraId="213B74A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Notice is hereby given that an extraordinary general meeting of the shareholders of LakeShore Biopharma Co., Ltd (referred to herein alternately as the “Company,” “us,” “we” or other terms correlative thereto), will be held on </w:t>
      </w:r>
      <w:r>
        <w:rPr>
          <w:sz w:val="20"/>
          <w:szCs w:val="20"/>
          <w:u w:val="single"/>
        </w:rPr>
        <w:t>           </w:t>
      </w:r>
      <w:r>
        <w:rPr>
          <w:sz w:val="20"/>
          <w:szCs w:val="20"/>
        </w:rPr>
        <w:t xml:space="preserve"> at </w:t>
      </w:r>
      <w:r>
        <w:rPr>
          <w:sz w:val="20"/>
          <w:szCs w:val="20"/>
          <w:u w:val="single"/>
        </w:rPr>
        <w:t>           </w:t>
      </w:r>
      <w:r>
        <w:rPr>
          <w:sz w:val="20"/>
          <w:szCs w:val="20"/>
        </w:rPr>
        <w:t xml:space="preserve"> a.</w:t>
      </w:r>
      <w:r>
        <w:rPr>
          <w:sz w:val="20"/>
          <w:szCs w:val="20"/>
        </w:rPr>
        <w:t xml:space="preserve">m. (Beijing time) at </w:t>
      </w:r>
      <w:r>
        <w:rPr>
          <w:sz w:val="20"/>
          <w:szCs w:val="20"/>
          <w:u w:val="single"/>
        </w:rPr>
        <w:t>             </w:t>
      </w:r>
      <w:r>
        <w:rPr>
          <w:sz w:val="20"/>
          <w:szCs w:val="20"/>
        </w:rPr>
        <w:t>.</w:t>
      </w:r>
    </w:p>
    <w:p w14:paraId="00F662BE" w14:textId="77777777" w:rsidR="00000000" w:rsidRDefault="002F725F">
      <w:pPr>
        <w:pStyle w:val="NormalWeb"/>
        <w:spacing w:before="0" w:beforeAutospacing="0" w:after="0" w:afterAutospacing="0"/>
        <w:divId w:val="415980837"/>
        <w:rPr>
          <w:sz w:val="20"/>
          <w:szCs w:val="20"/>
        </w:rPr>
      </w:pPr>
      <w:r>
        <w:rPr>
          <w:sz w:val="20"/>
          <w:szCs w:val="20"/>
        </w:rPr>
        <w:t> </w:t>
      </w:r>
    </w:p>
    <w:p w14:paraId="0736B81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Only registered holders of ordinary shares of the Company, par value US$0.0002 per share (each, a “Share”), as of 5 p.m. Cayman Islands time on </w:t>
      </w:r>
      <w:r>
        <w:rPr>
          <w:sz w:val="20"/>
          <w:szCs w:val="20"/>
          <w:u w:val="single"/>
        </w:rPr>
        <w:tab/>
      </w:r>
      <w:r>
        <w:rPr>
          <w:sz w:val="20"/>
          <w:szCs w:val="20"/>
        </w:rPr>
        <w:t>(the “Share Record Date”) or their proxy holders are entitled to attend a</w:t>
      </w:r>
      <w:r>
        <w:rPr>
          <w:sz w:val="20"/>
          <w:szCs w:val="20"/>
        </w:rPr>
        <w:t>nd vote at this extraordinary general meeting or any adjournment thereof. At the extraordinary general meeting, you will be asked to consider and vote upon the following resolutions:</w:t>
      </w:r>
    </w:p>
    <w:p w14:paraId="59420701"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48AD789" w14:textId="77777777">
        <w:trPr>
          <w:divId w:val="415980837"/>
          <w:tblCellSpacing w:w="0" w:type="dxa"/>
        </w:trPr>
        <w:tc>
          <w:tcPr>
            <w:tcW w:w="720" w:type="dxa"/>
            <w:hideMark/>
          </w:tcPr>
          <w:p w14:paraId="551387DE" w14:textId="77777777" w:rsidR="00000000" w:rsidRDefault="002F725F">
            <w:pPr>
              <w:rPr>
                <w:sz w:val="20"/>
                <w:szCs w:val="20"/>
              </w:rPr>
            </w:pPr>
          </w:p>
        </w:tc>
        <w:tc>
          <w:tcPr>
            <w:tcW w:w="360" w:type="dxa"/>
            <w:hideMark/>
          </w:tcPr>
          <w:p w14:paraId="6950315A" w14:textId="77777777" w:rsidR="00000000" w:rsidRDefault="002F725F">
            <w:pPr>
              <w:rPr>
                <w:rFonts w:eastAsia="Times New Roman"/>
                <w:sz w:val="20"/>
                <w:szCs w:val="20"/>
              </w:rPr>
            </w:pPr>
            <w:r>
              <w:rPr>
                <w:rFonts w:eastAsia="Times New Roman"/>
                <w:sz w:val="20"/>
                <w:szCs w:val="20"/>
              </w:rPr>
              <w:t>●</w:t>
            </w:r>
          </w:p>
        </w:tc>
        <w:tc>
          <w:tcPr>
            <w:tcW w:w="0" w:type="auto"/>
            <w:hideMark/>
          </w:tcPr>
          <w:p w14:paraId="44824481" w14:textId="77777777" w:rsidR="00000000" w:rsidRDefault="002F725F">
            <w:pPr>
              <w:jc w:val="both"/>
              <w:rPr>
                <w:rFonts w:eastAsia="Times New Roman"/>
                <w:sz w:val="20"/>
                <w:szCs w:val="20"/>
              </w:rPr>
            </w:pPr>
            <w:r>
              <w:rPr>
                <w:rFonts w:eastAsia="Times New Roman"/>
                <w:sz w:val="20"/>
                <w:szCs w:val="20"/>
              </w:rPr>
              <w:t>as special resolutions:</w:t>
            </w:r>
          </w:p>
        </w:tc>
      </w:tr>
    </w:tbl>
    <w:p w14:paraId="6D7B9854"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 </w:t>
      </w:r>
    </w:p>
    <w:p w14:paraId="398FCE7E"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THAT</w:t>
      </w:r>
      <w:r>
        <w:rPr>
          <w:sz w:val="20"/>
          <w:szCs w:val="20"/>
        </w:rPr>
        <w:t xml:space="preserve"> </w:t>
      </w:r>
      <w:r>
        <w:rPr>
          <w:sz w:val="20"/>
          <w:szCs w:val="20"/>
        </w:rPr>
        <w:t>the Agreement and Plan of Merger, dated as of November 4, 2025, as amended by Amendment No. 1 to Agreement and Plan of Merger, dated as of April 29, 2026 (as may be further amended from time to time, the “Merger Agreement”), among the Company, Oceanpine Sk</w:t>
      </w:r>
      <w:r>
        <w:rPr>
          <w:sz w:val="20"/>
          <w:szCs w:val="20"/>
        </w:rPr>
        <w:t>yline Inc., an exempted company with limited liability incorporated under the laws of the Cayman Islands (“Parent”), and Oceanpine Merger Sub Inc., an exempted company with limited liability incorporated under the laws of the Cayman Islands and a wholly ow</w:t>
      </w:r>
      <w:r>
        <w:rPr>
          <w:sz w:val="20"/>
          <w:szCs w:val="20"/>
        </w:rPr>
        <w:t>ned subsidiary of Parent (“Merger Sub”), pursuant to which Merger Sub will be merged with and into the Company (the “Merger”), with the Company continuing as the surviving company and becoming a wholly owned subsidiary of Parent (such Merger Agreement bein</w:t>
      </w:r>
      <w:r>
        <w:rPr>
          <w:sz w:val="20"/>
          <w:szCs w:val="20"/>
        </w:rPr>
        <w:t>g in the form attached as Annex A to the proxy statement accompanying this notice of extraordinary general meeting and which will be produced and made available for inspection at the extraordinary general meeting), the plan of merger required to be execute</w:t>
      </w:r>
      <w:r>
        <w:rPr>
          <w:sz w:val="20"/>
          <w:szCs w:val="20"/>
        </w:rPr>
        <w:t>d and filed with the Registrar of Companies of the Cayman Islands in connection with the Merger (the “Plan of Merger”) (such Plan of Merger being substantially in the form attached as Annex B to the proxy statement accompanying this notice of extraordinary</w:t>
      </w:r>
      <w:r>
        <w:rPr>
          <w:sz w:val="20"/>
          <w:szCs w:val="20"/>
        </w:rPr>
        <w:t xml:space="preserve"> general meeting and which will be produced and made available for inspection at the extraordinary general meeting), and the consummation of the transactions contemplated by the Merger Agreement and the Plan of Merger (collectively, the “Transactions”) inc</w:t>
      </w:r>
      <w:r>
        <w:rPr>
          <w:sz w:val="20"/>
          <w:szCs w:val="20"/>
        </w:rPr>
        <w:t>luding (i) the Merger; (ii) the variation of the authorized share capital of the Company from US$50,000 divided into 250,000,000 ordinary shares of a par value of US$0.0002 each to US$50,000 divided into 500,000,000 ordinary shares of a par value of US$0.0</w:t>
      </w:r>
      <w:r>
        <w:rPr>
          <w:sz w:val="20"/>
          <w:szCs w:val="20"/>
        </w:rPr>
        <w:t>001 each, at the Effective Time (the “Variation of Share Capital”), and (iii) the amendment and restatement of the existing memorandum and articles of association of the Company by their deletion in their entirety and the substitution in their place of the</w:t>
      </w:r>
      <w:r>
        <w:rPr>
          <w:sz w:val="20"/>
          <w:szCs w:val="20"/>
        </w:rPr>
        <w:t xml:space="preserve"> new memorandum and articles of association at the effective time of the Merger (the “Effective Time”), in the form attached as Annex 2 to the Plan of Merger (the “Adoption of Amended M&amp;A”), be approved and authorized by the Company;</w:t>
      </w:r>
    </w:p>
    <w:p w14:paraId="5CF19AE7" w14:textId="77777777" w:rsidR="00000000" w:rsidRDefault="002F725F">
      <w:pPr>
        <w:pStyle w:val="NormalWeb"/>
        <w:spacing w:before="0" w:beforeAutospacing="0" w:after="0" w:afterAutospacing="0"/>
        <w:divId w:val="415980837"/>
        <w:rPr>
          <w:sz w:val="20"/>
          <w:szCs w:val="20"/>
        </w:rPr>
      </w:pPr>
      <w:r>
        <w:rPr>
          <w:sz w:val="20"/>
          <w:szCs w:val="20"/>
        </w:rPr>
        <w:t> </w:t>
      </w:r>
    </w:p>
    <w:p w14:paraId="3BD075AC"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THAT</w:t>
      </w:r>
      <w:r>
        <w:rPr>
          <w:sz w:val="20"/>
          <w:szCs w:val="20"/>
        </w:rPr>
        <w:t xml:space="preserve"> each member of </w:t>
      </w:r>
      <w:r>
        <w:rPr>
          <w:sz w:val="20"/>
          <w:szCs w:val="20"/>
        </w:rPr>
        <w:t>a special committee of the board of directors of the Company (the “Board”), composed solely of independent and disinterested directors of the Company (the “Special Committee”) be authorized to do all things necessary to give effect to the Merger Agreement,</w:t>
      </w:r>
      <w:r>
        <w:rPr>
          <w:sz w:val="20"/>
          <w:szCs w:val="20"/>
        </w:rPr>
        <w:t xml:space="preserve"> the Plan of Merger and the consummation of the Transactions, including the Merger, the Variation of Share Capital, and the Adoption of Amended M&amp;A; and</w:t>
      </w:r>
    </w:p>
    <w:p w14:paraId="473F149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657E3BA" w14:textId="77777777">
        <w:trPr>
          <w:divId w:val="415980837"/>
          <w:tblCellSpacing w:w="0" w:type="dxa"/>
        </w:trPr>
        <w:tc>
          <w:tcPr>
            <w:tcW w:w="720" w:type="dxa"/>
            <w:hideMark/>
          </w:tcPr>
          <w:p w14:paraId="5A0594CF" w14:textId="77777777" w:rsidR="00000000" w:rsidRDefault="002F725F">
            <w:pPr>
              <w:rPr>
                <w:sz w:val="20"/>
                <w:szCs w:val="20"/>
              </w:rPr>
            </w:pPr>
          </w:p>
        </w:tc>
        <w:tc>
          <w:tcPr>
            <w:tcW w:w="360" w:type="dxa"/>
            <w:hideMark/>
          </w:tcPr>
          <w:p w14:paraId="232AACA2" w14:textId="77777777" w:rsidR="00000000" w:rsidRDefault="002F725F">
            <w:pPr>
              <w:rPr>
                <w:rFonts w:eastAsia="Times New Roman"/>
                <w:sz w:val="20"/>
                <w:szCs w:val="20"/>
              </w:rPr>
            </w:pPr>
            <w:r>
              <w:rPr>
                <w:rFonts w:eastAsia="Times New Roman"/>
                <w:sz w:val="20"/>
                <w:szCs w:val="20"/>
              </w:rPr>
              <w:t>●</w:t>
            </w:r>
          </w:p>
        </w:tc>
        <w:tc>
          <w:tcPr>
            <w:tcW w:w="0" w:type="auto"/>
            <w:hideMark/>
          </w:tcPr>
          <w:p w14:paraId="372D77C0" w14:textId="77777777" w:rsidR="00000000" w:rsidRDefault="002F725F">
            <w:pPr>
              <w:jc w:val="both"/>
              <w:rPr>
                <w:rFonts w:eastAsia="Times New Roman"/>
                <w:sz w:val="20"/>
                <w:szCs w:val="20"/>
              </w:rPr>
            </w:pPr>
            <w:r>
              <w:rPr>
                <w:rFonts w:eastAsia="Times New Roman"/>
                <w:sz w:val="20"/>
                <w:szCs w:val="20"/>
              </w:rPr>
              <w:t>if necessary, as an ordinary resolution:</w:t>
            </w:r>
          </w:p>
        </w:tc>
      </w:tr>
    </w:tbl>
    <w:p w14:paraId="54C854C0"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 </w:t>
      </w:r>
    </w:p>
    <w:p w14:paraId="24681F18"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THAT</w:t>
      </w:r>
      <w:r>
        <w:rPr>
          <w:sz w:val="20"/>
          <w:szCs w:val="20"/>
        </w:rPr>
        <w:t xml:space="preserve"> the extraordinary general meeting be adjourned in</w:t>
      </w:r>
      <w:r>
        <w:rPr>
          <w:sz w:val="20"/>
          <w:szCs w:val="20"/>
        </w:rPr>
        <w:t xml:space="preserve"> order to allow the Company to solicit additional proxies in the event that there are insufficient proxies received at the time of the extraordinary general meeting to pass the special resolutions to be proposed at the extraordinary general meeting.</w:t>
      </w:r>
    </w:p>
    <w:p w14:paraId="497DB149" w14:textId="77777777" w:rsidR="00000000" w:rsidRDefault="002F725F">
      <w:pPr>
        <w:pStyle w:val="NormalWeb"/>
        <w:spacing w:before="0" w:beforeAutospacing="0" w:after="0" w:afterAutospacing="0"/>
        <w:divId w:val="415980837"/>
        <w:rPr>
          <w:sz w:val="20"/>
          <w:szCs w:val="20"/>
        </w:rPr>
      </w:pPr>
      <w:r>
        <w:rPr>
          <w:sz w:val="20"/>
          <w:szCs w:val="20"/>
        </w:rPr>
        <w:t> </w:t>
      </w:r>
    </w:p>
    <w:p w14:paraId="760727FD"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Plea</w:t>
      </w:r>
      <w:r>
        <w:rPr>
          <w:sz w:val="20"/>
          <w:szCs w:val="20"/>
        </w:rPr>
        <w:t>se refer to the accompanying proxy statement, which is attached to and made a part of this notice. A list of the Company’s registered shareholders will be available at its principal executive office at 4th Floor, Building No. 2, 38 Yongda Road, Daxing Biom</w:t>
      </w:r>
      <w:r>
        <w:rPr>
          <w:sz w:val="20"/>
          <w:szCs w:val="20"/>
        </w:rPr>
        <w:t>edical Industry Park, Daxing District, Beijing, PRC, 102629, during ordinary business hours for the two business days immediately prior to the extraordinary general meeting.</w:t>
      </w:r>
    </w:p>
    <w:p w14:paraId="0B961963"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858A3D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Pursuant to the rollover and support agreement entered into on November 4, 2025 </w:t>
      </w:r>
      <w:r>
        <w:rPr>
          <w:sz w:val="20"/>
          <w:szCs w:val="20"/>
        </w:rPr>
        <w:t xml:space="preserve">by and among the Rollover Shareholders (as defined below) and Parent, as amended and restated by the amended and restated rollover and support agreement, dated as of April 29, 2026, by and among the Rollover Shareholders, Parent and the Company (as may be </w:t>
      </w:r>
      <w:r>
        <w:rPr>
          <w:sz w:val="20"/>
          <w:szCs w:val="20"/>
        </w:rPr>
        <w:t>further amended and restated from time to time, the “Support Agreement”), each of Oceanpine Capital Inc. (the “Sponsor”), Oceanpine Investment Fund II LP (“Oceanpine Investment”), Crystal Peak Investment Inc. (“Crystal Peak”), Adjuvant Global Health Techno</w:t>
      </w:r>
      <w:r>
        <w:rPr>
          <w:sz w:val="20"/>
          <w:szCs w:val="20"/>
        </w:rPr>
        <w:t>logy Fund, L.P. (“Adjuvant Fund”), Adjuvant Global Health Technology Fund DE, L.P. (“Adjuvant Fund DE”, together with Adjuvant Fund, collectively, “Adjuvant Capital”), Superstring Capital Master Fund LP (“Superstring Capital”), MSA GROWTH FUND II, L.P. (“M</w:t>
      </w:r>
      <w:r>
        <w:rPr>
          <w:sz w:val="20"/>
          <w:szCs w:val="20"/>
        </w:rPr>
        <w:t>SA Growth”), and Epiphron Capital (Hong Kong) Limited (“Epiphron Capital”) (collectively, the “Rollover Shareholders”) will vote all of the Shares beneficially owned by them in favor of the authorization and approval of the Merger Agreement, the Plan of Me</w:t>
      </w:r>
      <w:r>
        <w:rPr>
          <w:sz w:val="20"/>
          <w:szCs w:val="20"/>
        </w:rPr>
        <w:t>rger and the consummation of the Transactions. As of the date of the accompanying proxy statement, the Rollover Shareholders collectively beneficially own 21,988,169 Shares, which collectively represent approximately 53.35% of the voting power of the total</w:t>
      </w:r>
      <w:r>
        <w:rPr>
          <w:sz w:val="20"/>
          <w:szCs w:val="20"/>
        </w:rPr>
        <w:t xml:space="preserve"> issued and outstanding Shares. Parent, Merger Sub and the Rollover Shareholders are collectively referred to as the “Buyer Group.” Parent, Merger Sub, the Sponsor, Oceanpine Investment, Dave Liguang Chenn, Crystal Peak, Crystal Peak Holdings Inc. (“Crysta</w:t>
      </w:r>
      <w:r>
        <w:rPr>
          <w:sz w:val="20"/>
          <w:szCs w:val="20"/>
        </w:rPr>
        <w:t>l Holdings”), and Huaqin Xue are collectively referred to herein as the “Buyer Filing Persons,” and each, the “Buyer Filing Person.” Adjuvant Capital, Superstring Capital, MSA Growth and Epiphron Capital are collectively referred to herein as the “Other Ro</w:t>
      </w:r>
      <w:r>
        <w:rPr>
          <w:sz w:val="20"/>
          <w:szCs w:val="20"/>
        </w:rPr>
        <w:t>llover Shareholders,” and each, the “Other Rollover Shareholder.”</w:t>
      </w:r>
    </w:p>
    <w:p w14:paraId="1B921D6A"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F7F28B9" w14:textId="77777777" w:rsidR="00000000" w:rsidRDefault="002F725F">
      <w:pPr>
        <w:pStyle w:val="NormalWeb"/>
        <w:spacing w:before="0" w:beforeAutospacing="0" w:after="0" w:afterAutospacing="0"/>
        <w:jc w:val="center"/>
        <w:divId w:val="326053549"/>
        <w:rPr>
          <w:sz w:val="20"/>
          <w:szCs w:val="20"/>
        </w:rPr>
      </w:pPr>
      <w:r>
        <w:rPr>
          <w:sz w:val="20"/>
          <w:szCs w:val="20"/>
        </w:rPr>
        <w:t>vi</w:t>
      </w:r>
      <w:r>
        <w:rPr>
          <w:sz w:val="20"/>
          <w:szCs w:val="20"/>
        </w:rPr>
        <w:t>i</w:t>
      </w:r>
    </w:p>
    <w:p w14:paraId="5C4A2A68" w14:textId="77777777" w:rsidR="00000000" w:rsidRDefault="002F725F">
      <w:pPr>
        <w:pStyle w:val="NormalWeb"/>
        <w:spacing w:before="0" w:beforeAutospacing="0" w:after="0" w:afterAutospacing="0"/>
        <w:divId w:val="415980837"/>
        <w:rPr>
          <w:sz w:val="20"/>
          <w:szCs w:val="20"/>
        </w:rPr>
      </w:pPr>
      <w:r>
        <w:rPr>
          <w:sz w:val="20"/>
          <w:szCs w:val="20"/>
        </w:rPr>
        <w:t> </w:t>
      </w:r>
    </w:p>
    <w:p w14:paraId="2449B28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After careful consideration and upon the unanimous recommendation of the Special Committee, the Board (other than Ms. Rui (Rachel) Yu who recused herself from the meeting of the Boar</w:t>
      </w:r>
      <w:r>
        <w:rPr>
          <w:sz w:val="20"/>
          <w:szCs w:val="20"/>
        </w:rPr>
        <w:t xml:space="preserve">d and Dr. Hui (David) Shao who abstained from voting at the meeting of the Board) (a) determined that the Merger as contemplated in the Merger Agreement and the Plan of Merger is fair to and in the best interests of the Company and its shareholders, other </w:t>
      </w:r>
      <w:r>
        <w:rPr>
          <w:sz w:val="20"/>
          <w:szCs w:val="20"/>
        </w:rPr>
        <w:t>than shareholders who are affiliates of the Company and the holders of Excluded Shares (such unaffiliated shareholders are referred to herein as the “Unaffiliated Security Holders”), and it is advisable for the Company to enter into the Merger Agreement, t</w:t>
      </w:r>
      <w:r>
        <w:rPr>
          <w:sz w:val="20"/>
          <w:szCs w:val="20"/>
        </w:rPr>
        <w:t>he Plan of Merger, the Equity Commitment Letter (as defined below), the Support Agreement and the Limited Guarantee (as defined below) and to consummate the Transactions, (b) authorized and approved the Merger Agreement, the Plan of Merger, the consummatio</w:t>
      </w:r>
      <w:r>
        <w:rPr>
          <w:sz w:val="20"/>
          <w:szCs w:val="20"/>
        </w:rPr>
        <w:t>n of the Transactions, the equity commitment letter entered into by and among the Sponsor, Parent and the Company, pursuant to which the Sponsor will provide or procure the provision of the necessary cash financing for the Transactions (as may be amended a</w:t>
      </w:r>
      <w:r>
        <w:rPr>
          <w:sz w:val="20"/>
          <w:szCs w:val="20"/>
        </w:rPr>
        <w:t>nd restated from time to time, the “Equity Commitment Letter”), the Support Agreement, and the limited guarantee by the Sponsor in favor of the Company pursuant to which the Sponsor will guarantee certain payment obligations of Parent under the Merger Agre</w:t>
      </w:r>
      <w:r>
        <w:rPr>
          <w:sz w:val="20"/>
          <w:szCs w:val="20"/>
        </w:rPr>
        <w:t>ement (as may be amended and restated from time to time, the “Limited Guarantee”) and (c) resolved to recommend the approval and authorization of the Merger Agreement, the Plan of Merger, and the consummation of the Transactions to the registered sharehold</w:t>
      </w:r>
      <w:r>
        <w:rPr>
          <w:sz w:val="20"/>
          <w:szCs w:val="20"/>
        </w:rPr>
        <w:t xml:space="preserve">ers of the Company and directed that the Merger Agreement, the Plan of Merger and the consummation of the Transactions be submitted to a vote of the shareholders of the Company for authorization and approval. </w:t>
      </w:r>
      <w:r>
        <w:rPr>
          <w:b/>
          <w:bCs/>
          <w:sz w:val="20"/>
          <w:szCs w:val="20"/>
        </w:rPr>
        <w:t>The Board recommends that you vote FOR the prop</w:t>
      </w:r>
      <w:r>
        <w:rPr>
          <w:b/>
          <w:bCs/>
          <w:sz w:val="20"/>
          <w:szCs w:val="20"/>
        </w:rPr>
        <w:t>osal to authorize and approve the Merger Agreement, the Plan of Merger and the consummation of the Transactions, including the Merger, the Variation of Share Capital, and the Adoption of Amended M&amp;A, FOR the proposal to authorize members of the Special Com</w:t>
      </w:r>
      <w:r>
        <w:rPr>
          <w:b/>
          <w:bCs/>
          <w:sz w:val="20"/>
          <w:szCs w:val="20"/>
        </w:rPr>
        <w:t>mittee to do all things necessary to give effect to the Merger Agreement, the Plan of Merger, and the Transactions, including the Merger, the Variation of Share Capital, and the Adoption of Amended M&amp;A, and FOR the proposal to adjourn the extraordinary gen</w:t>
      </w:r>
      <w:r>
        <w:rPr>
          <w:b/>
          <w:bCs/>
          <w:sz w:val="20"/>
          <w:szCs w:val="20"/>
        </w:rPr>
        <w:t xml:space="preserve">eral meeting in order to allow the Company to solicit additional proxies in the event that there are insufficient proxies received at the time of the extraordinary general meeting to pass the special resolutions to be proposed at the extraordinary general </w:t>
      </w:r>
      <w:r>
        <w:rPr>
          <w:b/>
          <w:bCs/>
          <w:sz w:val="20"/>
          <w:szCs w:val="20"/>
        </w:rPr>
        <w:t>meeting.</w:t>
      </w:r>
    </w:p>
    <w:p w14:paraId="3A5270E2" w14:textId="77777777" w:rsidR="00000000" w:rsidRDefault="002F725F">
      <w:pPr>
        <w:pStyle w:val="NormalWeb"/>
        <w:spacing w:before="0" w:beforeAutospacing="0" w:after="0" w:afterAutospacing="0"/>
        <w:divId w:val="415980837"/>
        <w:rPr>
          <w:sz w:val="20"/>
          <w:szCs w:val="20"/>
        </w:rPr>
      </w:pPr>
      <w:r>
        <w:rPr>
          <w:sz w:val="20"/>
          <w:szCs w:val="20"/>
        </w:rPr>
        <w:t> </w:t>
      </w:r>
    </w:p>
    <w:p w14:paraId="07C15C6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Regardless of the number of Shares that you own, your vote is very </w:t>
      </w:r>
      <w:r>
        <w:rPr>
          <w:sz w:val="20"/>
          <w:szCs w:val="20"/>
        </w:rPr>
        <w:t xml:space="preserve">important. The Merger cannot be completed unless the Merger Agreement, the Plan of Merger and the Transactions are authorized and approved by a </w:t>
      </w:r>
      <w:r>
        <w:rPr>
          <w:sz w:val="20"/>
          <w:szCs w:val="20"/>
        </w:rPr>
        <w:lastRenderedPageBreak/>
        <w:t>special resolution of the shareholders of the Company in accordance with the Company’s second amended and restat</w:t>
      </w:r>
      <w:r>
        <w:rPr>
          <w:sz w:val="20"/>
          <w:szCs w:val="20"/>
        </w:rPr>
        <w:t>ed memorandum and articles of association and the Cayman Islands Companies Act, which requires the affirmative vote of holders of Shares representing not less than two-thirds of the votes cast by such shareholders as, being entitled to do so, vote in perso</w:t>
      </w:r>
      <w:r>
        <w:rPr>
          <w:sz w:val="20"/>
          <w:szCs w:val="20"/>
        </w:rPr>
        <w:t>n or, where proxies are allowed, by proxy or, in the case of corporations, by their duly authorised representatives, as a single class at the extraordinary general meeting or any adjournment or postponement thereof. In addition, a special resolution of the</w:t>
      </w:r>
      <w:r>
        <w:rPr>
          <w:sz w:val="20"/>
          <w:szCs w:val="20"/>
        </w:rPr>
        <w:t xml:space="preserve"> shareholders of the Company is required to authorize the Special Committee to do all things necessary to give effect to the Merger Agreement, the Plan of Merger and the consummation of the Transactions, including the Merger, the Variation of Share Capital</w:t>
      </w:r>
      <w:r>
        <w:rPr>
          <w:sz w:val="20"/>
          <w:szCs w:val="20"/>
        </w:rPr>
        <w:t xml:space="preserve">, and the Adoption of Amended M&amp;A, which is subject to the same two-thirds voting threshold as described above. As of the date of the accompanying proxy statement, the Rollover Shareholders collectively beneficially own 21,988,169 Shares, which represents </w:t>
      </w:r>
      <w:r>
        <w:rPr>
          <w:sz w:val="20"/>
          <w:szCs w:val="20"/>
        </w:rPr>
        <w:t>approximately 53.35% of the total voting rights in the Company. Accordingly, based on the total number of Shares expected to be issued and outstanding on the Share Record Date, and assuming the Rollover Shareholders’ compliance with their voting obligation</w:t>
      </w:r>
      <w:r>
        <w:rPr>
          <w:sz w:val="20"/>
          <w:szCs w:val="20"/>
        </w:rPr>
        <w:t>s under the Support Agreement to vote all their Shares in favor of the authorization and approval of the Merger Agreement, the Plan of Merger and the consummation of the Transactions, and the authorization of the Special Committee to do all things necessar</w:t>
      </w:r>
      <w:r>
        <w:rPr>
          <w:sz w:val="20"/>
          <w:szCs w:val="20"/>
        </w:rPr>
        <w:t>y to give effect to the foregoing, (a) at least 5,486,960 Shares owned by the Unaffiliated Security Holders equal to approximately 13.31% of the voting power of the total issued and outstanding Shares as of the Share Record Date must be voted in favor of t</w:t>
      </w:r>
      <w:r>
        <w:rPr>
          <w:sz w:val="20"/>
          <w:szCs w:val="20"/>
        </w:rPr>
        <w:t>he special resolutions to be proposed at the extraordinary general meeting for them to be approved, assuming all shareholders of the Company will be present and voting in person or by proxy at the extraordinary general meeting; (b) at least 2,739,447 Share</w:t>
      </w:r>
      <w:r>
        <w:rPr>
          <w:sz w:val="20"/>
          <w:szCs w:val="20"/>
        </w:rPr>
        <w:t>s owned by the Unaffiliated Security Holders equal to approximately 6.65% of the voting power of the total issued and outstanding Shares as of the Share Record Date must be voted in favor of the special resolutions to be proposed at the extraordinary gener</w:t>
      </w:r>
      <w:r>
        <w:rPr>
          <w:sz w:val="20"/>
          <w:szCs w:val="20"/>
        </w:rPr>
        <w:t xml:space="preserve">al meeting for them to be approved, assuming the shareholders holding 90% of the voting power of the total issued and outstanding Shares as of the Share Record Date will be present and voting in person or by proxy at the extraordinary general meeting; and </w:t>
      </w:r>
      <w:r>
        <w:rPr>
          <w:sz w:val="20"/>
          <w:szCs w:val="20"/>
        </w:rPr>
        <w:t>(c) shareholders holding more than 80.03% of the voting power of the total issued and outstanding Shares as of the Share Record Date (including 53.35% of the voting power held by the Rollover Shareholders) must be present and voting in person or by proxy a</w:t>
      </w:r>
      <w:r>
        <w:rPr>
          <w:sz w:val="20"/>
          <w:szCs w:val="20"/>
        </w:rPr>
        <w:t>t the extraordinary general meeting, such that the votes cast solely by the Rollover Shareholders will be insufficient to reach the two-thirds approval threshold for the special resolutions. In practice, with 53.35% of the voting power committed to vote in</w:t>
      </w:r>
      <w:r>
        <w:rPr>
          <w:sz w:val="20"/>
          <w:szCs w:val="20"/>
        </w:rPr>
        <w:t xml:space="preserve"> favor, it is unlikely that the Merger Agreement, the Plan of Merger, and the consummation of the Transactions will not be authorized and approved by the Company’s shareholders.</w:t>
      </w:r>
    </w:p>
    <w:p w14:paraId="2002AE24" w14:textId="77777777" w:rsidR="00000000" w:rsidRDefault="002F725F">
      <w:pPr>
        <w:pStyle w:val="NormalWeb"/>
        <w:spacing w:before="0" w:beforeAutospacing="0" w:after="0" w:afterAutospacing="0"/>
        <w:divId w:val="415980837"/>
        <w:rPr>
          <w:sz w:val="20"/>
          <w:szCs w:val="20"/>
        </w:rPr>
      </w:pPr>
      <w:r>
        <w:rPr>
          <w:sz w:val="20"/>
          <w:szCs w:val="20"/>
        </w:rPr>
        <w:t> </w:t>
      </w:r>
    </w:p>
    <w:p w14:paraId="21DF62F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An ordinary resolution of the shareholders of the Company to adjourn the ext</w:t>
      </w:r>
      <w:r>
        <w:rPr>
          <w:sz w:val="20"/>
          <w:szCs w:val="20"/>
        </w:rPr>
        <w:t>raordinary general meeting, if necessary, to allow the Company to solicit additional proxies in the event that there are insufficient proxies received at the time of the extraordinary general meeting to pass the special resolutions to be proposed at the ex</w:t>
      </w:r>
      <w:r>
        <w:rPr>
          <w:sz w:val="20"/>
          <w:szCs w:val="20"/>
        </w:rPr>
        <w:t>traordinary general meeting, requires the affirmative vote of holders of Shares representing a simple majority of the votes cast by such shareholders as, being entitled to do so, vote in person or, where proxies are allowed, by proxy or, in the case of cor</w:t>
      </w:r>
      <w:r>
        <w:rPr>
          <w:sz w:val="20"/>
          <w:szCs w:val="20"/>
        </w:rPr>
        <w:t>porations, by their duly authorised representatives, as a single class at the extraordinary general meeting or any adjournment or postponement thereof. Given the Rollover Shareholders’ shareholding as described above and assuming their compliance with thei</w:t>
      </w:r>
      <w:r>
        <w:rPr>
          <w:sz w:val="20"/>
          <w:szCs w:val="20"/>
        </w:rPr>
        <w:t>r voting undertaking under the Support Agreement to vote all their Shares in favor of such ordinary resolution, based on the number of Shares expected to be issued and outstanding on the Share Record Date, approval of the ordinary resolution will not requi</w:t>
      </w:r>
      <w:r>
        <w:rPr>
          <w:sz w:val="20"/>
          <w:szCs w:val="20"/>
        </w:rPr>
        <w:t>re any affirmative votes from the Unaffiliated Security Holders.</w:t>
      </w:r>
    </w:p>
    <w:p w14:paraId="11E34C16" w14:textId="77777777" w:rsidR="00000000" w:rsidRDefault="002F725F">
      <w:pPr>
        <w:pStyle w:val="NormalWeb"/>
        <w:spacing w:before="0" w:beforeAutospacing="0" w:after="0" w:afterAutospacing="0"/>
        <w:divId w:val="415980837"/>
        <w:rPr>
          <w:sz w:val="20"/>
          <w:szCs w:val="20"/>
        </w:rPr>
      </w:pPr>
      <w:r>
        <w:rPr>
          <w:sz w:val="20"/>
          <w:szCs w:val="20"/>
        </w:rPr>
        <w:t> </w:t>
      </w:r>
    </w:p>
    <w:p w14:paraId="57EA92A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Regardless of whether you plan to attend the extraordinary general meeting in person, we request that you submit your proxy in accordance with the instructions set forth on the proxy card a</w:t>
      </w:r>
      <w:r>
        <w:rPr>
          <w:sz w:val="20"/>
          <w:szCs w:val="20"/>
        </w:rPr>
        <w:t>s promptly as possible. To be valid, your proxy card must be completed, signed and returned to Continental Stock Transfer, 1 State Street - SC1, New York, NY 10004, no later than _____a.m. (Beijing time), ______, being 48 hours before the time appointed fo</w:t>
      </w:r>
      <w:r>
        <w:rPr>
          <w:sz w:val="20"/>
          <w:szCs w:val="20"/>
        </w:rPr>
        <w:t>r the extraordinary general meeting. The proxy card is the “instrument of proxy” and the “instrument appointing a proxy” as referred to in the Company’s articles of association. The Rollover Shareholders, who are registered shareholders of the Company, hav</w:t>
      </w:r>
      <w:r>
        <w:rPr>
          <w:sz w:val="20"/>
          <w:szCs w:val="20"/>
        </w:rPr>
        <w:t xml:space="preserve">e the right to demand poll voting at the meeting, and will exercise such right during the meeting. Accordingly, the voting on all resolutions at the extraordinary general meeting is expected to be conducted by way of a poll rather than on a show of hands. </w:t>
      </w:r>
      <w:r>
        <w:rPr>
          <w:sz w:val="20"/>
          <w:szCs w:val="20"/>
        </w:rPr>
        <w:t>The effect of poll voting is that the number of votes each holder has will depend on the number of Shares held by such holder. If you receive more than one proxy card because you own Shares that are registered in different names, please vote all of your Sh</w:t>
      </w:r>
      <w:r>
        <w:rPr>
          <w:sz w:val="20"/>
          <w:szCs w:val="20"/>
        </w:rPr>
        <w:t>ares shown on each of your proxy cards in accordance with the instructions set forth on the proxy card. Each registered holder of Shares has one vote for each Share held as of 5 p.m. Cayman Islands time on the Share Record Date.</w:t>
      </w:r>
    </w:p>
    <w:p w14:paraId="5D07EB86"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3E366FF" w14:textId="77777777" w:rsidR="00000000" w:rsidRDefault="002F725F">
      <w:pPr>
        <w:pStyle w:val="NormalWeb"/>
        <w:spacing w:before="0" w:beforeAutospacing="0" w:after="0" w:afterAutospacing="0"/>
        <w:jc w:val="center"/>
        <w:divId w:val="1105228793"/>
        <w:rPr>
          <w:sz w:val="20"/>
          <w:szCs w:val="20"/>
        </w:rPr>
      </w:pPr>
      <w:r>
        <w:rPr>
          <w:sz w:val="20"/>
          <w:szCs w:val="20"/>
        </w:rPr>
        <w:lastRenderedPageBreak/>
        <w:t>vii</w:t>
      </w:r>
      <w:r>
        <w:rPr>
          <w:sz w:val="20"/>
          <w:szCs w:val="20"/>
        </w:rPr>
        <w:t>i</w:t>
      </w:r>
    </w:p>
    <w:p w14:paraId="15F30D05"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8473E2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Completing the pro</w:t>
      </w:r>
      <w:r>
        <w:rPr>
          <w:sz w:val="20"/>
          <w:szCs w:val="20"/>
        </w:rPr>
        <w:t>xy card in accordance with the instructions set forth on the proxy card will not deprive you of your right to attend the extraordinary general meeting and vote your Shares in person. Please note, however, that if your Shares are registered in the name of a</w:t>
      </w:r>
      <w:r>
        <w:rPr>
          <w:sz w:val="20"/>
          <w:szCs w:val="20"/>
        </w:rPr>
        <w:t xml:space="preserve"> broker, bank or other nominee and you wish to vote at the extraordinary general meeting in person, you must obtain from the record holder a legal proxy issued in your name.</w:t>
      </w:r>
    </w:p>
    <w:p w14:paraId="50272C23" w14:textId="77777777" w:rsidR="00000000" w:rsidRDefault="002F725F">
      <w:pPr>
        <w:pStyle w:val="NormalWeb"/>
        <w:spacing w:before="0" w:beforeAutospacing="0" w:after="0" w:afterAutospacing="0"/>
        <w:divId w:val="415980837"/>
        <w:rPr>
          <w:sz w:val="20"/>
          <w:szCs w:val="20"/>
        </w:rPr>
      </w:pPr>
      <w:r>
        <w:rPr>
          <w:sz w:val="20"/>
          <w:szCs w:val="20"/>
        </w:rPr>
        <w:t> </w:t>
      </w:r>
    </w:p>
    <w:p w14:paraId="09D524B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If you abstain from voting, fail to cast your vote in person, fail to complete a</w:t>
      </w:r>
      <w:r>
        <w:rPr>
          <w:sz w:val="20"/>
          <w:szCs w:val="20"/>
        </w:rPr>
        <w:t>nd return your proxy card in accordance with the instructions set forth on the proxy card, or fail to give voting instructions to your broker, bank or other nominee, your vote will not be counted.</w:t>
      </w:r>
    </w:p>
    <w:p w14:paraId="50EF4153" w14:textId="77777777" w:rsidR="00000000" w:rsidRDefault="002F725F">
      <w:pPr>
        <w:pStyle w:val="NormalWeb"/>
        <w:spacing w:before="0" w:beforeAutospacing="0" w:after="0" w:afterAutospacing="0"/>
        <w:divId w:val="415980837"/>
        <w:rPr>
          <w:sz w:val="20"/>
          <w:szCs w:val="20"/>
        </w:rPr>
      </w:pPr>
      <w:r>
        <w:rPr>
          <w:sz w:val="20"/>
          <w:szCs w:val="20"/>
        </w:rPr>
        <w:t> </w:t>
      </w:r>
    </w:p>
    <w:p w14:paraId="05A9DEC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When proxies are properly dated, executed and returned by</w:t>
      </w:r>
      <w:r>
        <w:rPr>
          <w:sz w:val="20"/>
          <w:szCs w:val="20"/>
        </w:rPr>
        <w:t xml:space="preserve"> registered shareholders, the Shares they hold will be voted at the extraordinary general meeting in accordance with the instructions of such registered shareholders. If no specific instructions are given by such registered shareholders, such Shares will b</w:t>
      </w:r>
      <w:r>
        <w:rPr>
          <w:sz w:val="20"/>
          <w:szCs w:val="20"/>
        </w:rPr>
        <w:t>e voted “FOR” the proposals as described above, unless you appoint a person other than the chairman of the meeting as your proxy, in which case the Shares represented by your proxy card will be voted (or not submitted for voting) as your proxy determines.</w:t>
      </w:r>
    </w:p>
    <w:p w14:paraId="60D33E2B" w14:textId="77777777" w:rsidR="00000000" w:rsidRDefault="002F725F">
      <w:pPr>
        <w:pStyle w:val="NormalWeb"/>
        <w:spacing w:before="0" w:beforeAutospacing="0" w:after="0" w:afterAutospacing="0"/>
        <w:divId w:val="415980837"/>
        <w:rPr>
          <w:sz w:val="20"/>
          <w:szCs w:val="20"/>
        </w:rPr>
      </w:pPr>
      <w:r>
        <w:rPr>
          <w:sz w:val="20"/>
          <w:szCs w:val="20"/>
        </w:rPr>
        <w:t> </w:t>
      </w:r>
    </w:p>
    <w:p w14:paraId="2304F05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Registered shareholders who have validly exercised and have not effectively withdrawn or lost their rights to dissent from the Merger in accordance with the Cayman Islands Companies Act will have the right to receive payment of the fair value of their Sh</w:t>
      </w:r>
      <w:r>
        <w:rPr>
          <w:sz w:val="20"/>
          <w:szCs w:val="20"/>
        </w:rPr>
        <w:t>ares as determined by the Grand Court of the Cayman Islands in accordance with Section 238 of the Cayman Islands Companies Act, subject to Section 239 of the Cayman Islands Companies Act, if the Merger is completed, but only if they deliver to the Company,</w:t>
      </w:r>
      <w:r>
        <w:rPr>
          <w:sz w:val="20"/>
          <w:szCs w:val="20"/>
        </w:rPr>
        <w:t xml:space="preserve"> before the vote to authorize and approve the Merger is taken at the extraordinary general meeting, a written objection to the Merger and subsequently comply with all procedures and requirements of Section 238 of the Cayman Islands Companies Act for the ex</w:t>
      </w:r>
      <w:r>
        <w:rPr>
          <w:sz w:val="20"/>
          <w:szCs w:val="20"/>
        </w:rPr>
        <w:t>ercise of dissenters’ rights. A copy of Section 238 is attached as Annex D to the accompanying proxy statement. The fair value of their Shares as determined by the Grand Court of the Cayman Islands under the Cayman Islands Companies Act could be more than,</w:t>
      </w:r>
      <w:r>
        <w:rPr>
          <w:sz w:val="20"/>
          <w:szCs w:val="20"/>
        </w:rPr>
        <w:t xml:space="preserve"> the same as, or less than the merger consideration they would receive pursuant to the Merger Agreement if they do not exercise their rights to dissent with respect to their Shares. This proxy statement is not to be construed or taken as legal advice on Ca</w:t>
      </w:r>
      <w:r>
        <w:rPr>
          <w:sz w:val="20"/>
          <w:szCs w:val="20"/>
        </w:rPr>
        <w:t>yman Islands law. Registered shareholders who wish to exercise any rights under Section 238 of the Cayman Islands Companies Act, or otherwise, should obtain their own copy of the complete Cayman Islands Companies Act and seek legal advice from a law firm a</w:t>
      </w:r>
      <w:r>
        <w:rPr>
          <w:sz w:val="20"/>
          <w:szCs w:val="20"/>
        </w:rPr>
        <w:t>uthorized to practice Cayman Islands law without delay.</w:t>
      </w:r>
    </w:p>
    <w:p w14:paraId="0F84B843" w14:textId="77777777" w:rsidR="00000000" w:rsidRDefault="002F725F">
      <w:pPr>
        <w:pStyle w:val="NormalWeb"/>
        <w:spacing w:before="0" w:beforeAutospacing="0" w:after="0" w:afterAutospacing="0"/>
        <w:divId w:val="415980837"/>
        <w:rPr>
          <w:sz w:val="20"/>
          <w:szCs w:val="20"/>
        </w:rPr>
      </w:pPr>
      <w:r>
        <w:rPr>
          <w:sz w:val="20"/>
          <w:szCs w:val="20"/>
        </w:rPr>
        <w:t> </w:t>
      </w:r>
    </w:p>
    <w:p w14:paraId="719D8B7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If you have any questions or need assistance voting your Shares, please contact our Investor Relations Department by phone at +86 (10) 8920-2086 or by email at ir@lakeshorebio.com.</w:t>
      </w:r>
    </w:p>
    <w:p w14:paraId="43FC9672" w14:textId="77777777" w:rsidR="00000000" w:rsidRDefault="002F725F">
      <w:pPr>
        <w:pStyle w:val="NormalWeb"/>
        <w:spacing w:before="0" w:beforeAutospacing="0" w:after="0" w:afterAutospacing="0"/>
        <w:divId w:val="415980837"/>
        <w:rPr>
          <w:sz w:val="20"/>
          <w:szCs w:val="20"/>
        </w:rPr>
      </w:pPr>
      <w:r>
        <w:rPr>
          <w:sz w:val="20"/>
          <w:szCs w:val="20"/>
        </w:rPr>
        <w:t> </w:t>
      </w:r>
    </w:p>
    <w:p w14:paraId="4C24660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Merger Agre</w:t>
      </w:r>
      <w:r>
        <w:rPr>
          <w:sz w:val="20"/>
          <w:szCs w:val="20"/>
        </w:rPr>
        <w:t>ement, the Plan of Merger and the Transactions are described in the accompanying proxy statement. Copies of the Merger Agreement and the Plan of Merger are included as Annex A and Annex B, respectively, to the accompanying proxy statement. We urge you to r</w:t>
      </w:r>
      <w:r>
        <w:rPr>
          <w:sz w:val="20"/>
          <w:szCs w:val="20"/>
        </w:rPr>
        <w:t>ead the entire accompanying proxy statement carefully.</w:t>
      </w:r>
    </w:p>
    <w:p w14:paraId="2B6C34B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12E9C6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Notes:</w:t>
      </w:r>
    </w:p>
    <w:p w14:paraId="24331268" w14:textId="77777777" w:rsidR="00000000" w:rsidRDefault="002F725F">
      <w:pPr>
        <w:pStyle w:val="NormalWeb"/>
        <w:spacing w:before="0" w:beforeAutospacing="0" w:after="0" w:afterAutospacing="0"/>
        <w:ind w:left="144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3A435A1F" w14:textId="77777777">
        <w:trPr>
          <w:divId w:val="415980837"/>
          <w:tblCellSpacing w:w="0" w:type="dxa"/>
        </w:trPr>
        <w:tc>
          <w:tcPr>
            <w:tcW w:w="720" w:type="dxa"/>
            <w:hideMark/>
          </w:tcPr>
          <w:p w14:paraId="5655E457" w14:textId="77777777" w:rsidR="00000000" w:rsidRDefault="002F725F">
            <w:pPr>
              <w:rPr>
                <w:sz w:val="20"/>
                <w:szCs w:val="20"/>
              </w:rPr>
            </w:pPr>
          </w:p>
        </w:tc>
        <w:tc>
          <w:tcPr>
            <w:tcW w:w="720" w:type="dxa"/>
            <w:hideMark/>
          </w:tcPr>
          <w:p w14:paraId="3825BF2A" w14:textId="77777777" w:rsidR="00000000" w:rsidRDefault="002F725F">
            <w:pPr>
              <w:rPr>
                <w:rFonts w:eastAsia="Times New Roman"/>
                <w:sz w:val="20"/>
                <w:szCs w:val="20"/>
              </w:rPr>
            </w:pPr>
            <w:r>
              <w:rPr>
                <w:rFonts w:eastAsia="Times New Roman"/>
                <w:sz w:val="20"/>
                <w:szCs w:val="20"/>
              </w:rPr>
              <w:t>1.</w:t>
            </w:r>
          </w:p>
        </w:tc>
        <w:tc>
          <w:tcPr>
            <w:tcW w:w="0" w:type="auto"/>
            <w:hideMark/>
          </w:tcPr>
          <w:p w14:paraId="1B2374C5" w14:textId="77777777" w:rsidR="00000000" w:rsidRDefault="002F725F">
            <w:pPr>
              <w:jc w:val="both"/>
              <w:rPr>
                <w:rFonts w:eastAsia="Times New Roman"/>
                <w:sz w:val="20"/>
                <w:szCs w:val="20"/>
              </w:rPr>
            </w:pPr>
            <w:r>
              <w:rPr>
                <w:rFonts w:eastAsia="Times New Roman"/>
                <w:sz w:val="20"/>
                <w:szCs w:val="20"/>
              </w:rPr>
              <w:t>In the case of joint holders, any one of such joint holder may vote, either in person or by proxy, in respect of such Share as if he or she were solely entitled thereto, but if more than one of such joint holders be present at the extraordinary general mee</w:t>
            </w:r>
            <w:r>
              <w:rPr>
                <w:rFonts w:eastAsia="Times New Roman"/>
                <w:sz w:val="20"/>
                <w:szCs w:val="20"/>
              </w:rPr>
              <w:t>ting the vote of the senior holder who tenders a vote, whether in person or by proxy, shall be accepted to the exclusion of the votes of the other joint holders. For this purpose, seniority will be determined by the order in which the names stand in the re</w:t>
            </w:r>
            <w:r>
              <w:rPr>
                <w:rFonts w:eastAsia="Times New Roman"/>
                <w:sz w:val="20"/>
                <w:szCs w:val="20"/>
              </w:rPr>
              <w:t>gister of members of the Company in respect of the joint holders.</w:t>
            </w:r>
          </w:p>
        </w:tc>
      </w:tr>
    </w:tbl>
    <w:p w14:paraId="44E525B6" w14:textId="77777777" w:rsidR="00000000" w:rsidRDefault="002F725F">
      <w:pPr>
        <w:pStyle w:val="NormalWeb"/>
        <w:spacing w:before="0" w:beforeAutospacing="0" w:after="0" w:afterAutospacing="0"/>
        <w:ind w:left="144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46F2FAD6" w14:textId="77777777">
        <w:trPr>
          <w:divId w:val="415980837"/>
          <w:tblCellSpacing w:w="0" w:type="dxa"/>
        </w:trPr>
        <w:tc>
          <w:tcPr>
            <w:tcW w:w="720" w:type="dxa"/>
            <w:hideMark/>
          </w:tcPr>
          <w:p w14:paraId="25E497C7" w14:textId="77777777" w:rsidR="00000000" w:rsidRDefault="002F725F">
            <w:pPr>
              <w:rPr>
                <w:sz w:val="20"/>
                <w:szCs w:val="20"/>
              </w:rPr>
            </w:pPr>
          </w:p>
        </w:tc>
        <w:tc>
          <w:tcPr>
            <w:tcW w:w="720" w:type="dxa"/>
            <w:hideMark/>
          </w:tcPr>
          <w:p w14:paraId="4D9F6CE8" w14:textId="77777777" w:rsidR="00000000" w:rsidRDefault="002F725F">
            <w:pPr>
              <w:rPr>
                <w:rFonts w:eastAsia="Times New Roman"/>
                <w:sz w:val="20"/>
                <w:szCs w:val="20"/>
              </w:rPr>
            </w:pPr>
            <w:r>
              <w:rPr>
                <w:rFonts w:eastAsia="Times New Roman"/>
                <w:sz w:val="20"/>
                <w:szCs w:val="20"/>
              </w:rPr>
              <w:t>2.</w:t>
            </w:r>
          </w:p>
        </w:tc>
        <w:tc>
          <w:tcPr>
            <w:tcW w:w="0" w:type="auto"/>
            <w:hideMark/>
          </w:tcPr>
          <w:p w14:paraId="7821E249" w14:textId="77777777" w:rsidR="00000000" w:rsidRDefault="002F725F">
            <w:pPr>
              <w:jc w:val="both"/>
              <w:rPr>
                <w:rFonts w:eastAsia="Times New Roman"/>
                <w:sz w:val="20"/>
                <w:szCs w:val="20"/>
              </w:rPr>
            </w:pPr>
            <w:r>
              <w:rPr>
                <w:rFonts w:eastAsia="Times New Roman"/>
                <w:sz w:val="20"/>
                <w:szCs w:val="20"/>
              </w:rPr>
              <w:t>The instrument appointing a proxy must be in writing under the hand of the appointer or of his or her attorney duly authorized in writing or, if the appointer is a corporation, either</w:t>
            </w:r>
            <w:r>
              <w:rPr>
                <w:rFonts w:eastAsia="Times New Roman"/>
                <w:sz w:val="20"/>
                <w:szCs w:val="20"/>
              </w:rPr>
              <w:t xml:space="preserve"> under its seal or under the hand of an officer, attorney or other person duly authorized to sign the same.</w:t>
            </w:r>
          </w:p>
        </w:tc>
      </w:tr>
    </w:tbl>
    <w:p w14:paraId="728DC85E" w14:textId="77777777" w:rsidR="00000000" w:rsidRDefault="002F725F">
      <w:pPr>
        <w:pStyle w:val="NormalWeb"/>
        <w:spacing w:before="0" w:beforeAutospacing="0" w:after="0" w:afterAutospacing="0"/>
        <w:ind w:left="144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39790143" w14:textId="77777777">
        <w:trPr>
          <w:divId w:val="415980837"/>
          <w:tblCellSpacing w:w="0" w:type="dxa"/>
        </w:trPr>
        <w:tc>
          <w:tcPr>
            <w:tcW w:w="720" w:type="dxa"/>
            <w:hideMark/>
          </w:tcPr>
          <w:p w14:paraId="444CBC2E" w14:textId="77777777" w:rsidR="00000000" w:rsidRDefault="002F725F">
            <w:pPr>
              <w:rPr>
                <w:sz w:val="20"/>
                <w:szCs w:val="20"/>
              </w:rPr>
            </w:pPr>
          </w:p>
        </w:tc>
        <w:tc>
          <w:tcPr>
            <w:tcW w:w="720" w:type="dxa"/>
            <w:hideMark/>
          </w:tcPr>
          <w:p w14:paraId="4EDBF844" w14:textId="77777777" w:rsidR="00000000" w:rsidRDefault="002F725F">
            <w:pPr>
              <w:rPr>
                <w:rFonts w:eastAsia="Times New Roman"/>
                <w:sz w:val="20"/>
                <w:szCs w:val="20"/>
              </w:rPr>
            </w:pPr>
            <w:r>
              <w:rPr>
                <w:rFonts w:eastAsia="Times New Roman"/>
                <w:sz w:val="20"/>
                <w:szCs w:val="20"/>
              </w:rPr>
              <w:t>3.</w:t>
            </w:r>
          </w:p>
        </w:tc>
        <w:tc>
          <w:tcPr>
            <w:tcW w:w="0" w:type="auto"/>
            <w:hideMark/>
          </w:tcPr>
          <w:p w14:paraId="67D03473" w14:textId="77777777" w:rsidR="00000000" w:rsidRDefault="002F725F">
            <w:pPr>
              <w:jc w:val="both"/>
              <w:rPr>
                <w:rFonts w:eastAsia="Times New Roman"/>
                <w:sz w:val="20"/>
                <w:szCs w:val="20"/>
              </w:rPr>
            </w:pPr>
            <w:r>
              <w:rPr>
                <w:rFonts w:eastAsia="Times New Roman"/>
                <w:sz w:val="20"/>
                <w:szCs w:val="20"/>
              </w:rPr>
              <w:t>A proxy need not be a member (registered shareholder) of the Company.</w:t>
            </w:r>
          </w:p>
        </w:tc>
      </w:tr>
    </w:tbl>
    <w:p w14:paraId="723226E0" w14:textId="77777777" w:rsidR="00000000" w:rsidRDefault="002F725F">
      <w:pPr>
        <w:pStyle w:val="NormalWeb"/>
        <w:spacing w:before="0" w:beforeAutospacing="0" w:after="0" w:afterAutospacing="0"/>
        <w:ind w:left="1440" w:hanging="720"/>
        <w:jc w:val="both"/>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781426C6" w14:textId="77777777">
        <w:trPr>
          <w:divId w:val="415980837"/>
          <w:tblCellSpacing w:w="0" w:type="dxa"/>
        </w:trPr>
        <w:tc>
          <w:tcPr>
            <w:tcW w:w="720" w:type="dxa"/>
            <w:hideMark/>
          </w:tcPr>
          <w:p w14:paraId="090A60C8" w14:textId="77777777" w:rsidR="00000000" w:rsidRDefault="002F725F">
            <w:pPr>
              <w:rPr>
                <w:sz w:val="20"/>
                <w:szCs w:val="20"/>
              </w:rPr>
            </w:pPr>
          </w:p>
        </w:tc>
        <w:tc>
          <w:tcPr>
            <w:tcW w:w="720" w:type="dxa"/>
            <w:hideMark/>
          </w:tcPr>
          <w:p w14:paraId="6E2F8071" w14:textId="77777777" w:rsidR="00000000" w:rsidRDefault="002F725F">
            <w:pPr>
              <w:rPr>
                <w:rFonts w:eastAsia="Times New Roman"/>
                <w:sz w:val="20"/>
                <w:szCs w:val="20"/>
              </w:rPr>
            </w:pPr>
            <w:r>
              <w:rPr>
                <w:rFonts w:eastAsia="Times New Roman"/>
                <w:sz w:val="20"/>
                <w:szCs w:val="20"/>
              </w:rPr>
              <w:t>4.</w:t>
            </w:r>
          </w:p>
        </w:tc>
        <w:tc>
          <w:tcPr>
            <w:tcW w:w="0" w:type="auto"/>
            <w:hideMark/>
          </w:tcPr>
          <w:p w14:paraId="2F5F5A33" w14:textId="77777777" w:rsidR="00000000" w:rsidRDefault="002F725F">
            <w:pPr>
              <w:jc w:val="both"/>
              <w:rPr>
                <w:rFonts w:eastAsia="Times New Roman"/>
                <w:sz w:val="20"/>
                <w:szCs w:val="20"/>
              </w:rPr>
            </w:pPr>
            <w:r>
              <w:rPr>
                <w:rFonts w:eastAsia="Times New Roman"/>
                <w:sz w:val="20"/>
                <w:szCs w:val="20"/>
              </w:rPr>
              <w:t>The proxy card must be deposited in the manner set out in the no</w:t>
            </w:r>
            <w:r>
              <w:rPr>
                <w:rFonts w:eastAsia="Times New Roman"/>
                <w:sz w:val="20"/>
                <w:szCs w:val="20"/>
              </w:rPr>
              <w:t>tice of the extraordinary general meeting. A proxy card that is not deposited in the manner permitted will be invalid.</w:t>
            </w:r>
          </w:p>
        </w:tc>
      </w:tr>
    </w:tbl>
    <w:p w14:paraId="38206860"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6CECF068" w14:textId="77777777">
        <w:trPr>
          <w:divId w:val="415980837"/>
          <w:tblCellSpacing w:w="0" w:type="dxa"/>
        </w:trPr>
        <w:tc>
          <w:tcPr>
            <w:tcW w:w="720" w:type="dxa"/>
            <w:hideMark/>
          </w:tcPr>
          <w:p w14:paraId="4E50FAD3" w14:textId="77777777" w:rsidR="00000000" w:rsidRDefault="002F725F">
            <w:pPr>
              <w:rPr>
                <w:sz w:val="20"/>
                <w:szCs w:val="20"/>
              </w:rPr>
            </w:pPr>
          </w:p>
        </w:tc>
        <w:tc>
          <w:tcPr>
            <w:tcW w:w="720" w:type="dxa"/>
            <w:hideMark/>
          </w:tcPr>
          <w:p w14:paraId="13B3433A" w14:textId="77777777" w:rsidR="00000000" w:rsidRDefault="002F725F">
            <w:pPr>
              <w:rPr>
                <w:rFonts w:eastAsia="Times New Roman"/>
                <w:sz w:val="20"/>
                <w:szCs w:val="20"/>
              </w:rPr>
            </w:pPr>
            <w:r>
              <w:rPr>
                <w:rFonts w:eastAsia="Times New Roman"/>
                <w:sz w:val="20"/>
                <w:szCs w:val="20"/>
              </w:rPr>
              <w:t>5.</w:t>
            </w:r>
          </w:p>
        </w:tc>
        <w:tc>
          <w:tcPr>
            <w:tcW w:w="0" w:type="auto"/>
            <w:hideMark/>
          </w:tcPr>
          <w:p w14:paraId="5F26C1FD" w14:textId="77777777" w:rsidR="00000000" w:rsidRDefault="002F725F">
            <w:pPr>
              <w:jc w:val="both"/>
              <w:rPr>
                <w:rFonts w:eastAsia="Times New Roman"/>
                <w:sz w:val="20"/>
                <w:szCs w:val="20"/>
              </w:rPr>
            </w:pPr>
            <w:r>
              <w:rPr>
                <w:rFonts w:eastAsia="Times New Roman"/>
                <w:sz w:val="20"/>
                <w:szCs w:val="20"/>
              </w:rPr>
              <w:t>Votes given in accordance with the terms of a proxy card will be valid notwithstanding the previous death or insanity of the principal or revocation of the proxy or of the authority under which the proxy was executed, provided that no intimation in writing</w:t>
            </w:r>
            <w:r>
              <w:rPr>
                <w:rFonts w:eastAsia="Times New Roman"/>
                <w:sz w:val="20"/>
                <w:szCs w:val="20"/>
              </w:rPr>
              <w:t xml:space="preserve"> of such death, insanity or revocation was received by Continental Stock Transfer at 1 State Street - SC1, New York, NY 10004, at least two hours before the commencement of the extraordinary general meeting, or adjourned meeting at which such proxy is used</w:t>
            </w:r>
            <w:r>
              <w:rPr>
                <w:rFonts w:eastAsia="Times New Roman"/>
                <w:sz w:val="20"/>
                <w:szCs w:val="20"/>
              </w:rPr>
              <w:t>.</w:t>
            </w:r>
          </w:p>
        </w:tc>
      </w:tr>
    </w:tbl>
    <w:p w14:paraId="58CFBC64"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5616"/>
        <w:gridCol w:w="936"/>
        <w:gridCol w:w="2808"/>
      </w:tblGrid>
      <w:tr w:rsidR="00000000" w14:paraId="2BBB4976" w14:textId="77777777">
        <w:trPr>
          <w:divId w:val="415980837"/>
        </w:trPr>
        <w:tc>
          <w:tcPr>
            <w:tcW w:w="0" w:type="auto"/>
            <w:hideMark/>
          </w:tcPr>
          <w:p w14:paraId="347B36D9" w14:textId="77777777" w:rsidR="00000000" w:rsidRDefault="002F725F">
            <w:pPr>
              <w:rPr>
                <w:rFonts w:eastAsia="Times New Roman"/>
                <w:sz w:val="20"/>
                <w:szCs w:val="20"/>
              </w:rPr>
            </w:pPr>
            <w:r>
              <w:rPr>
                <w:rFonts w:eastAsia="Times New Roman"/>
                <w:sz w:val="20"/>
                <w:szCs w:val="20"/>
              </w:rPr>
              <w:t>   </w:t>
            </w:r>
          </w:p>
        </w:tc>
        <w:tc>
          <w:tcPr>
            <w:tcW w:w="0" w:type="auto"/>
            <w:gridSpan w:val="2"/>
            <w:hideMark/>
          </w:tcPr>
          <w:p w14:paraId="75F3F999" w14:textId="77777777" w:rsidR="00000000" w:rsidRDefault="002F725F">
            <w:pPr>
              <w:rPr>
                <w:rFonts w:eastAsia="Times New Roman"/>
                <w:sz w:val="20"/>
                <w:szCs w:val="20"/>
              </w:rPr>
            </w:pPr>
            <w:r>
              <w:rPr>
                <w:rFonts w:eastAsia="Times New Roman"/>
                <w:b/>
                <w:bCs/>
                <w:sz w:val="20"/>
                <w:szCs w:val="20"/>
              </w:rPr>
              <w:t>BY ORDER OF THE BOARD OF DIRECTORS,</w:t>
            </w:r>
          </w:p>
        </w:tc>
      </w:tr>
      <w:tr w:rsidR="00000000" w14:paraId="0132B6E3" w14:textId="77777777">
        <w:trPr>
          <w:divId w:val="415980837"/>
        </w:trPr>
        <w:tc>
          <w:tcPr>
            <w:tcW w:w="0" w:type="auto"/>
            <w:hideMark/>
          </w:tcPr>
          <w:p w14:paraId="4AFDF67A" w14:textId="77777777" w:rsidR="00000000" w:rsidRDefault="002F725F">
            <w:pPr>
              <w:rPr>
                <w:rFonts w:eastAsia="Times New Roman"/>
                <w:sz w:val="20"/>
                <w:szCs w:val="20"/>
              </w:rPr>
            </w:pPr>
            <w:r>
              <w:rPr>
                <w:rFonts w:eastAsia="Times New Roman"/>
                <w:sz w:val="20"/>
                <w:szCs w:val="20"/>
              </w:rPr>
              <w:t> </w:t>
            </w:r>
          </w:p>
        </w:tc>
        <w:tc>
          <w:tcPr>
            <w:tcW w:w="0" w:type="auto"/>
            <w:gridSpan w:val="2"/>
            <w:hideMark/>
          </w:tcPr>
          <w:p w14:paraId="0BE59285" w14:textId="77777777" w:rsidR="00000000" w:rsidRDefault="002F725F">
            <w:pPr>
              <w:rPr>
                <w:rFonts w:eastAsia="Times New Roman"/>
                <w:sz w:val="20"/>
                <w:szCs w:val="20"/>
              </w:rPr>
            </w:pPr>
            <w:r>
              <w:rPr>
                <w:rFonts w:eastAsia="Times New Roman"/>
                <w:sz w:val="20"/>
                <w:szCs w:val="20"/>
              </w:rPr>
              <w:t> </w:t>
            </w:r>
          </w:p>
        </w:tc>
      </w:tr>
      <w:tr w:rsidR="00000000" w14:paraId="76D09813" w14:textId="77777777">
        <w:trPr>
          <w:divId w:val="415980837"/>
        </w:trPr>
        <w:tc>
          <w:tcPr>
            <w:tcW w:w="0" w:type="auto"/>
            <w:hideMark/>
          </w:tcPr>
          <w:p w14:paraId="119EC948" w14:textId="77777777" w:rsidR="00000000" w:rsidRDefault="002F725F">
            <w:pPr>
              <w:rPr>
                <w:rFonts w:eastAsia="Times New Roman"/>
                <w:sz w:val="20"/>
                <w:szCs w:val="20"/>
              </w:rPr>
            </w:pPr>
            <w:r>
              <w:rPr>
                <w:rFonts w:eastAsia="Times New Roman"/>
                <w:sz w:val="20"/>
                <w:szCs w:val="20"/>
              </w:rPr>
              <w:t> </w:t>
            </w:r>
          </w:p>
        </w:tc>
        <w:tc>
          <w:tcPr>
            <w:tcW w:w="0" w:type="auto"/>
            <w:gridSpan w:val="2"/>
            <w:tcBorders>
              <w:bottom w:val="single" w:sz="12" w:space="0" w:color="000000"/>
            </w:tcBorders>
            <w:hideMark/>
          </w:tcPr>
          <w:p w14:paraId="139C8615" w14:textId="77777777" w:rsidR="00000000" w:rsidRDefault="002F725F">
            <w:pPr>
              <w:rPr>
                <w:rFonts w:eastAsia="Times New Roman"/>
                <w:sz w:val="20"/>
                <w:szCs w:val="20"/>
              </w:rPr>
            </w:pPr>
            <w:r>
              <w:rPr>
                <w:rFonts w:eastAsia="Times New Roman"/>
                <w:sz w:val="20"/>
                <w:szCs w:val="20"/>
              </w:rPr>
              <w:t> </w:t>
            </w:r>
          </w:p>
        </w:tc>
      </w:tr>
      <w:tr w:rsidR="00000000" w14:paraId="5C173CDC" w14:textId="77777777">
        <w:trPr>
          <w:divId w:val="415980837"/>
        </w:trPr>
        <w:tc>
          <w:tcPr>
            <w:tcW w:w="0" w:type="auto"/>
            <w:hideMark/>
          </w:tcPr>
          <w:p w14:paraId="3B66FB30" w14:textId="77777777" w:rsidR="00000000" w:rsidRDefault="002F725F">
            <w:pPr>
              <w:rPr>
                <w:rFonts w:eastAsia="Times New Roman"/>
                <w:sz w:val="20"/>
                <w:szCs w:val="20"/>
              </w:rPr>
            </w:pPr>
            <w:r>
              <w:rPr>
                <w:rFonts w:eastAsia="Times New Roman"/>
                <w:sz w:val="20"/>
                <w:szCs w:val="20"/>
              </w:rPr>
              <w:t> </w:t>
            </w:r>
          </w:p>
        </w:tc>
        <w:tc>
          <w:tcPr>
            <w:tcW w:w="0" w:type="auto"/>
            <w:gridSpan w:val="2"/>
            <w:hideMark/>
          </w:tcPr>
          <w:p w14:paraId="78BF406B" w14:textId="77777777" w:rsidR="00000000" w:rsidRDefault="002F725F">
            <w:pPr>
              <w:rPr>
                <w:rFonts w:eastAsia="Times New Roman"/>
                <w:sz w:val="20"/>
                <w:szCs w:val="20"/>
              </w:rPr>
            </w:pPr>
            <w:r>
              <w:rPr>
                <w:rFonts w:eastAsia="Times New Roman"/>
                <w:sz w:val="20"/>
                <w:szCs w:val="20"/>
              </w:rPr>
              <w:t>Yue (Pierson) Pan</w:t>
            </w:r>
          </w:p>
        </w:tc>
      </w:tr>
      <w:tr w:rsidR="00000000" w14:paraId="58CA6FEC" w14:textId="77777777">
        <w:trPr>
          <w:divId w:val="415980837"/>
        </w:trPr>
        <w:tc>
          <w:tcPr>
            <w:tcW w:w="0" w:type="auto"/>
            <w:hideMark/>
          </w:tcPr>
          <w:p w14:paraId="0286A4A9" w14:textId="77777777" w:rsidR="00000000" w:rsidRDefault="002F725F">
            <w:pPr>
              <w:rPr>
                <w:rFonts w:eastAsia="Times New Roman"/>
                <w:sz w:val="20"/>
                <w:szCs w:val="20"/>
              </w:rPr>
            </w:pPr>
            <w:r>
              <w:rPr>
                <w:rFonts w:eastAsia="Times New Roman"/>
                <w:sz w:val="20"/>
                <w:szCs w:val="20"/>
              </w:rPr>
              <w:t> </w:t>
            </w:r>
          </w:p>
        </w:tc>
        <w:tc>
          <w:tcPr>
            <w:tcW w:w="0" w:type="auto"/>
            <w:gridSpan w:val="2"/>
            <w:hideMark/>
          </w:tcPr>
          <w:p w14:paraId="0267879E" w14:textId="77777777" w:rsidR="00000000" w:rsidRDefault="002F725F">
            <w:pPr>
              <w:rPr>
                <w:rFonts w:eastAsia="Times New Roman"/>
                <w:sz w:val="20"/>
                <w:szCs w:val="20"/>
              </w:rPr>
            </w:pPr>
            <w:r>
              <w:rPr>
                <w:rFonts w:eastAsia="Times New Roman"/>
                <w:sz w:val="20"/>
                <w:szCs w:val="20"/>
              </w:rPr>
              <w:t>Chairperson of the Board</w:t>
            </w:r>
          </w:p>
        </w:tc>
      </w:tr>
      <w:tr w:rsidR="00000000" w14:paraId="588D23E1" w14:textId="77777777">
        <w:trPr>
          <w:divId w:val="415980837"/>
        </w:trPr>
        <w:tc>
          <w:tcPr>
            <w:tcW w:w="3000" w:type="pct"/>
            <w:hideMark/>
          </w:tcPr>
          <w:p w14:paraId="6934920F" w14:textId="77777777" w:rsidR="00000000" w:rsidRDefault="002F725F">
            <w:pPr>
              <w:rPr>
                <w:rFonts w:eastAsia="Times New Roman"/>
                <w:sz w:val="20"/>
                <w:szCs w:val="20"/>
              </w:rPr>
            </w:pPr>
            <w:r>
              <w:rPr>
                <w:rFonts w:eastAsia="Times New Roman"/>
                <w:sz w:val="20"/>
                <w:szCs w:val="20"/>
              </w:rPr>
              <w:t> </w:t>
            </w:r>
          </w:p>
        </w:tc>
        <w:tc>
          <w:tcPr>
            <w:tcW w:w="500" w:type="pct"/>
            <w:hideMark/>
          </w:tcPr>
          <w:p w14:paraId="20D44023" w14:textId="77777777" w:rsidR="00000000" w:rsidRDefault="002F725F">
            <w:pPr>
              <w:rPr>
                <w:rFonts w:eastAsia="Times New Roman"/>
                <w:sz w:val="20"/>
                <w:szCs w:val="20"/>
              </w:rPr>
            </w:pPr>
            <w:r>
              <w:rPr>
                <w:rFonts w:eastAsia="Times New Roman"/>
                <w:sz w:val="20"/>
                <w:szCs w:val="20"/>
              </w:rPr>
              <w:t>        , 2026</w:t>
            </w:r>
          </w:p>
        </w:tc>
        <w:tc>
          <w:tcPr>
            <w:tcW w:w="1500" w:type="pct"/>
            <w:hideMark/>
          </w:tcPr>
          <w:p w14:paraId="09AD4DC5" w14:textId="77777777" w:rsidR="00000000" w:rsidRDefault="002F725F">
            <w:pPr>
              <w:rPr>
                <w:rFonts w:eastAsia="Times New Roman"/>
                <w:sz w:val="20"/>
                <w:szCs w:val="20"/>
              </w:rPr>
            </w:pPr>
            <w:r>
              <w:rPr>
                <w:rFonts w:eastAsia="Times New Roman"/>
                <w:sz w:val="20"/>
                <w:szCs w:val="20"/>
              </w:rPr>
              <w:t> </w:t>
            </w:r>
          </w:p>
        </w:tc>
      </w:tr>
    </w:tbl>
    <w:p w14:paraId="39A65A1C" w14:textId="77777777" w:rsidR="00000000" w:rsidRDefault="002F725F">
      <w:pPr>
        <w:pStyle w:val="NormalWeb"/>
        <w:spacing w:before="0" w:beforeAutospacing="0" w:after="0" w:afterAutospacing="0"/>
        <w:divId w:val="415980837"/>
        <w:rPr>
          <w:sz w:val="20"/>
          <w:szCs w:val="20"/>
        </w:rPr>
      </w:pPr>
      <w:r>
        <w:rPr>
          <w:sz w:val="20"/>
          <w:szCs w:val="20"/>
        </w:rPr>
        <w:t> </w:t>
      </w:r>
    </w:p>
    <w:p w14:paraId="3DDBC92D" w14:textId="77777777" w:rsidR="00000000" w:rsidRDefault="002F725F">
      <w:pPr>
        <w:pStyle w:val="NormalWeb"/>
        <w:spacing w:before="0" w:beforeAutospacing="0" w:after="0" w:afterAutospacing="0"/>
        <w:jc w:val="center"/>
        <w:divId w:val="1837458734"/>
        <w:rPr>
          <w:sz w:val="20"/>
          <w:szCs w:val="20"/>
        </w:rPr>
      </w:pPr>
      <w:r>
        <w:rPr>
          <w:sz w:val="20"/>
          <w:szCs w:val="20"/>
        </w:rPr>
        <w:t>i</w:t>
      </w:r>
      <w:r>
        <w:rPr>
          <w:sz w:val="20"/>
          <w:szCs w:val="20"/>
        </w:rPr>
        <w:t>x</w:t>
      </w:r>
    </w:p>
    <w:p w14:paraId="33C1977E"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4DD95F1" w14:textId="77777777" w:rsidR="00000000" w:rsidRDefault="002F725F">
      <w:pPr>
        <w:pStyle w:val="NormalWeb"/>
        <w:spacing w:before="0" w:beforeAutospacing="0" w:after="0" w:afterAutospacing="0"/>
        <w:jc w:val="center"/>
        <w:divId w:val="415980837"/>
        <w:rPr>
          <w:sz w:val="20"/>
          <w:szCs w:val="20"/>
        </w:rPr>
      </w:pPr>
      <w:r>
        <w:rPr>
          <w:b/>
          <w:bCs/>
          <w:sz w:val="20"/>
          <w:szCs w:val="20"/>
        </w:rPr>
        <w:t>PROXY STATEMENT</w:t>
      </w:r>
    </w:p>
    <w:p w14:paraId="63CDF7DE"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6FAAFE20" w14:textId="77777777" w:rsidR="00000000" w:rsidRDefault="002F725F">
      <w:pPr>
        <w:pStyle w:val="NormalWeb"/>
        <w:spacing w:before="0" w:beforeAutospacing="0" w:after="0" w:afterAutospacing="0"/>
        <w:jc w:val="center"/>
        <w:divId w:val="415980837"/>
        <w:rPr>
          <w:sz w:val="20"/>
          <w:szCs w:val="20"/>
        </w:rPr>
      </w:pPr>
      <w:r>
        <w:rPr>
          <w:b/>
          <w:bCs/>
          <w:sz w:val="20"/>
          <w:szCs w:val="20"/>
        </w:rPr>
        <w:t>Dated____________</w:t>
      </w:r>
    </w:p>
    <w:p w14:paraId="0DE402D8"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7F4DDDA0" w14:textId="77777777" w:rsidR="00000000" w:rsidRDefault="002F725F">
      <w:pPr>
        <w:pStyle w:val="NormalWeb"/>
        <w:spacing w:before="0" w:beforeAutospacing="0" w:after="0" w:afterAutospacing="0"/>
        <w:jc w:val="center"/>
        <w:divId w:val="415980837"/>
        <w:rPr>
          <w:sz w:val="20"/>
          <w:szCs w:val="20"/>
        </w:rPr>
      </w:pPr>
      <w:r>
        <w:rPr>
          <w:b/>
          <w:bCs/>
          <w:sz w:val="20"/>
          <w:szCs w:val="20"/>
        </w:rPr>
        <w:t>SUMMARY VOTING INSTRUCTIONS</w:t>
      </w:r>
    </w:p>
    <w:p w14:paraId="693C361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5F2F63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Ensure that your Shares of LakeShore Biopharma Co., Ltd can be voted at the extraordinary general meeting by submitting your proxy or contacting your broker, bank or other nominee.</w:t>
      </w:r>
    </w:p>
    <w:p w14:paraId="14DCF6E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BF98C21" w14:textId="77777777" w:rsidR="00000000" w:rsidRDefault="002F725F">
      <w:pPr>
        <w:pStyle w:val="NormalWeb"/>
        <w:spacing w:before="0" w:beforeAutospacing="0" w:after="0" w:afterAutospacing="0"/>
        <w:ind w:firstLine="720"/>
        <w:jc w:val="both"/>
        <w:divId w:val="415980837"/>
        <w:rPr>
          <w:sz w:val="20"/>
          <w:szCs w:val="20"/>
        </w:rPr>
      </w:pPr>
      <w:r>
        <w:rPr>
          <w:b/>
          <w:bCs/>
          <w:i/>
          <w:iCs/>
          <w:sz w:val="20"/>
          <w:szCs w:val="20"/>
        </w:rPr>
        <w:t>If your shares are registered in the name of a broker, bank or other nomi</w:t>
      </w:r>
      <w:r>
        <w:rPr>
          <w:b/>
          <w:bCs/>
          <w:i/>
          <w:iCs/>
          <w:sz w:val="20"/>
          <w:szCs w:val="20"/>
        </w:rPr>
        <w:t>nee:</w:t>
      </w:r>
      <w:r>
        <w:rPr>
          <w:sz w:val="20"/>
          <w:szCs w:val="20"/>
        </w:rPr>
        <w:t xml:space="preserve"> check the voting instruction card forwarded by your broker, bank or other nominee to see which voting options are available or contact your broker, bank or other nominee in order to obtain directions as to how to ensure that your Shares are voted at t</w:t>
      </w:r>
      <w:r>
        <w:rPr>
          <w:sz w:val="20"/>
          <w:szCs w:val="20"/>
        </w:rPr>
        <w:t>he extraordinary general meeting.</w:t>
      </w:r>
    </w:p>
    <w:p w14:paraId="2F81CA5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13D6612" w14:textId="77777777" w:rsidR="00000000" w:rsidRDefault="002F725F">
      <w:pPr>
        <w:pStyle w:val="NormalWeb"/>
        <w:spacing w:before="0" w:beforeAutospacing="0" w:after="0" w:afterAutospacing="0"/>
        <w:ind w:firstLine="720"/>
        <w:jc w:val="both"/>
        <w:divId w:val="415980837"/>
        <w:rPr>
          <w:sz w:val="20"/>
          <w:szCs w:val="20"/>
        </w:rPr>
      </w:pPr>
      <w:r>
        <w:rPr>
          <w:b/>
          <w:bCs/>
          <w:i/>
          <w:iCs/>
          <w:sz w:val="20"/>
          <w:szCs w:val="20"/>
        </w:rPr>
        <w:t>If your shares are registered in your name:</w:t>
      </w:r>
      <w:r>
        <w:rPr>
          <w:sz w:val="20"/>
          <w:szCs w:val="20"/>
        </w:rPr>
        <w:t xml:space="preserve"> submit your proxy as soon as possible by signing, dating and returning the accompanying proxy card in the enclosed postage-paid envelope, so that your Shares can be voted at th</w:t>
      </w:r>
      <w:r>
        <w:rPr>
          <w:sz w:val="20"/>
          <w:szCs w:val="20"/>
        </w:rPr>
        <w:t>e extraordinary general meeting in accordance with your instructions.</w:t>
      </w:r>
    </w:p>
    <w:p w14:paraId="4B8185E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2FB903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If you submit your proxy card without indicating how you wish to vote, the Shares represented by your proxy will be voted in favor of the resolutions to be proposed at the extraordinar</w:t>
      </w:r>
      <w:r>
        <w:rPr>
          <w:sz w:val="20"/>
          <w:szCs w:val="20"/>
        </w:rPr>
        <w:t>y general meeting, unless you appoint a person other than the chairman of the meeting as your proxy, in which case the Shares represented by your proxy will be voted (or not submitted for voting) as your proxy determines.</w:t>
      </w:r>
    </w:p>
    <w:p w14:paraId="47D873E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5E28023" w14:textId="77777777" w:rsidR="00000000" w:rsidRDefault="002F725F">
      <w:pPr>
        <w:pStyle w:val="NormalWeb"/>
        <w:spacing w:before="0" w:beforeAutospacing="0" w:after="0" w:afterAutospacing="0"/>
        <w:ind w:firstLine="720"/>
        <w:jc w:val="both"/>
        <w:divId w:val="415980837"/>
        <w:rPr>
          <w:sz w:val="20"/>
          <w:szCs w:val="20"/>
        </w:rPr>
      </w:pPr>
      <w:r>
        <w:rPr>
          <w:i/>
          <w:iCs/>
          <w:sz w:val="20"/>
          <w:szCs w:val="20"/>
        </w:rPr>
        <w:t>If you have any questions, requi</w:t>
      </w:r>
      <w:r>
        <w:rPr>
          <w:i/>
          <w:iCs/>
          <w:sz w:val="20"/>
          <w:szCs w:val="20"/>
        </w:rPr>
        <w:t>re assistance with voting your proxy card, or need additional copies of proxy material, please contact our Investor Relations Department by phone at +86 (10) 8920-2086 or by email at ir@lakeshorebio.com.</w:t>
      </w:r>
    </w:p>
    <w:p w14:paraId="6D5AB32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B97C359" w14:textId="77777777" w:rsidR="00000000" w:rsidRDefault="002F725F">
      <w:pPr>
        <w:pStyle w:val="NormalWeb"/>
        <w:spacing w:before="0" w:beforeAutospacing="0" w:after="0" w:afterAutospacing="0"/>
        <w:jc w:val="center"/>
        <w:divId w:val="1296566926"/>
        <w:rPr>
          <w:sz w:val="20"/>
          <w:szCs w:val="20"/>
        </w:rPr>
      </w:pPr>
      <w:r>
        <w:rPr>
          <w:sz w:val="20"/>
          <w:szCs w:val="20"/>
        </w:rPr>
        <w:t>x</w:t>
      </w:r>
    </w:p>
    <w:p w14:paraId="182E01A1"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38013E3A" w14:textId="77777777" w:rsidR="00000000" w:rsidRDefault="002F725F">
      <w:pPr>
        <w:pStyle w:val="NormalWeb"/>
        <w:spacing w:before="0" w:beforeAutospacing="0" w:after="0" w:afterAutospacing="0"/>
        <w:jc w:val="center"/>
        <w:divId w:val="415980837"/>
        <w:rPr>
          <w:sz w:val="20"/>
          <w:szCs w:val="20"/>
        </w:rPr>
      </w:pPr>
      <w:r>
        <w:rPr>
          <w:b/>
          <w:bCs/>
          <w:sz w:val="20"/>
          <w:szCs w:val="20"/>
          <w:u w:val="single"/>
        </w:rPr>
        <w:t>TABLE OF CONTENTS</w:t>
      </w:r>
    </w:p>
    <w:p w14:paraId="22BD0E84"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8424"/>
        <w:gridCol w:w="936"/>
      </w:tblGrid>
      <w:tr w:rsidR="00000000" w14:paraId="2B9591AA" w14:textId="77777777">
        <w:trPr>
          <w:divId w:val="415980837"/>
        </w:trPr>
        <w:tc>
          <w:tcPr>
            <w:tcW w:w="0" w:type="auto"/>
            <w:tcMar>
              <w:top w:w="0" w:type="dxa"/>
              <w:left w:w="0" w:type="dxa"/>
              <w:bottom w:w="30" w:type="dxa"/>
              <w:right w:w="0" w:type="dxa"/>
            </w:tcMar>
            <w:vAlign w:val="bottom"/>
            <w:hideMark/>
          </w:tcPr>
          <w:p w14:paraId="49E29074" w14:textId="77777777" w:rsidR="00000000" w:rsidRDefault="002F725F">
            <w:pPr>
              <w:rPr>
                <w:rFonts w:eastAsia="Times New Roman"/>
                <w:sz w:val="20"/>
                <w:szCs w:val="20"/>
              </w:rPr>
            </w:pPr>
            <w:r>
              <w:rPr>
                <w:rFonts w:eastAsia="Times New Roman"/>
                <w:sz w:val="20"/>
                <w:szCs w:val="20"/>
              </w:rPr>
              <w:lastRenderedPageBreak/>
              <w:t>   </w:t>
            </w:r>
          </w:p>
        </w:tc>
        <w:tc>
          <w:tcPr>
            <w:tcW w:w="0" w:type="auto"/>
            <w:tcBorders>
              <w:bottom w:val="single" w:sz="12" w:space="0" w:color="000000"/>
            </w:tcBorders>
            <w:vAlign w:val="bottom"/>
            <w:hideMark/>
          </w:tcPr>
          <w:p w14:paraId="13CC9C51" w14:textId="77777777" w:rsidR="00000000" w:rsidRDefault="002F725F">
            <w:pPr>
              <w:jc w:val="center"/>
              <w:rPr>
                <w:rFonts w:eastAsia="Times New Roman"/>
                <w:sz w:val="20"/>
                <w:szCs w:val="20"/>
              </w:rPr>
            </w:pPr>
            <w:r>
              <w:rPr>
                <w:rFonts w:eastAsia="Times New Roman"/>
                <w:sz w:val="20"/>
                <w:szCs w:val="20"/>
              </w:rPr>
              <w:t>Page</w:t>
            </w:r>
          </w:p>
        </w:tc>
      </w:tr>
      <w:tr w:rsidR="00000000" w14:paraId="407BFA0F" w14:textId="77777777">
        <w:trPr>
          <w:divId w:val="415980837"/>
        </w:trPr>
        <w:tc>
          <w:tcPr>
            <w:tcW w:w="4500" w:type="pct"/>
            <w:shd w:val="clear" w:color="auto" w:fill="CCEEFF"/>
            <w:vAlign w:val="bottom"/>
            <w:hideMark/>
          </w:tcPr>
          <w:p w14:paraId="2401F01D" w14:textId="77777777" w:rsidR="00000000" w:rsidRDefault="002F725F">
            <w:pPr>
              <w:rPr>
                <w:rFonts w:eastAsia="Times New Roman"/>
                <w:sz w:val="20"/>
                <w:szCs w:val="20"/>
              </w:rPr>
            </w:pPr>
            <w:hyperlink w:anchor="gfpea028961701ex99-a1.htmk_001" w:history="1">
              <w:r>
                <w:rPr>
                  <w:rStyle w:val="Hyperlink"/>
                  <w:rFonts w:eastAsia="Times New Roman"/>
                  <w:sz w:val="20"/>
                  <w:szCs w:val="20"/>
                </w:rPr>
                <w:t>SUMMARY TERM SHEET</w:t>
              </w:r>
            </w:hyperlink>
          </w:p>
        </w:tc>
        <w:tc>
          <w:tcPr>
            <w:tcW w:w="500" w:type="pct"/>
            <w:shd w:val="clear" w:color="auto" w:fill="CCEEFF"/>
            <w:vAlign w:val="bottom"/>
            <w:hideMark/>
          </w:tcPr>
          <w:p w14:paraId="79655BB4" w14:textId="77777777" w:rsidR="00000000" w:rsidRDefault="002F725F">
            <w:pPr>
              <w:jc w:val="center"/>
              <w:rPr>
                <w:rFonts w:eastAsia="Times New Roman"/>
                <w:sz w:val="20"/>
                <w:szCs w:val="20"/>
              </w:rPr>
            </w:pPr>
            <w:r>
              <w:rPr>
                <w:rFonts w:eastAsia="Times New Roman"/>
                <w:sz w:val="20"/>
                <w:szCs w:val="20"/>
              </w:rPr>
              <w:t>1</w:t>
            </w:r>
          </w:p>
        </w:tc>
      </w:tr>
      <w:tr w:rsidR="00000000" w14:paraId="2309C920" w14:textId="77777777">
        <w:trPr>
          <w:divId w:val="415980837"/>
        </w:trPr>
        <w:tc>
          <w:tcPr>
            <w:tcW w:w="0" w:type="auto"/>
            <w:shd w:val="clear" w:color="auto" w:fill="FFFFFF"/>
            <w:vAlign w:val="bottom"/>
            <w:hideMark/>
          </w:tcPr>
          <w:p w14:paraId="6F34DA0D" w14:textId="77777777" w:rsidR="00000000" w:rsidRDefault="002F725F">
            <w:pPr>
              <w:rPr>
                <w:rFonts w:eastAsia="Times New Roman"/>
                <w:sz w:val="20"/>
                <w:szCs w:val="20"/>
              </w:rPr>
            </w:pPr>
            <w:hyperlink w:anchor="gfpea028961701ex99-a1.htmk_002" w:history="1">
              <w:r>
                <w:rPr>
                  <w:rStyle w:val="Hyperlink"/>
                  <w:rFonts w:eastAsia="Times New Roman"/>
                  <w:sz w:val="20"/>
                  <w:szCs w:val="20"/>
                </w:rPr>
                <w:t>QUESTIONS AND ANSWERS ABOUT THE EXTRAORDINARY GENERAL MEETING AND THE MERGER</w:t>
              </w:r>
            </w:hyperlink>
          </w:p>
        </w:tc>
        <w:tc>
          <w:tcPr>
            <w:tcW w:w="0" w:type="auto"/>
            <w:shd w:val="clear" w:color="auto" w:fill="FFFFFF"/>
            <w:vAlign w:val="bottom"/>
            <w:hideMark/>
          </w:tcPr>
          <w:p w14:paraId="599E254C" w14:textId="77777777" w:rsidR="00000000" w:rsidRDefault="002F725F">
            <w:pPr>
              <w:jc w:val="center"/>
              <w:rPr>
                <w:rFonts w:eastAsia="Times New Roman"/>
                <w:sz w:val="20"/>
                <w:szCs w:val="20"/>
              </w:rPr>
            </w:pPr>
            <w:r>
              <w:rPr>
                <w:rFonts w:eastAsia="Times New Roman"/>
                <w:sz w:val="20"/>
                <w:szCs w:val="20"/>
              </w:rPr>
              <w:t>11</w:t>
            </w:r>
          </w:p>
        </w:tc>
      </w:tr>
      <w:tr w:rsidR="00000000" w14:paraId="58900408" w14:textId="77777777">
        <w:trPr>
          <w:divId w:val="415980837"/>
        </w:trPr>
        <w:tc>
          <w:tcPr>
            <w:tcW w:w="0" w:type="auto"/>
            <w:shd w:val="clear" w:color="auto" w:fill="CCEEFF"/>
            <w:vAlign w:val="bottom"/>
            <w:hideMark/>
          </w:tcPr>
          <w:p w14:paraId="49759569" w14:textId="77777777" w:rsidR="00000000" w:rsidRDefault="002F725F">
            <w:pPr>
              <w:rPr>
                <w:rFonts w:eastAsia="Times New Roman"/>
                <w:sz w:val="20"/>
                <w:szCs w:val="20"/>
              </w:rPr>
            </w:pPr>
            <w:hyperlink w:anchor="gfpea028961701ex99-a1.htmk_003" w:history="1">
              <w:r>
                <w:rPr>
                  <w:rStyle w:val="Hyperlink"/>
                  <w:rFonts w:eastAsia="Times New Roman"/>
                  <w:sz w:val="20"/>
                  <w:szCs w:val="20"/>
                </w:rPr>
                <w:t>SPECIAL FACTORS</w:t>
              </w:r>
            </w:hyperlink>
          </w:p>
        </w:tc>
        <w:tc>
          <w:tcPr>
            <w:tcW w:w="0" w:type="auto"/>
            <w:shd w:val="clear" w:color="auto" w:fill="CCEEFF"/>
            <w:vAlign w:val="bottom"/>
            <w:hideMark/>
          </w:tcPr>
          <w:p w14:paraId="3EF1AD3E" w14:textId="77777777" w:rsidR="00000000" w:rsidRDefault="002F725F">
            <w:pPr>
              <w:jc w:val="center"/>
              <w:rPr>
                <w:rFonts w:eastAsia="Times New Roman"/>
                <w:sz w:val="20"/>
                <w:szCs w:val="20"/>
              </w:rPr>
            </w:pPr>
            <w:r>
              <w:rPr>
                <w:rFonts w:eastAsia="Times New Roman"/>
                <w:sz w:val="20"/>
                <w:szCs w:val="20"/>
              </w:rPr>
              <w:t>16</w:t>
            </w:r>
          </w:p>
        </w:tc>
      </w:tr>
      <w:tr w:rsidR="00000000" w14:paraId="641CB876" w14:textId="77777777">
        <w:trPr>
          <w:divId w:val="415980837"/>
        </w:trPr>
        <w:tc>
          <w:tcPr>
            <w:tcW w:w="0" w:type="auto"/>
            <w:shd w:val="clear" w:color="auto" w:fill="FFFFFF"/>
            <w:vAlign w:val="bottom"/>
            <w:hideMark/>
          </w:tcPr>
          <w:p w14:paraId="27F77EF3" w14:textId="77777777" w:rsidR="00000000" w:rsidRDefault="002F725F">
            <w:pPr>
              <w:rPr>
                <w:rFonts w:eastAsia="Times New Roman"/>
                <w:sz w:val="20"/>
                <w:szCs w:val="20"/>
              </w:rPr>
            </w:pPr>
            <w:hyperlink w:anchor="gfpea028961701ex99-a1.htmk_004" w:history="1">
              <w:r>
                <w:rPr>
                  <w:rStyle w:val="Hyperlink"/>
                  <w:rFonts w:eastAsia="Times New Roman"/>
                  <w:sz w:val="20"/>
                  <w:szCs w:val="20"/>
                </w:rPr>
                <w:t>MARKET PRICE OF THE COMPANY’S SHARES, DIVIDENDS A</w:t>
              </w:r>
              <w:r>
                <w:rPr>
                  <w:rStyle w:val="Hyperlink"/>
                  <w:rFonts w:eastAsia="Times New Roman"/>
                  <w:sz w:val="20"/>
                  <w:szCs w:val="20"/>
                </w:rPr>
                <w:t>ND OTHER MATTERS</w:t>
              </w:r>
            </w:hyperlink>
          </w:p>
        </w:tc>
        <w:tc>
          <w:tcPr>
            <w:tcW w:w="0" w:type="auto"/>
            <w:shd w:val="clear" w:color="auto" w:fill="FFFFFF"/>
            <w:vAlign w:val="bottom"/>
            <w:hideMark/>
          </w:tcPr>
          <w:p w14:paraId="5CCDF429" w14:textId="77777777" w:rsidR="00000000" w:rsidRDefault="002F725F">
            <w:pPr>
              <w:jc w:val="center"/>
              <w:rPr>
                <w:rFonts w:eastAsia="Times New Roman"/>
                <w:sz w:val="20"/>
                <w:szCs w:val="20"/>
              </w:rPr>
            </w:pPr>
            <w:r>
              <w:rPr>
                <w:rFonts w:eastAsia="Times New Roman"/>
                <w:sz w:val="20"/>
                <w:szCs w:val="20"/>
              </w:rPr>
              <w:t>75</w:t>
            </w:r>
          </w:p>
        </w:tc>
      </w:tr>
      <w:tr w:rsidR="00000000" w14:paraId="57462413" w14:textId="77777777">
        <w:trPr>
          <w:divId w:val="415980837"/>
        </w:trPr>
        <w:tc>
          <w:tcPr>
            <w:tcW w:w="0" w:type="auto"/>
            <w:shd w:val="clear" w:color="auto" w:fill="CCEEFF"/>
            <w:vAlign w:val="bottom"/>
            <w:hideMark/>
          </w:tcPr>
          <w:p w14:paraId="3CDD7277" w14:textId="77777777" w:rsidR="00000000" w:rsidRDefault="002F725F">
            <w:pPr>
              <w:rPr>
                <w:rFonts w:eastAsia="Times New Roman"/>
                <w:sz w:val="20"/>
                <w:szCs w:val="20"/>
              </w:rPr>
            </w:pPr>
            <w:hyperlink w:anchor="gfpea028961701ex99-a1.htmk_005" w:history="1">
              <w:r>
                <w:rPr>
                  <w:rStyle w:val="Hyperlink"/>
                  <w:rFonts w:eastAsia="Times New Roman"/>
                  <w:sz w:val="20"/>
                  <w:szCs w:val="20"/>
                </w:rPr>
                <w:t>THE EXTRAORDINARY GENERAL MEETING</w:t>
              </w:r>
            </w:hyperlink>
          </w:p>
        </w:tc>
        <w:tc>
          <w:tcPr>
            <w:tcW w:w="0" w:type="auto"/>
            <w:shd w:val="clear" w:color="auto" w:fill="CCEEFF"/>
            <w:vAlign w:val="bottom"/>
            <w:hideMark/>
          </w:tcPr>
          <w:p w14:paraId="167D12C7" w14:textId="77777777" w:rsidR="00000000" w:rsidRDefault="002F725F">
            <w:pPr>
              <w:jc w:val="center"/>
              <w:rPr>
                <w:rFonts w:eastAsia="Times New Roman"/>
                <w:sz w:val="20"/>
                <w:szCs w:val="20"/>
              </w:rPr>
            </w:pPr>
            <w:r>
              <w:rPr>
                <w:rFonts w:eastAsia="Times New Roman"/>
                <w:sz w:val="20"/>
                <w:szCs w:val="20"/>
              </w:rPr>
              <w:t>76</w:t>
            </w:r>
          </w:p>
        </w:tc>
      </w:tr>
      <w:tr w:rsidR="00000000" w14:paraId="00055967" w14:textId="77777777">
        <w:trPr>
          <w:divId w:val="415980837"/>
        </w:trPr>
        <w:tc>
          <w:tcPr>
            <w:tcW w:w="0" w:type="auto"/>
            <w:shd w:val="clear" w:color="auto" w:fill="FFFFFF"/>
            <w:vAlign w:val="bottom"/>
            <w:hideMark/>
          </w:tcPr>
          <w:p w14:paraId="38E2C731" w14:textId="77777777" w:rsidR="00000000" w:rsidRDefault="002F725F">
            <w:pPr>
              <w:rPr>
                <w:rFonts w:eastAsia="Times New Roman"/>
                <w:sz w:val="20"/>
                <w:szCs w:val="20"/>
              </w:rPr>
            </w:pPr>
            <w:hyperlink w:anchor="gfpea028961701ex99-a1.htmk_006" w:history="1">
              <w:r>
                <w:rPr>
                  <w:rStyle w:val="Hyperlink"/>
                  <w:rFonts w:eastAsia="Times New Roman"/>
                  <w:sz w:val="20"/>
                  <w:szCs w:val="20"/>
                </w:rPr>
                <w:t>THE MERGER AGREEMENT</w:t>
              </w:r>
            </w:hyperlink>
          </w:p>
        </w:tc>
        <w:tc>
          <w:tcPr>
            <w:tcW w:w="0" w:type="auto"/>
            <w:shd w:val="clear" w:color="auto" w:fill="FFFFFF"/>
            <w:vAlign w:val="bottom"/>
            <w:hideMark/>
          </w:tcPr>
          <w:p w14:paraId="6F0077EB" w14:textId="77777777" w:rsidR="00000000" w:rsidRDefault="002F725F">
            <w:pPr>
              <w:jc w:val="center"/>
              <w:rPr>
                <w:rFonts w:eastAsia="Times New Roman"/>
                <w:sz w:val="20"/>
                <w:szCs w:val="20"/>
              </w:rPr>
            </w:pPr>
            <w:r>
              <w:rPr>
                <w:rFonts w:eastAsia="Times New Roman"/>
                <w:sz w:val="20"/>
                <w:szCs w:val="20"/>
              </w:rPr>
              <w:t>82</w:t>
            </w:r>
          </w:p>
        </w:tc>
      </w:tr>
      <w:tr w:rsidR="00000000" w14:paraId="05118419" w14:textId="77777777">
        <w:trPr>
          <w:divId w:val="415980837"/>
        </w:trPr>
        <w:tc>
          <w:tcPr>
            <w:tcW w:w="0" w:type="auto"/>
            <w:shd w:val="clear" w:color="auto" w:fill="CCEEFF"/>
            <w:vAlign w:val="bottom"/>
            <w:hideMark/>
          </w:tcPr>
          <w:p w14:paraId="68436E9A" w14:textId="77777777" w:rsidR="00000000" w:rsidRDefault="002F725F">
            <w:pPr>
              <w:rPr>
                <w:rFonts w:eastAsia="Times New Roman"/>
                <w:sz w:val="20"/>
                <w:szCs w:val="20"/>
              </w:rPr>
            </w:pPr>
            <w:hyperlink w:anchor="gfpea028961701ex99-a1.htmk_007" w:history="1">
              <w:r>
                <w:rPr>
                  <w:rStyle w:val="Hyperlink"/>
                  <w:rFonts w:eastAsia="Times New Roman"/>
                  <w:sz w:val="20"/>
                  <w:szCs w:val="20"/>
                </w:rPr>
                <w:t>PROVISIONS FOR UNAFFILIATED SECURITY HOLDERS</w:t>
              </w:r>
            </w:hyperlink>
          </w:p>
        </w:tc>
        <w:tc>
          <w:tcPr>
            <w:tcW w:w="0" w:type="auto"/>
            <w:shd w:val="clear" w:color="auto" w:fill="CCEEFF"/>
            <w:vAlign w:val="bottom"/>
            <w:hideMark/>
          </w:tcPr>
          <w:p w14:paraId="7DF6EDE6" w14:textId="77777777" w:rsidR="00000000" w:rsidRDefault="002F725F">
            <w:pPr>
              <w:jc w:val="center"/>
              <w:rPr>
                <w:rFonts w:eastAsia="Times New Roman"/>
                <w:sz w:val="20"/>
                <w:szCs w:val="20"/>
              </w:rPr>
            </w:pPr>
            <w:r>
              <w:rPr>
                <w:rFonts w:eastAsia="Times New Roman"/>
                <w:sz w:val="20"/>
                <w:szCs w:val="20"/>
              </w:rPr>
              <w:t>97</w:t>
            </w:r>
          </w:p>
        </w:tc>
      </w:tr>
      <w:tr w:rsidR="00000000" w14:paraId="3FAE80E7" w14:textId="77777777">
        <w:trPr>
          <w:divId w:val="415980837"/>
        </w:trPr>
        <w:tc>
          <w:tcPr>
            <w:tcW w:w="0" w:type="auto"/>
            <w:shd w:val="clear" w:color="auto" w:fill="FFFFFF"/>
            <w:vAlign w:val="bottom"/>
            <w:hideMark/>
          </w:tcPr>
          <w:p w14:paraId="0C056A28" w14:textId="77777777" w:rsidR="00000000" w:rsidRDefault="002F725F">
            <w:pPr>
              <w:rPr>
                <w:rFonts w:eastAsia="Times New Roman"/>
                <w:sz w:val="20"/>
                <w:szCs w:val="20"/>
              </w:rPr>
            </w:pPr>
            <w:hyperlink w:anchor="gfpea028961701ex99-a1.htmb_005" w:history="1">
              <w:r>
                <w:rPr>
                  <w:rStyle w:val="Hyperlink"/>
                  <w:rFonts w:eastAsia="Times New Roman"/>
                  <w:sz w:val="20"/>
                  <w:szCs w:val="20"/>
                </w:rPr>
                <w:t>DISSENTERS’ RIGHTS</w:t>
              </w:r>
            </w:hyperlink>
          </w:p>
        </w:tc>
        <w:tc>
          <w:tcPr>
            <w:tcW w:w="0" w:type="auto"/>
            <w:shd w:val="clear" w:color="auto" w:fill="FFFFFF"/>
            <w:vAlign w:val="bottom"/>
            <w:hideMark/>
          </w:tcPr>
          <w:p w14:paraId="46C6476A" w14:textId="77777777" w:rsidR="00000000" w:rsidRDefault="002F725F">
            <w:pPr>
              <w:jc w:val="center"/>
              <w:rPr>
                <w:rFonts w:eastAsia="Times New Roman"/>
                <w:sz w:val="20"/>
                <w:szCs w:val="20"/>
              </w:rPr>
            </w:pPr>
            <w:r>
              <w:rPr>
                <w:rFonts w:eastAsia="Times New Roman"/>
                <w:sz w:val="20"/>
                <w:szCs w:val="20"/>
              </w:rPr>
              <w:t>98</w:t>
            </w:r>
          </w:p>
        </w:tc>
      </w:tr>
      <w:tr w:rsidR="00000000" w14:paraId="0D0B76E7" w14:textId="77777777">
        <w:trPr>
          <w:divId w:val="415980837"/>
        </w:trPr>
        <w:tc>
          <w:tcPr>
            <w:tcW w:w="0" w:type="auto"/>
            <w:shd w:val="clear" w:color="auto" w:fill="CCEEFF"/>
            <w:vAlign w:val="bottom"/>
            <w:hideMark/>
          </w:tcPr>
          <w:p w14:paraId="2493FE21" w14:textId="77777777" w:rsidR="00000000" w:rsidRDefault="002F725F">
            <w:pPr>
              <w:rPr>
                <w:rFonts w:eastAsia="Times New Roman"/>
                <w:sz w:val="20"/>
                <w:szCs w:val="20"/>
              </w:rPr>
            </w:pPr>
            <w:hyperlink w:anchor="gfpea028961701ex99-a1.htmk_009" w:history="1">
              <w:r>
                <w:rPr>
                  <w:rStyle w:val="Hyperlink"/>
                  <w:rFonts w:eastAsia="Times New Roman"/>
                  <w:sz w:val="20"/>
                  <w:szCs w:val="20"/>
                </w:rPr>
                <w:t>FINANCIAL INFORMATION</w:t>
              </w:r>
            </w:hyperlink>
          </w:p>
        </w:tc>
        <w:tc>
          <w:tcPr>
            <w:tcW w:w="0" w:type="auto"/>
            <w:shd w:val="clear" w:color="auto" w:fill="CCEEFF"/>
            <w:vAlign w:val="bottom"/>
            <w:hideMark/>
          </w:tcPr>
          <w:p w14:paraId="5C88F427" w14:textId="77777777" w:rsidR="00000000" w:rsidRDefault="002F725F">
            <w:pPr>
              <w:jc w:val="center"/>
              <w:rPr>
                <w:rFonts w:eastAsia="Times New Roman"/>
                <w:sz w:val="20"/>
                <w:szCs w:val="20"/>
              </w:rPr>
            </w:pPr>
            <w:r>
              <w:rPr>
                <w:rFonts w:eastAsia="Times New Roman"/>
                <w:sz w:val="20"/>
                <w:szCs w:val="20"/>
              </w:rPr>
              <w:t>100</w:t>
            </w:r>
          </w:p>
        </w:tc>
      </w:tr>
      <w:tr w:rsidR="00000000" w14:paraId="161B02A8" w14:textId="77777777">
        <w:trPr>
          <w:divId w:val="415980837"/>
        </w:trPr>
        <w:tc>
          <w:tcPr>
            <w:tcW w:w="0" w:type="auto"/>
            <w:shd w:val="clear" w:color="auto" w:fill="FFFFFF"/>
            <w:vAlign w:val="bottom"/>
            <w:hideMark/>
          </w:tcPr>
          <w:p w14:paraId="0BDD43A1" w14:textId="77777777" w:rsidR="00000000" w:rsidRDefault="002F725F">
            <w:pPr>
              <w:rPr>
                <w:rFonts w:eastAsia="Times New Roman"/>
                <w:sz w:val="20"/>
                <w:szCs w:val="20"/>
              </w:rPr>
            </w:pPr>
            <w:hyperlink w:anchor="gfpea028961701ex99-a1.htmk_010" w:history="1">
              <w:r>
                <w:rPr>
                  <w:rStyle w:val="Hyperlink"/>
                  <w:rFonts w:eastAsia="Times New Roman"/>
                  <w:caps/>
                  <w:sz w:val="20"/>
                  <w:szCs w:val="20"/>
                </w:rPr>
                <w:t>TRANSACTIONS IN THE SHARES AND WARRANTS</w:t>
              </w:r>
            </w:hyperlink>
          </w:p>
        </w:tc>
        <w:tc>
          <w:tcPr>
            <w:tcW w:w="0" w:type="auto"/>
            <w:shd w:val="clear" w:color="auto" w:fill="FFFFFF"/>
            <w:vAlign w:val="bottom"/>
            <w:hideMark/>
          </w:tcPr>
          <w:p w14:paraId="42782472" w14:textId="77777777" w:rsidR="00000000" w:rsidRDefault="002F725F">
            <w:pPr>
              <w:jc w:val="center"/>
              <w:rPr>
                <w:rFonts w:eastAsia="Times New Roman"/>
                <w:sz w:val="20"/>
                <w:szCs w:val="20"/>
              </w:rPr>
            </w:pPr>
            <w:r>
              <w:rPr>
                <w:rFonts w:eastAsia="Times New Roman"/>
                <w:sz w:val="20"/>
                <w:szCs w:val="20"/>
              </w:rPr>
              <w:t>102</w:t>
            </w:r>
          </w:p>
        </w:tc>
      </w:tr>
      <w:tr w:rsidR="00000000" w14:paraId="7F6F923E" w14:textId="77777777">
        <w:trPr>
          <w:divId w:val="415980837"/>
        </w:trPr>
        <w:tc>
          <w:tcPr>
            <w:tcW w:w="0" w:type="auto"/>
            <w:shd w:val="clear" w:color="auto" w:fill="CCEEFF"/>
            <w:vAlign w:val="bottom"/>
            <w:hideMark/>
          </w:tcPr>
          <w:p w14:paraId="2541A752" w14:textId="77777777" w:rsidR="00000000" w:rsidRDefault="002F725F">
            <w:pPr>
              <w:rPr>
                <w:rFonts w:eastAsia="Times New Roman"/>
                <w:sz w:val="20"/>
                <w:szCs w:val="20"/>
              </w:rPr>
            </w:pPr>
            <w:hyperlink w:anchor="gfpea028961701ex99-a1.htmk_011" w:history="1">
              <w:r>
                <w:rPr>
                  <w:rStyle w:val="Hyperlink"/>
                  <w:rFonts w:eastAsia="Times New Roman"/>
                  <w:sz w:val="20"/>
                  <w:szCs w:val="20"/>
                </w:rPr>
                <w:t>SECURITY OWNERSHIP OF CERTAIN BENEFICIAL OWNERS AND MANAGEMENT OF THE COMPANY</w:t>
              </w:r>
            </w:hyperlink>
          </w:p>
        </w:tc>
        <w:tc>
          <w:tcPr>
            <w:tcW w:w="0" w:type="auto"/>
            <w:shd w:val="clear" w:color="auto" w:fill="CCEEFF"/>
            <w:vAlign w:val="bottom"/>
            <w:hideMark/>
          </w:tcPr>
          <w:p w14:paraId="62BCC8C8" w14:textId="77777777" w:rsidR="00000000" w:rsidRDefault="002F725F">
            <w:pPr>
              <w:jc w:val="center"/>
              <w:rPr>
                <w:rFonts w:eastAsia="Times New Roman"/>
                <w:sz w:val="20"/>
                <w:szCs w:val="20"/>
              </w:rPr>
            </w:pPr>
            <w:r>
              <w:rPr>
                <w:rFonts w:eastAsia="Times New Roman"/>
                <w:sz w:val="20"/>
                <w:szCs w:val="20"/>
              </w:rPr>
              <w:t>104</w:t>
            </w:r>
          </w:p>
        </w:tc>
      </w:tr>
      <w:tr w:rsidR="00000000" w14:paraId="6B3D084D" w14:textId="77777777">
        <w:trPr>
          <w:divId w:val="415980837"/>
        </w:trPr>
        <w:tc>
          <w:tcPr>
            <w:tcW w:w="0" w:type="auto"/>
            <w:shd w:val="clear" w:color="auto" w:fill="FFFFFF"/>
            <w:vAlign w:val="bottom"/>
            <w:hideMark/>
          </w:tcPr>
          <w:p w14:paraId="764A62CF" w14:textId="77777777" w:rsidR="00000000" w:rsidRDefault="002F725F">
            <w:pPr>
              <w:rPr>
                <w:rFonts w:eastAsia="Times New Roman"/>
                <w:sz w:val="20"/>
                <w:szCs w:val="20"/>
              </w:rPr>
            </w:pPr>
            <w:hyperlink w:anchor="gfpea028961701ex99-a1.htmk_012" w:history="1">
              <w:r>
                <w:rPr>
                  <w:rStyle w:val="Hyperlink"/>
                  <w:rFonts w:eastAsia="Times New Roman"/>
                  <w:sz w:val="20"/>
                  <w:szCs w:val="20"/>
                </w:rPr>
                <w:t>FUTURE SHAREHOLDER PROPOSALS</w:t>
              </w:r>
            </w:hyperlink>
          </w:p>
        </w:tc>
        <w:tc>
          <w:tcPr>
            <w:tcW w:w="0" w:type="auto"/>
            <w:shd w:val="clear" w:color="auto" w:fill="FFFFFF"/>
            <w:vAlign w:val="bottom"/>
            <w:hideMark/>
          </w:tcPr>
          <w:p w14:paraId="1EBD9D02" w14:textId="77777777" w:rsidR="00000000" w:rsidRDefault="002F725F">
            <w:pPr>
              <w:jc w:val="center"/>
              <w:rPr>
                <w:rFonts w:eastAsia="Times New Roman"/>
                <w:sz w:val="20"/>
                <w:szCs w:val="20"/>
              </w:rPr>
            </w:pPr>
            <w:r>
              <w:rPr>
                <w:rFonts w:eastAsia="Times New Roman"/>
                <w:sz w:val="20"/>
                <w:szCs w:val="20"/>
              </w:rPr>
              <w:t>106</w:t>
            </w:r>
          </w:p>
        </w:tc>
      </w:tr>
      <w:tr w:rsidR="00000000" w14:paraId="7BDD06EC" w14:textId="77777777">
        <w:trPr>
          <w:divId w:val="415980837"/>
        </w:trPr>
        <w:tc>
          <w:tcPr>
            <w:tcW w:w="0" w:type="auto"/>
            <w:shd w:val="clear" w:color="auto" w:fill="CCEEFF"/>
            <w:vAlign w:val="bottom"/>
            <w:hideMark/>
          </w:tcPr>
          <w:p w14:paraId="1F74631E" w14:textId="77777777" w:rsidR="00000000" w:rsidRDefault="002F725F">
            <w:pPr>
              <w:rPr>
                <w:rFonts w:eastAsia="Times New Roman"/>
                <w:sz w:val="20"/>
                <w:szCs w:val="20"/>
              </w:rPr>
            </w:pPr>
            <w:hyperlink w:anchor="gfpea028961701ex99-a1.htmk_013" w:history="1">
              <w:r>
                <w:rPr>
                  <w:rStyle w:val="Hyperlink"/>
                  <w:rFonts w:eastAsia="Times New Roman"/>
                  <w:sz w:val="20"/>
                  <w:szCs w:val="20"/>
                </w:rPr>
                <w:t>CAUTIONARY NOTE REGARDING FORWARD-LOOKING STATEMENTS</w:t>
              </w:r>
            </w:hyperlink>
          </w:p>
        </w:tc>
        <w:tc>
          <w:tcPr>
            <w:tcW w:w="0" w:type="auto"/>
            <w:shd w:val="clear" w:color="auto" w:fill="CCEEFF"/>
            <w:vAlign w:val="bottom"/>
            <w:hideMark/>
          </w:tcPr>
          <w:p w14:paraId="4F0B342A" w14:textId="77777777" w:rsidR="00000000" w:rsidRDefault="002F725F">
            <w:pPr>
              <w:jc w:val="center"/>
              <w:rPr>
                <w:rFonts w:eastAsia="Times New Roman"/>
                <w:sz w:val="20"/>
                <w:szCs w:val="20"/>
              </w:rPr>
            </w:pPr>
            <w:r>
              <w:rPr>
                <w:rFonts w:eastAsia="Times New Roman"/>
                <w:sz w:val="20"/>
                <w:szCs w:val="20"/>
              </w:rPr>
              <w:t>107</w:t>
            </w:r>
          </w:p>
        </w:tc>
      </w:tr>
      <w:tr w:rsidR="00000000" w14:paraId="3C92BB14" w14:textId="77777777">
        <w:trPr>
          <w:divId w:val="415980837"/>
        </w:trPr>
        <w:tc>
          <w:tcPr>
            <w:tcW w:w="0" w:type="auto"/>
            <w:shd w:val="clear" w:color="auto" w:fill="FFFFFF"/>
            <w:vAlign w:val="bottom"/>
            <w:hideMark/>
          </w:tcPr>
          <w:p w14:paraId="695F7981" w14:textId="77777777" w:rsidR="00000000" w:rsidRDefault="002F725F">
            <w:pPr>
              <w:rPr>
                <w:rFonts w:eastAsia="Times New Roman"/>
                <w:sz w:val="20"/>
                <w:szCs w:val="20"/>
              </w:rPr>
            </w:pPr>
            <w:hyperlink w:anchor="gfpea028961701ex99-a1.htmk_014" w:history="1">
              <w:r>
                <w:rPr>
                  <w:rStyle w:val="Hyperlink"/>
                  <w:rFonts w:eastAsia="Times New Roman"/>
                  <w:sz w:val="20"/>
                  <w:szCs w:val="20"/>
                </w:rPr>
                <w:t>WHERE YOU CAN FIND MORE INFORMATION</w:t>
              </w:r>
            </w:hyperlink>
          </w:p>
        </w:tc>
        <w:tc>
          <w:tcPr>
            <w:tcW w:w="0" w:type="auto"/>
            <w:shd w:val="clear" w:color="auto" w:fill="FFFFFF"/>
            <w:vAlign w:val="bottom"/>
            <w:hideMark/>
          </w:tcPr>
          <w:p w14:paraId="0EC527C0" w14:textId="77777777" w:rsidR="00000000" w:rsidRDefault="002F725F">
            <w:pPr>
              <w:jc w:val="center"/>
              <w:rPr>
                <w:rFonts w:eastAsia="Times New Roman"/>
                <w:sz w:val="20"/>
                <w:szCs w:val="20"/>
              </w:rPr>
            </w:pPr>
            <w:r>
              <w:rPr>
                <w:rFonts w:eastAsia="Times New Roman"/>
                <w:sz w:val="20"/>
                <w:szCs w:val="20"/>
              </w:rPr>
              <w:t>108</w:t>
            </w:r>
          </w:p>
        </w:tc>
      </w:tr>
      <w:tr w:rsidR="00000000" w14:paraId="17114E94" w14:textId="77777777">
        <w:trPr>
          <w:divId w:val="415980837"/>
        </w:trPr>
        <w:tc>
          <w:tcPr>
            <w:tcW w:w="0" w:type="auto"/>
            <w:shd w:val="clear" w:color="auto" w:fill="FFFFFF"/>
            <w:vAlign w:val="bottom"/>
            <w:hideMark/>
          </w:tcPr>
          <w:p w14:paraId="641FCF4C" w14:textId="77777777" w:rsidR="00000000" w:rsidRDefault="002F725F">
            <w:pPr>
              <w:jc w:val="center"/>
              <w:rPr>
                <w:rFonts w:eastAsia="Times New Roman"/>
                <w:sz w:val="20"/>
                <w:szCs w:val="20"/>
              </w:rPr>
            </w:pPr>
          </w:p>
        </w:tc>
        <w:tc>
          <w:tcPr>
            <w:tcW w:w="0" w:type="auto"/>
            <w:shd w:val="clear" w:color="auto" w:fill="FFFFFF"/>
            <w:vAlign w:val="bottom"/>
            <w:hideMark/>
          </w:tcPr>
          <w:p w14:paraId="33607911" w14:textId="77777777" w:rsidR="00000000" w:rsidRDefault="002F725F">
            <w:pPr>
              <w:rPr>
                <w:rFonts w:eastAsia="Times New Roman"/>
                <w:sz w:val="20"/>
                <w:szCs w:val="20"/>
              </w:rPr>
            </w:pPr>
          </w:p>
        </w:tc>
      </w:tr>
      <w:tr w:rsidR="00000000" w14:paraId="696F2104" w14:textId="77777777">
        <w:trPr>
          <w:divId w:val="415980837"/>
        </w:trPr>
        <w:tc>
          <w:tcPr>
            <w:tcW w:w="0" w:type="auto"/>
            <w:shd w:val="clear" w:color="auto" w:fill="CCEEFF"/>
            <w:tcMar>
              <w:top w:w="0" w:type="dxa"/>
              <w:left w:w="180" w:type="dxa"/>
              <w:bottom w:w="0" w:type="dxa"/>
              <w:right w:w="0" w:type="dxa"/>
            </w:tcMar>
            <w:vAlign w:val="bottom"/>
            <w:hideMark/>
          </w:tcPr>
          <w:p w14:paraId="0E004F99" w14:textId="77777777" w:rsidR="00000000" w:rsidRDefault="002F725F">
            <w:pPr>
              <w:ind w:hanging="180"/>
              <w:jc w:val="both"/>
              <w:rPr>
                <w:rFonts w:eastAsia="Times New Roman"/>
                <w:sz w:val="20"/>
                <w:szCs w:val="20"/>
              </w:rPr>
            </w:pPr>
            <w:hyperlink w:anchor="gfpea028961701ex99-a1.htma_01" w:history="1">
              <w:r>
                <w:rPr>
                  <w:rStyle w:val="Hyperlink"/>
                  <w:rFonts w:eastAsia="Times New Roman"/>
                  <w:sz w:val="20"/>
                  <w:szCs w:val="20"/>
                </w:rPr>
                <w:t>Annex A AGREEMENT AND PLAN OF MERGER AND AMENDMENT NO. 1 TO AGREEMENT AND PLAN OF MERGER</w:t>
              </w:r>
            </w:hyperlink>
          </w:p>
        </w:tc>
        <w:tc>
          <w:tcPr>
            <w:tcW w:w="0" w:type="auto"/>
            <w:shd w:val="clear" w:color="auto" w:fill="CCEEFF"/>
            <w:vAlign w:val="bottom"/>
            <w:hideMark/>
          </w:tcPr>
          <w:p w14:paraId="3CFA4D2A" w14:textId="77777777" w:rsidR="00000000" w:rsidRDefault="002F725F">
            <w:pPr>
              <w:jc w:val="center"/>
              <w:rPr>
                <w:rFonts w:eastAsia="Times New Roman"/>
                <w:sz w:val="20"/>
                <w:szCs w:val="20"/>
              </w:rPr>
            </w:pPr>
            <w:r>
              <w:rPr>
                <w:rFonts w:eastAsia="Times New Roman"/>
                <w:sz w:val="20"/>
                <w:szCs w:val="20"/>
              </w:rPr>
              <w:t>A-1</w:t>
            </w:r>
          </w:p>
        </w:tc>
      </w:tr>
      <w:tr w:rsidR="00000000" w14:paraId="301791FF" w14:textId="77777777">
        <w:trPr>
          <w:divId w:val="415980837"/>
        </w:trPr>
        <w:tc>
          <w:tcPr>
            <w:tcW w:w="0" w:type="auto"/>
            <w:shd w:val="clear" w:color="auto" w:fill="FFFFFF"/>
            <w:vAlign w:val="bottom"/>
            <w:hideMark/>
          </w:tcPr>
          <w:p w14:paraId="675291B5" w14:textId="77777777" w:rsidR="00000000" w:rsidRDefault="002F725F">
            <w:pPr>
              <w:rPr>
                <w:rFonts w:eastAsia="Times New Roman"/>
                <w:sz w:val="20"/>
                <w:szCs w:val="20"/>
              </w:rPr>
            </w:pPr>
            <w:hyperlink w:anchor="gfpea028961701ex99-a1.htmB_01" w:history="1">
              <w:r>
                <w:rPr>
                  <w:rStyle w:val="Hyperlink"/>
                  <w:rFonts w:eastAsia="Times New Roman"/>
                  <w:sz w:val="20"/>
                  <w:szCs w:val="20"/>
                </w:rPr>
                <w:t>Annex B PLAN OF MERGER</w:t>
              </w:r>
            </w:hyperlink>
          </w:p>
        </w:tc>
        <w:tc>
          <w:tcPr>
            <w:tcW w:w="0" w:type="auto"/>
            <w:shd w:val="clear" w:color="auto" w:fill="FFFFFF"/>
            <w:vAlign w:val="bottom"/>
            <w:hideMark/>
          </w:tcPr>
          <w:p w14:paraId="65ACC53D" w14:textId="77777777" w:rsidR="00000000" w:rsidRDefault="002F725F">
            <w:pPr>
              <w:jc w:val="center"/>
              <w:rPr>
                <w:rFonts w:eastAsia="Times New Roman"/>
                <w:sz w:val="20"/>
                <w:szCs w:val="20"/>
              </w:rPr>
            </w:pPr>
            <w:r>
              <w:rPr>
                <w:rFonts w:eastAsia="Times New Roman"/>
                <w:sz w:val="20"/>
                <w:szCs w:val="20"/>
              </w:rPr>
              <w:t>B-1</w:t>
            </w:r>
          </w:p>
        </w:tc>
      </w:tr>
      <w:tr w:rsidR="00000000" w14:paraId="0F478EB7" w14:textId="77777777">
        <w:trPr>
          <w:divId w:val="415980837"/>
        </w:trPr>
        <w:tc>
          <w:tcPr>
            <w:tcW w:w="0" w:type="auto"/>
            <w:shd w:val="clear" w:color="auto" w:fill="CCEEFF"/>
            <w:vAlign w:val="bottom"/>
            <w:hideMark/>
          </w:tcPr>
          <w:p w14:paraId="1348BF80" w14:textId="77777777" w:rsidR="00000000" w:rsidRDefault="002F725F">
            <w:pPr>
              <w:rPr>
                <w:rFonts w:eastAsia="Times New Roman"/>
                <w:sz w:val="20"/>
                <w:szCs w:val="20"/>
              </w:rPr>
            </w:pPr>
            <w:hyperlink w:anchor="gfpea028961701ex99-a1.htmC_01" w:history="1">
              <w:r>
                <w:rPr>
                  <w:rStyle w:val="Hyperlink"/>
                  <w:rFonts w:eastAsia="Times New Roman"/>
                  <w:sz w:val="20"/>
                  <w:szCs w:val="20"/>
                </w:rPr>
                <w:t>Annex C FAIRNESS OPINION</w:t>
              </w:r>
            </w:hyperlink>
          </w:p>
        </w:tc>
        <w:tc>
          <w:tcPr>
            <w:tcW w:w="0" w:type="auto"/>
            <w:shd w:val="clear" w:color="auto" w:fill="CCEEFF"/>
            <w:vAlign w:val="bottom"/>
            <w:hideMark/>
          </w:tcPr>
          <w:p w14:paraId="68E75F80" w14:textId="77777777" w:rsidR="00000000" w:rsidRDefault="002F725F">
            <w:pPr>
              <w:jc w:val="center"/>
              <w:rPr>
                <w:rFonts w:eastAsia="Times New Roman"/>
                <w:sz w:val="20"/>
                <w:szCs w:val="20"/>
              </w:rPr>
            </w:pPr>
            <w:r>
              <w:rPr>
                <w:rFonts w:eastAsia="Times New Roman"/>
                <w:sz w:val="20"/>
                <w:szCs w:val="20"/>
              </w:rPr>
              <w:t>C-1</w:t>
            </w:r>
          </w:p>
        </w:tc>
      </w:tr>
      <w:tr w:rsidR="00000000" w14:paraId="088E056D" w14:textId="77777777">
        <w:trPr>
          <w:divId w:val="415980837"/>
        </w:trPr>
        <w:tc>
          <w:tcPr>
            <w:tcW w:w="0" w:type="auto"/>
            <w:shd w:val="clear" w:color="auto" w:fill="FFFFFF"/>
            <w:vAlign w:val="bottom"/>
            <w:hideMark/>
          </w:tcPr>
          <w:p w14:paraId="473AB475" w14:textId="77777777" w:rsidR="00000000" w:rsidRDefault="002F725F">
            <w:pPr>
              <w:rPr>
                <w:rFonts w:eastAsia="Times New Roman"/>
                <w:sz w:val="20"/>
                <w:szCs w:val="20"/>
              </w:rPr>
            </w:pPr>
            <w:hyperlink w:anchor="gfpea028961701ex99-a1.htmD_01" w:history="1">
              <w:r>
                <w:rPr>
                  <w:rStyle w:val="Hyperlink"/>
                  <w:rFonts w:eastAsia="Times New Roman"/>
                  <w:sz w:val="20"/>
                  <w:szCs w:val="20"/>
                </w:rPr>
                <w:t>Annex D CAYMAN ISLANDS COMPANIES ACT (2023 REVISION)</w:t>
              </w:r>
            </w:hyperlink>
          </w:p>
        </w:tc>
        <w:tc>
          <w:tcPr>
            <w:tcW w:w="0" w:type="auto"/>
            <w:shd w:val="clear" w:color="auto" w:fill="FFFFFF"/>
            <w:vAlign w:val="bottom"/>
            <w:hideMark/>
          </w:tcPr>
          <w:p w14:paraId="3229CC43" w14:textId="77777777" w:rsidR="00000000" w:rsidRDefault="002F725F">
            <w:pPr>
              <w:jc w:val="center"/>
              <w:rPr>
                <w:rFonts w:eastAsia="Times New Roman"/>
                <w:sz w:val="20"/>
                <w:szCs w:val="20"/>
              </w:rPr>
            </w:pPr>
            <w:r>
              <w:rPr>
                <w:rFonts w:eastAsia="Times New Roman"/>
                <w:sz w:val="20"/>
                <w:szCs w:val="20"/>
              </w:rPr>
              <w:t>D-</w:t>
            </w:r>
            <w:r>
              <w:rPr>
                <w:rFonts w:eastAsia="Times New Roman"/>
                <w:sz w:val="20"/>
                <w:szCs w:val="20"/>
              </w:rPr>
              <w:t>1</w:t>
            </w:r>
          </w:p>
        </w:tc>
      </w:tr>
      <w:tr w:rsidR="00000000" w14:paraId="25DF1AB2" w14:textId="77777777">
        <w:trPr>
          <w:divId w:val="415980837"/>
        </w:trPr>
        <w:tc>
          <w:tcPr>
            <w:tcW w:w="0" w:type="auto"/>
            <w:shd w:val="clear" w:color="auto" w:fill="CCEEFF"/>
            <w:vAlign w:val="bottom"/>
            <w:hideMark/>
          </w:tcPr>
          <w:p w14:paraId="4B72ED54" w14:textId="77777777" w:rsidR="00000000" w:rsidRDefault="002F725F">
            <w:pPr>
              <w:rPr>
                <w:rFonts w:eastAsia="Times New Roman"/>
                <w:sz w:val="20"/>
                <w:szCs w:val="20"/>
              </w:rPr>
            </w:pPr>
            <w:hyperlink w:anchor="gfpea028961701ex99-a1.htme_01" w:history="1">
              <w:r>
                <w:rPr>
                  <w:rStyle w:val="Hyperlink"/>
                  <w:rFonts w:eastAsia="Times New Roman"/>
                  <w:sz w:val="20"/>
                  <w:szCs w:val="20"/>
                </w:rPr>
                <w:t>Annex E DIRECTORS AND EXECUTIVE OFFICERS OF EACH FILING PERSON</w:t>
              </w:r>
            </w:hyperlink>
          </w:p>
        </w:tc>
        <w:tc>
          <w:tcPr>
            <w:tcW w:w="0" w:type="auto"/>
            <w:shd w:val="clear" w:color="auto" w:fill="CCEEFF"/>
            <w:vAlign w:val="bottom"/>
            <w:hideMark/>
          </w:tcPr>
          <w:p w14:paraId="13079B57" w14:textId="77777777" w:rsidR="00000000" w:rsidRDefault="002F725F">
            <w:pPr>
              <w:jc w:val="center"/>
              <w:rPr>
                <w:rFonts w:eastAsia="Times New Roman"/>
                <w:sz w:val="20"/>
                <w:szCs w:val="20"/>
              </w:rPr>
            </w:pPr>
            <w:r>
              <w:rPr>
                <w:rFonts w:eastAsia="Times New Roman"/>
                <w:sz w:val="20"/>
                <w:szCs w:val="20"/>
              </w:rPr>
              <w:t>E-1</w:t>
            </w:r>
          </w:p>
        </w:tc>
      </w:tr>
      <w:tr w:rsidR="00000000" w14:paraId="4968F78D" w14:textId="77777777">
        <w:trPr>
          <w:divId w:val="415980837"/>
        </w:trPr>
        <w:tc>
          <w:tcPr>
            <w:tcW w:w="0" w:type="auto"/>
            <w:shd w:val="clear" w:color="auto" w:fill="FFFFFF"/>
            <w:vAlign w:val="bottom"/>
            <w:hideMark/>
          </w:tcPr>
          <w:p w14:paraId="7B0FDA14" w14:textId="77777777" w:rsidR="00000000" w:rsidRDefault="002F725F">
            <w:pPr>
              <w:rPr>
                <w:rFonts w:eastAsia="Times New Roman"/>
                <w:sz w:val="20"/>
                <w:szCs w:val="20"/>
              </w:rPr>
            </w:pPr>
            <w:hyperlink w:anchor="gfpea028961701ex99-a1.htmf_01" w:history="1">
              <w:r>
                <w:rPr>
                  <w:rStyle w:val="Hyperlink"/>
                  <w:rFonts w:eastAsia="Times New Roman"/>
                  <w:sz w:val="20"/>
                  <w:szCs w:val="20"/>
                </w:rPr>
                <w:t>Annex F FORM OF PROXY CARD</w:t>
              </w:r>
            </w:hyperlink>
          </w:p>
        </w:tc>
        <w:tc>
          <w:tcPr>
            <w:tcW w:w="0" w:type="auto"/>
            <w:shd w:val="clear" w:color="auto" w:fill="FFFFFF"/>
            <w:vAlign w:val="bottom"/>
            <w:hideMark/>
          </w:tcPr>
          <w:p w14:paraId="2A2E330B" w14:textId="77777777" w:rsidR="00000000" w:rsidRDefault="002F725F">
            <w:pPr>
              <w:jc w:val="center"/>
              <w:rPr>
                <w:rFonts w:eastAsia="Times New Roman"/>
                <w:sz w:val="20"/>
                <w:szCs w:val="20"/>
              </w:rPr>
            </w:pPr>
            <w:r>
              <w:rPr>
                <w:rFonts w:eastAsia="Times New Roman"/>
                <w:sz w:val="20"/>
                <w:szCs w:val="20"/>
              </w:rPr>
              <w:t>F-1</w:t>
            </w:r>
          </w:p>
        </w:tc>
      </w:tr>
    </w:tbl>
    <w:p w14:paraId="5AEDABC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AE48733" w14:textId="77777777" w:rsidR="00000000" w:rsidRDefault="002F725F">
      <w:pPr>
        <w:pStyle w:val="NormalWeb"/>
        <w:spacing w:before="0" w:beforeAutospacing="0" w:after="0" w:afterAutospacing="0"/>
        <w:jc w:val="center"/>
        <w:divId w:val="1279024335"/>
        <w:rPr>
          <w:sz w:val="20"/>
          <w:szCs w:val="20"/>
        </w:rPr>
      </w:pPr>
      <w:r>
        <w:rPr>
          <w:sz w:val="20"/>
          <w:szCs w:val="20"/>
        </w:rPr>
        <w:t>x</w:t>
      </w:r>
      <w:r>
        <w:rPr>
          <w:sz w:val="20"/>
          <w:szCs w:val="20"/>
        </w:rPr>
        <w:t>i</w:t>
      </w:r>
    </w:p>
    <w:p w14:paraId="5C23A46A"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E675E22" w14:textId="77777777" w:rsidR="00000000" w:rsidRDefault="002F725F">
      <w:pPr>
        <w:pStyle w:val="NormalWeb"/>
        <w:spacing w:before="0" w:beforeAutospacing="0" w:after="0" w:afterAutospacing="0"/>
        <w:jc w:val="center"/>
        <w:divId w:val="415980837"/>
        <w:rPr>
          <w:sz w:val="20"/>
          <w:szCs w:val="20"/>
        </w:rPr>
      </w:pPr>
      <w:bookmarkStart w:id="20" w:name="gfpea028961701ex99-a1.htmk_001"/>
      <w:bookmarkEnd w:id="20"/>
      <w:r>
        <w:rPr>
          <w:b/>
          <w:bCs/>
          <w:sz w:val="20"/>
          <w:szCs w:val="20"/>
        </w:rPr>
        <w:t>SUMMARY TERM SHEET</w:t>
      </w:r>
    </w:p>
    <w:p w14:paraId="3E93203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D4773A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This “</w:t>
      </w:r>
      <w:r>
        <w:rPr>
          <w:sz w:val="20"/>
          <w:szCs w:val="20"/>
        </w:rPr>
        <w:t>Summary Term Sheet” and the “Questions and Answers About the Extraordinary General Meeting and the Merger” highlight selected information contained in this proxy statement regarding the Merger (as defined below) and may not contain all of the information t</w:t>
      </w:r>
      <w:r>
        <w:rPr>
          <w:sz w:val="20"/>
          <w:szCs w:val="20"/>
        </w:rPr>
        <w:t xml:space="preserve">hat may be important to your consideration of the Merger and other transactions contemplated by the Merger Agreement (as defined below). You should carefully read this entire proxy statement and the other documents to which this proxy statement refers for </w:t>
      </w:r>
      <w:r>
        <w:rPr>
          <w:sz w:val="20"/>
          <w:szCs w:val="20"/>
        </w:rPr>
        <w:t>a more complete understanding of the matters being considered at the extraordinary general meeting. In addition, this proxy statement incorporates by reference important business and financial information about the Company. You are encouraged to read all o</w:t>
      </w:r>
      <w:r>
        <w:rPr>
          <w:sz w:val="20"/>
          <w:szCs w:val="20"/>
        </w:rPr>
        <w:t>f the documents incorporated by reference into this proxy statement and you may obtain such information without charge by following the instructions in “Where You Can Find More Information” beginning on page 108. In this proxy statement, the terms “the Com</w:t>
      </w:r>
      <w:r>
        <w:rPr>
          <w:sz w:val="20"/>
          <w:szCs w:val="20"/>
        </w:rPr>
        <w:t>pany,” “us,” “we” or other terms correlative thereto refer to LakeShore Biopharma Co., Ltd. All references to “dollars,” “US$” and “$” in this proxy statement are to U.S. dollars, and all references to “RMB” in this proxy statement are to Renminbi, the law</w:t>
      </w:r>
      <w:r>
        <w:rPr>
          <w:sz w:val="20"/>
          <w:szCs w:val="20"/>
        </w:rPr>
        <w:t>ful currency of the People’s Republic of China (“PRC” or “China”).</w:t>
      </w:r>
    </w:p>
    <w:p w14:paraId="292BFAA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73B8242" w14:textId="77777777" w:rsidR="00000000" w:rsidRDefault="002F725F">
      <w:pPr>
        <w:pStyle w:val="NormalWeb"/>
        <w:spacing w:before="0" w:beforeAutospacing="0" w:after="0" w:afterAutospacing="0"/>
        <w:jc w:val="both"/>
        <w:divId w:val="415980837"/>
        <w:rPr>
          <w:sz w:val="20"/>
          <w:szCs w:val="20"/>
        </w:rPr>
      </w:pPr>
      <w:r>
        <w:rPr>
          <w:b/>
          <w:bCs/>
          <w:sz w:val="20"/>
          <w:szCs w:val="20"/>
        </w:rPr>
        <w:t>The Parties Involved in the Merger</w:t>
      </w:r>
    </w:p>
    <w:p w14:paraId="6100CA2F" w14:textId="77777777" w:rsidR="00000000" w:rsidRDefault="002F725F">
      <w:pPr>
        <w:pStyle w:val="NormalWeb"/>
        <w:spacing w:before="0" w:beforeAutospacing="0" w:after="0" w:afterAutospacing="0"/>
        <w:jc w:val="both"/>
        <w:divId w:val="415980837"/>
        <w:rPr>
          <w:sz w:val="20"/>
          <w:szCs w:val="20"/>
        </w:rPr>
      </w:pPr>
      <w:r>
        <w:rPr>
          <w:i/>
          <w:iCs/>
          <w:sz w:val="20"/>
          <w:szCs w:val="20"/>
        </w:rPr>
        <w:t> </w:t>
      </w:r>
    </w:p>
    <w:p w14:paraId="76594D5B" w14:textId="77777777" w:rsidR="00000000" w:rsidRDefault="002F725F">
      <w:pPr>
        <w:pStyle w:val="NormalWeb"/>
        <w:spacing w:before="0" w:beforeAutospacing="0" w:after="0" w:afterAutospacing="0"/>
        <w:jc w:val="both"/>
        <w:divId w:val="415980837"/>
        <w:rPr>
          <w:sz w:val="20"/>
          <w:szCs w:val="20"/>
        </w:rPr>
      </w:pPr>
      <w:r>
        <w:rPr>
          <w:i/>
          <w:iCs/>
          <w:sz w:val="20"/>
          <w:szCs w:val="20"/>
        </w:rPr>
        <w:t>The Company</w:t>
      </w:r>
    </w:p>
    <w:p w14:paraId="5AF9858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1858F3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is an exempted company with limited liability incorporated under the laws of the Cayman Islands and a global biopharmaceutic</w:t>
      </w:r>
      <w:r>
        <w:rPr>
          <w:sz w:val="20"/>
          <w:szCs w:val="20"/>
        </w:rPr>
        <w:t>al company dedicated to discovering, developing, manufacturing, and delivering new generations of vaccines and therapeutic biologics for infectious diseases and cancer.</w:t>
      </w:r>
    </w:p>
    <w:p w14:paraId="6BD35F9B" w14:textId="77777777" w:rsidR="00000000" w:rsidRDefault="002F725F">
      <w:pPr>
        <w:pStyle w:val="NormalWeb"/>
        <w:spacing w:before="0" w:beforeAutospacing="0" w:after="0" w:afterAutospacing="0"/>
        <w:divId w:val="415980837"/>
        <w:rPr>
          <w:sz w:val="20"/>
          <w:szCs w:val="20"/>
        </w:rPr>
      </w:pPr>
      <w:r>
        <w:rPr>
          <w:sz w:val="20"/>
          <w:szCs w:val="20"/>
        </w:rPr>
        <w:t> </w:t>
      </w:r>
    </w:p>
    <w:p w14:paraId="2707B37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Company is the issuer of ordinary shares, par value US$0.0002 per share (each, a </w:t>
      </w:r>
      <w:r>
        <w:rPr>
          <w:sz w:val="20"/>
          <w:szCs w:val="20"/>
        </w:rPr>
        <w:t>“Share”).</w:t>
      </w:r>
    </w:p>
    <w:p w14:paraId="6D7CEDAA" w14:textId="77777777" w:rsidR="00000000" w:rsidRDefault="002F725F">
      <w:pPr>
        <w:pStyle w:val="NormalWeb"/>
        <w:spacing w:before="0" w:beforeAutospacing="0" w:after="0" w:afterAutospacing="0"/>
        <w:divId w:val="415980837"/>
        <w:rPr>
          <w:sz w:val="20"/>
          <w:szCs w:val="20"/>
        </w:rPr>
      </w:pPr>
      <w:r>
        <w:rPr>
          <w:sz w:val="20"/>
          <w:szCs w:val="20"/>
        </w:rPr>
        <w:t> </w:t>
      </w:r>
    </w:p>
    <w:p w14:paraId="6CB68240" w14:textId="77777777" w:rsidR="00000000" w:rsidRDefault="002F725F">
      <w:pPr>
        <w:pStyle w:val="NormalWeb"/>
        <w:spacing w:before="0" w:beforeAutospacing="0" w:after="0" w:afterAutospacing="0"/>
        <w:ind w:firstLine="720"/>
        <w:jc w:val="both"/>
        <w:divId w:val="415980837"/>
        <w:rPr>
          <w:sz w:val="20"/>
          <w:szCs w:val="20"/>
        </w:rPr>
      </w:pPr>
      <w:r>
        <w:rPr>
          <w:sz w:val="20"/>
          <w:szCs w:val="20"/>
          <w:shd w:val="clear" w:color="auto" w:fill="FFFFFF"/>
        </w:rPr>
        <w:t>The Company’</w:t>
      </w:r>
      <w:r>
        <w:rPr>
          <w:sz w:val="20"/>
          <w:szCs w:val="20"/>
          <w:shd w:val="clear" w:color="auto" w:fill="FFFFFF"/>
        </w:rPr>
        <w:t xml:space="preserve">s principal executive office is located at Building No. 2, 38 Yongda Road, Daxing Biomedical Industry Park, Daxing District, Beijing, PRC. Its telephone number at this address is +86-10-89202086. Its registered </w:t>
      </w:r>
      <w:r>
        <w:rPr>
          <w:sz w:val="20"/>
          <w:szCs w:val="20"/>
          <w:shd w:val="clear" w:color="auto" w:fill="FFFFFF"/>
        </w:rPr>
        <w:lastRenderedPageBreak/>
        <w:t>office in the Cayman Islands is located at th</w:t>
      </w:r>
      <w:r>
        <w:rPr>
          <w:sz w:val="20"/>
          <w:szCs w:val="20"/>
          <w:shd w:val="clear" w:color="auto" w:fill="FFFFFF"/>
        </w:rPr>
        <w:t>e offices of Maples Corporate Services Limited, PO Box 309, Ugland House, Grand Cayman, KY1-1104, Cayman Islands.</w:t>
      </w:r>
    </w:p>
    <w:p w14:paraId="30AFB5E1" w14:textId="77777777" w:rsidR="00000000" w:rsidRDefault="002F725F">
      <w:pPr>
        <w:pStyle w:val="NormalWeb"/>
        <w:spacing w:before="0" w:beforeAutospacing="0" w:after="0" w:afterAutospacing="0"/>
        <w:divId w:val="415980837"/>
        <w:rPr>
          <w:sz w:val="20"/>
          <w:szCs w:val="20"/>
        </w:rPr>
      </w:pPr>
      <w:r>
        <w:rPr>
          <w:sz w:val="20"/>
          <w:szCs w:val="20"/>
        </w:rPr>
        <w:t> </w:t>
      </w:r>
    </w:p>
    <w:p w14:paraId="5FE1507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For a description of the Company’s history, development, business and organizational structure, see the Company’s annual report on Form 20-F</w:t>
      </w:r>
      <w:r>
        <w:rPr>
          <w:sz w:val="20"/>
          <w:szCs w:val="20"/>
        </w:rPr>
        <w:t xml:space="preserve"> for the fiscal year ended March 31, 2025, filed on July 31, 2025 (“Company’s Annual Report”), which is incorporated herein by reference. Please see “Where You Can Find More Information” beginning on page 108 for a description of how to obtain a copy of th</w:t>
      </w:r>
      <w:r>
        <w:rPr>
          <w:sz w:val="20"/>
          <w:szCs w:val="20"/>
        </w:rPr>
        <w:t>e Company’s Annual Report.</w:t>
      </w:r>
    </w:p>
    <w:p w14:paraId="61D94D0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86E1223" w14:textId="77777777" w:rsidR="00000000" w:rsidRDefault="002F725F">
      <w:pPr>
        <w:pStyle w:val="NormalWeb"/>
        <w:spacing w:before="0" w:beforeAutospacing="0" w:after="0" w:afterAutospacing="0"/>
        <w:divId w:val="415980837"/>
        <w:rPr>
          <w:sz w:val="20"/>
          <w:szCs w:val="20"/>
        </w:rPr>
      </w:pPr>
      <w:r>
        <w:rPr>
          <w:i/>
          <w:iCs/>
          <w:sz w:val="20"/>
          <w:szCs w:val="20"/>
        </w:rPr>
        <w:t>Parent</w:t>
      </w:r>
    </w:p>
    <w:p w14:paraId="61BAB2D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26AB73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Parent is an exempted company with limited liability incorporated under the laws of the Cayman Islands and is currently wholly owned by the Sponsor. Parent is a holding company formed solely for the purpose of holding </w:t>
      </w:r>
      <w:r>
        <w:rPr>
          <w:sz w:val="20"/>
          <w:szCs w:val="20"/>
        </w:rPr>
        <w:t>the equity interests in Merger Sub and completing the Transactions. The business address of Parent is 21F, China Century Tower, No. 9 Xiaoyunli South St, Beijing 100026, China. The business telephone number of Parent is (+86) 10 6195 9000. The registered a</w:t>
      </w:r>
      <w:r>
        <w:rPr>
          <w:sz w:val="20"/>
          <w:szCs w:val="20"/>
        </w:rPr>
        <w:t>ddress of Parent is the offices of Vistra (Cayman) Limited, P. O. Box 31119 Grand Pavilion, Hibiscus Way, 802 West Bay Road, Grand Cayman, KY1- 1205 Cayman Islands.</w:t>
      </w:r>
    </w:p>
    <w:p w14:paraId="6302C6A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C8B545F" w14:textId="77777777" w:rsidR="00000000" w:rsidRDefault="002F725F">
      <w:pPr>
        <w:pStyle w:val="NormalWeb"/>
        <w:spacing w:before="0" w:beforeAutospacing="0" w:after="0" w:afterAutospacing="0"/>
        <w:jc w:val="both"/>
        <w:divId w:val="415980837"/>
        <w:rPr>
          <w:sz w:val="20"/>
          <w:szCs w:val="20"/>
        </w:rPr>
      </w:pPr>
      <w:r>
        <w:rPr>
          <w:i/>
          <w:iCs/>
          <w:sz w:val="20"/>
          <w:szCs w:val="20"/>
        </w:rPr>
        <w:t>Merger Sub</w:t>
      </w:r>
    </w:p>
    <w:p w14:paraId="0830B5B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FB7712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Merger Sub is an exempted company with limited liability incorporated under </w:t>
      </w:r>
      <w:r>
        <w:rPr>
          <w:sz w:val="20"/>
          <w:szCs w:val="20"/>
        </w:rPr>
        <w:t>the laws of the Cayman Islands and is wholly owned by Parent. Merger Sub was formed solely for the purpose of effecting the Transactions. The business address of Merger Sub is 21F, China Century Tower, No. 9 Xiaoyunli South St, Beijing 100026, China. The b</w:t>
      </w:r>
      <w:r>
        <w:rPr>
          <w:sz w:val="20"/>
          <w:szCs w:val="20"/>
        </w:rPr>
        <w:t>usiness telephone number of Merger Sub is (+86) 10 6195 9000. The registered address of Merger Sub is the offices of Vistra (Cayman) Limited, P. O. Box 31119 Grand Pavilion, Hibiscus Way, 802 West Bay Road, Grand Cayman, KY1- 1205 Cayman Islands.</w:t>
      </w:r>
    </w:p>
    <w:p w14:paraId="4B7D29A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BB2E95F" w14:textId="77777777" w:rsidR="00000000" w:rsidRDefault="002F725F">
      <w:pPr>
        <w:pStyle w:val="NormalWeb"/>
        <w:spacing w:before="0" w:beforeAutospacing="0" w:after="0" w:afterAutospacing="0"/>
        <w:divId w:val="415980837"/>
        <w:rPr>
          <w:sz w:val="20"/>
          <w:szCs w:val="20"/>
        </w:rPr>
      </w:pPr>
      <w:r>
        <w:rPr>
          <w:i/>
          <w:iCs/>
          <w:sz w:val="20"/>
          <w:szCs w:val="20"/>
        </w:rPr>
        <w:t>Crystal</w:t>
      </w:r>
      <w:r>
        <w:rPr>
          <w:i/>
          <w:iCs/>
          <w:sz w:val="20"/>
          <w:szCs w:val="20"/>
        </w:rPr>
        <w:t xml:space="preserve"> Peak Investment Inc.</w:t>
      </w:r>
    </w:p>
    <w:p w14:paraId="39AF99D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0AE572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Crystal Peak is a limited liability entity incorporated under the laws of the British Virgin Islands and is a wholly owned subsidiary of Crystal Peak Holdings Inc. (“Crystal Holdings”). Its principal business is making, holding, and</w:t>
      </w:r>
      <w:r>
        <w:rPr>
          <w:sz w:val="20"/>
          <w:szCs w:val="20"/>
        </w:rPr>
        <w:t xml:space="preserve"> disposing of investments. Its business address is c/o Kingston Chambers, PO Box 173, Road Town, Tortola, British Virgin Islands. Its business telephone number is + (86) 15531206774.</w:t>
      </w:r>
    </w:p>
    <w:p w14:paraId="5B533369"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1E829B9" w14:textId="77777777" w:rsidR="00000000" w:rsidRDefault="002F725F">
      <w:pPr>
        <w:pStyle w:val="NormalWeb"/>
        <w:spacing w:before="0" w:beforeAutospacing="0" w:after="0" w:afterAutospacing="0"/>
        <w:jc w:val="center"/>
        <w:divId w:val="266738029"/>
        <w:rPr>
          <w:sz w:val="20"/>
          <w:szCs w:val="20"/>
        </w:rPr>
      </w:pPr>
      <w:r>
        <w:rPr>
          <w:sz w:val="20"/>
          <w:szCs w:val="20"/>
        </w:rPr>
        <w:t>1</w:t>
      </w:r>
    </w:p>
    <w:p w14:paraId="62956B3B" w14:textId="77777777" w:rsidR="00000000" w:rsidRDefault="002F725F">
      <w:pPr>
        <w:pStyle w:val="NormalWeb"/>
        <w:spacing w:before="0" w:beforeAutospacing="0" w:after="0" w:afterAutospacing="0"/>
        <w:divId w:val="1770194242"/>
        <w:rPr>
          <w:sz w:val="20"/>
          <w:szCs w:val="20"/>
        </w:rPr>
      </w:pPr>
      <w:r>
        <w:rPr>
          <w:sz w:val="20"/>
          <w:szCs w:val="20"/>
        </w:rPr>
        <w:t> </w:t>
      </w:r>
    </w:p>
    <w:p w14:paraId="193FAC26"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3ABBEEFE" w14:textId="77777777" w:rsidR="00000000" w:rsidRDefault="002F725F">
      <w:pPr>
        <w:pStyle w:val="NormalWeb"/>
        <w:spacing w:before="0" w:beforeAutospacing="0" w:after="0" w:afterAutospacing="0"/>
        <w:divId w:val="415980837"/>
        <w:rPr>
          <w:sz w:val="20"/>
          <w:szCs w:val="20"/>
        </w:rPr>
      </w:pPr>
      <w:r>
        <w:rPr>
          <w:i/>
          <w:iCs/>
          <w:sz w:val="20"/>
          <w:szCs w:val="20"/>
        </w:rPr>
        <w:t>Crystal Peak Holdings Inc.</w:t>
      </w:r>
    </w:p>
    <w:p w14:paraId="56CC612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9B8486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Crystal Holdings is incorporated und</w:t>
      </w:r>
      <w:r>
        <w:rPr>
          <w:sz w:val="20"/>
          <w:szCs w:val="20"/>
        </w:rPr>
        <w:t>er the laws of the British Virgin Islands. It is principally a holding company for Crystal Peak and other investments of Huaqin Xue. Its business address is c/o Kingston Chambers, PO Box 173, Road Town, Tortola, British Virgin Islands. Its business telepho</w:t>
      </w:r>
      <w:r>
        <w:rPr>
          <w:sz w:val="20"/>
          <w:szCs w:val="20"/>
        </w:rPr>
        <w:t>ne number is + (86) 15531206774.</w:t>
      </w:r>
    </w:p>
    <w:p w14:paraId="2DBE371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5552714" w14:textId="77777777" w:rsidR="00000000" w:rsidRDefault="002F725F">
      <w:pPr>
        <w:pStyle w:val="NormalWeb"/>
        <w:spacing w:before="0" w:beforeAutospacing="0" w:after="0" w:afterAutospacing="0"/>
        <w:jc w:val="both"/>
        <w:divId w:val="415980837"/>
        <w:rPr>
          <w:sz w:val="20"/>
          <w:szCs w:val="20"/>
        </w:rPr>
      </w:pPr>
      <w:r>
        <w:rPr>
          <w:i/>
          <w:iCs/>
          <w:sz w:val="20"/>
          <w:szCs w:val="20"/>
        </w:rPr>
        <w:t>Huaqin Xue</w:t>
      </w:r>
    </w:p>
    <w:p w14:paraId="5EC91869" w14:textId="77777777" w:rsidR="00000000" w:rsidRDefault="002F725F">
      <w:pPr>
        <w:pStyle w:val="NormalWeb"/>
        <w:spacing w:before="0" w:beforeAutospacing="0" w:after="0" w:afterAutospacing="0"/>
        <w:jc w:val="both"/>
        <w:divId w:val="415980837"/>
        <w:rPr>
          <w:sz w:val="20"/>
          <w:szCs w:val="20"/>
        </w:rPr>
      </w:pPr>
      <w:r>
        <w:rPr>
          <w:i/>
          <w:iCs/>
          <w:sz w:val="20"/>
          <w:szCs w:val="20"/>
        </w:rPr>
        <w:t> </w:t>
      </w:r>
    </w:p>
    <w:p w14:paraId="63BA4E9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Huaqin Xue is a director of both Crystal Peak and Crystal Holdings. Huaqin Xue is a citizen of Hong Kong. The business address of Huaqin </w:t>
      </w:r>
      <w:r>
        <w:rPr>
          <w:sz w:val="20"/>
          <w:szCs w:val="20"/>
        </w:rPr>
        <w:t>Xue is c/o 3877 El Camino Real, Ste 201, Palo Alto CA 94306. The business telephone number of Huaqin Xue is + (86) 15531206774.</w:t>
      </w:r>
    </w:p>
    <w:p w14:paraId="7D658D2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BE622DC" w14:textId="77777777" w:rsidR="00000000" w:rsidRDefault="002F725F">
      <w:pPr>
        <w:pStyle w:val="NormalWeb"/>
        <w:spacing w:before="0" w:beforeAutospacing="0" w:after="0" w:afterAutospacing="0"/>
        <w:jc w:val="both"/>
        <w:divId w:val="415980837"/>
        <w:rPr>
          <w:sz w:val="20"/>
          <w:szCs w:val="20"/>
        </w:rPr>
      </w:pPr>
      <w:r>
        <w:rPr>
          <w:i/>
          <w:iCs/>
          <w:sz w:val="20"/>
          <w:szCs w:val="20"/>
        </w:rPr>
        <w:t>Dave Liguang Chenn</w:t>
      </w:r>
    </w:p>
    <w:p w14:paraId="06D4233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357F84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Dave Liguang Chenn is the managing partner of both Oceanpine Investment and the Sponsor. Dave Liguang Che</w:t>
      </w:r>
      <w:r>
        <w:rPr>
          <w:sz w:val="20"/>
          <w:szCs w:val="20"/>
        </w:rPr>
        <w:t xml:space="preserve">nn is a citizen of the United States. The business address of Dave Liguang Chenn is c/o Suite 2207-9, 22/F, Tower </w:t>
      </w:r>
      <w:r>
        <w:rPr>
          <w:sz w:val="20"/>
          <w:szCs w:val="20"/>
        </w:rPr>
        <w:lastRenderedPageBreak/>
        <w:t>Two, Lippo Centre, 89 Queensway, Admiralty, Hong Kong. The business telephone number of Dave Liguang Chenn is (+86) 10 6195 9000.</w:t>
      </w:r>
    </w:p>
    <w:p w14:paraId="30DBB87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83FB74A" w14:textId="77777777" w:rsidR="00000000" w:rsidRDefault="002F725F">
      <w:pPr>
        <w:pStyle w:val="NormalWeb"/>
        <w:spacing w:before="0" w:beforeAutospacing="0" w:after="0" w:afterAutospacing="0"/>
        <w:jc w:val="both"/>
        <w:divId w:val="415980837"/>
        <w:rPr>
          <w:sz w:val="20"/>
          <w:szCs w:val="20"/>
        </w:rPr>
      </w:pPr>
      <w:r>
        <w:rPr>
          <w:i/>
          <w:iCs/>
          <w:sz w:val="20"/>
          <w:szCs w:val="20"/>
        </w:rPr>
        <w:t xml:space="preserve">Oceanpine </w:t>
      </w:r>
      <w:r>
        <w:rPr>
          <w:i/>
          <w:iCs/>
          <w:sz w:val="20"/>
          <w:szCs w:val="20"/>
        </w:rPr>
        <w:t>Capital Inc.</w:t>
      </w:r>
    </w:p>
    <w:p w14:paraId="3F6795D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3EBE14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Sponsor is a limited company incorporated under the laws of the British Virgin Islands and is controlled by Dave Liguang Chenn. It is principally engaged in investment in high-tech and healthcare enterprises. Its business address is c/o </w:t>
      </w:r>
      <w:r>
        <w:rPr>
          <w:sz w:val="20"/>
          <w:szCs w:val="20"/>
        </w:rPr>
        <w:t>Suite 2207-9, 22/F, Tower Two, Lippo Centre, 89 Queensway, Admiralty, Hong Kong. Its business telephone number is (+86) 10 6195 9000.</w:t>
      </w:r>
    </w:p>
    <w:p w14:paraId="0B2E0C8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0A45A10" w14:textId="77777777" w:rsidR="00000000" w:rsidRDefault="002F725F">
      <w:pPr>
        <w:pStyle w:val="NormalWeb"/>
        <w:spacing w:before="0" w:beforeAutospacing="0" w:after="0" w:afterAutospacing="0"/>
        <w:divId w:val="415980837"/>
        <w:rPr>
          <w:sz w:val="20"/>
          <w:szCs w:val="20"/>
        </w:rPr>
      </w:pPr>
      <w:r>
        <w:rPr>
          <w:i/>
          <w:iCs/>
          <w:sz w:val="20"/>
          <w:szCs w:val="20"/>
        </w:rPr>
        <w:t>Oceanpine Investment Fund II LP</w:t>
      </w:r>
    </w:p>
    <w:p w14:paraId="3C1FCD5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B14441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Oceanpine Investment is an exempted limited partnership incorporated under the laws of</w:t>
      </w:r>
      <w:r>
        <w:rPr>
          <w:sz w:val="20"/>
          <w:szCs w:val="20"/>
        </w:rPr>
        <w:t xml:space="preserve"> the Cayman Islands. Its principal business is private equity investments. Its business address is c/o Suite 2207-9, 22/F, Tower Two, Lippo Centre, 89 Queensway, Admiralty, Hong Kong. Its business telephone number is (+86) 10 6195 9000.</w:t>
      </w:r>
    </w:p>
    <w:p w14:paraId="4384027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A6045B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general partn</w:t>
      </w:r>
      <w:r>
        <w:rPr>
          <w:sz w:val="20"/>
          <w:szCs w:val="20"/>
        </w:rPr>
        <w:t xml:space="preserve">er of Oceanpine Investment is Oceanpine Growth (Cayman) Limited (“Oceanpine Growth”). Oceanpine Growth is an exempted limited partnership incorporated under the laws of the Cayman Islands. Its principal business is private equity investments. Its business </w:t>
      </w:r>
      <w:r>
        <w:rPr>
          <w:sz w:val="20"/>
          <w:szCs w:val="20"/>
        </w:rPr>
        <w:t>address is c/o Suite 2207-9, 22/F, Tower Two, Lippo Centre, 89 Queensway, Admiralty, Hong Kong. Its business telephone number is (+86) 10 6195 9000.</w:t>
      </w:r>
    </w:p>
    <w:p w14:paraId="1A600C5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1C67E0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During the last five years, none of the persons referred to above under the heading “The Parties Involved</w:t>
      </w:r>
      <w:r>
        <w:rPr>
          <w:sz w:val="20"/>
          <w:szCs w:val="20"/>
        </w:rPr>
        <w:t xml:space="preserve"> in the Merger,” and their directors and executive officers as listed in Annex E of this proxy statement has been (a) convicted in a criminal proceeding (excluding traffic violations or similar misdemeanors) or (b) a party to any judicial or administrative</w:t>
      </w:r>
      <w:r>
        <w:rPr>
          <w:sz w:val="20"/>
          <w:szCs w:val="20"/>
        </w:rPr>
        <w:t xml:space="preserve"> proceeding (except for matters that were dismissed without sanction or settlement) that resulted in a judgment, decree or final order enjoining the person from future violations of, or prohibiting activities subject to, federal or state securities laws, o</w:t>
      </w:r>
      <w:r>
        <w:rPr>
          <w:sz w:val="20"/>
          <w:szCs w:val="20"/>
        </w:rPr>
        <w:t>r a finding of any violation of federal or state securities laws.</w:t>
      </w:r>
    </w:p>
    <w:p w14:paraId="66DCFE19"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470CEA29" w14:textId="77777777" w:rsidR="00000000" w:rsidRDefault="002F725F">
      <w:pPr>
        <w:pStyle w:val="NormalWeb"/>
        <w:spacing w:before="0" w:beforeAutospacing="0" w:after="0" w:afterAutospacing="0"/>
        <w:jc w:val="both"/>
        <w:divId w:val="415980837"/>
        <w:rPr>
          <w:sz w:val="20"/>
          <w:szCs w:val="20"/>
        </w:rPr>
      </w:pPr>
      <w:r>
        <w:rPr>
          <w:b/>
          <w:bCs/>
          <w:sz w:val="20"/>
          <w:szCs w:val="20"/>
        </w:rPr>
        <w:t>The Merger (Page 82)</w:t>
      </w:r>
    </w:p>
    <w:p w14:paraId="5580020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AD9DBC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You are being asked to vote to authorize and approve the Agreement and Plan of Merger dated as of November 4, 2025 among the Company, Parent and Merger Sub (the “Ori</w:t>
      </w:r>
      <w:r>
        <w:rPr>
          <w:sz w:val="20"/>
          <w:szCs w:val="20"/>
        </w:rPr>
        <w:t>ginal Merger Agreement”), as amended by Amendment No. 1 to Agreement and Plan of Merger, dated as of April 29, 2026, among the Company, Parent and Merger Sub (“Amendment No. 1 to the Merger Agreement,” and the Original Merger Agreement, as amended by Amend</w:t>
      </w:r>
      <w:r>
        <w:rPr>
          <w:sz w:val="20"/>
          <w:szCs w:val="20"/>
        </w:rPr>
        <w:t>ment No. 1 to the Merger Agreement and as may be further amended from time to time, the “Merger Agreement”), and the plan of merger required to be executed and filed with the Registrar of Companies of the Cayman Islands (the “Cayman Registrar”), in connect</w:t>
      </w:r>
      <w:r>
        <w:rPr>
          <w:sz w:val="20"/>
          <w:szCs w:val="20"/>
        </w:rPr>
        <w:t>ion with the Merger (as defined below) (the “Plan of Merger”), pursuant to which, once the Merger Agreement and the Plan of Merger are approved and authorized by the requisite vote of the registered shareholders of the Company and the other conditions to t</w:t>
      </w:r>
      <w:r>
        <w:rPr>
          <w:sz w:val="20"/>
          <w:szCs w:val="20"/>
        </w:rPr>
        <w:t>he completion of the transactions contemplated by the Merger Agreement are satisfied or waived in accordance with the terms of the Merger Agreement, Merger Sub will be merged with and into the Company and cease to exist (the “Merger”), with the Company con</w:t>
      </w:r>
      <w:r>
        <w:rPr>
          <w:sz w:val="20"/>
          <w:szCs w:val="20"/>
        </w:rPr>
        <w:t xml:space="preserve">tinuing as the surviving company (the “Surviving Company”) of the Merger. The Surviving Company will be wholly owned by Parent, and will continue to do business under the name “LakeShore Biopharma Co., Ltd” following the Merger. At the Effective Time, the </w:t>
      </w:r>
      <w:r>
        <w:rPr>
          <w:sz w:val="20"/>
          <w:szCs w:val="20"/>
        </w:rPr>
        <w:t>memorandum and articles of association of the Company, by virtue of the Merger and without any further action by the Surviving Company, will be amended and restated in its entirety to read identically to the memorandum and articles of association of Merger</w:t>
      </w:r>
      <w:r>
        <w:rPr>
          <w:sz w:val="20"/>
          <w:szCs w:val="20"/>
        </w:rPr>
        <w:t xml:space="preserve"> Sub, as in effect immediately prior to the Effective Time (the “Adoption of Amended M&amp;A”). At the Effective Time, pursuant to the Merger Agreement and the Plan of Merger, the Company’s authorized share capital will be amended, from US$50,000 divided into </w:t>
      </w:r>
      <w:r>
        <w:rPr>
          <w:sz w:val="20"/>
          <w:szCs w:val="20"/>
        </w:rPr>
        <w:t>250,000,000 ordinary shares of a par value of US$0.0002 each to US$50,000 divided into 500,000,000 ordinary shares of a par value of US$0.0001 each (the “Variation of Share Capital”), which is necessary to align the Surviving Company’s authorized share cap</w:t>
      </w:r>
      <w:r>
        <w:rPr>
          <w:sz w:val="20"/>
          <w:szCs w:val="20"/>
        </w:rPr>
        <w:t>ital to be the same as that of Merger Sub as set forth in the Plan of Merger. Ninety days after the filing of Form 15 in connection with the completion of the Merger or such longer period as may be determined by the SEC, registration of the Shares and Comp</w:t>
      </w:r>
      <w:r>
        <w:rPr>
          <w:sz w:val="20"/>
          <w:szCs w:val="20"/>
        </w:rPr>
        <w:t>any Warrants under the Securities Exchange Act of 1934, as amended (the “Exchange Act”) will be terminated and the Company will no longer be required to file periodic reports with the Securities and Exchange Commission (“SEC”) or otherwise be subject to th</w:t>
      </w:r>
      <w:r>
        <w:rPr>
          <w:sz w:val="20"/>
          <w:szCs w:val="20"/>
        </w:rPr>
        <w:t>e U.S. federal securities laws, including the Exchange Act and the Sarbanes-Oxley Act of 2002, applicable to public companies.</w:t>
      </w:r>
    </w:p>
    <w:p w14:paraId="02D0F4A1" w14:textId="77777777" w:rsidR="00000000" w:rsidRDefault="002F725F">
      <w:pPr>
        <w:pStyle w:val="NormalWeb"/>
        <w:spacing w:before="0" w:beforeAutospacing="0" w:after="0" w:afterAutospacing="0"/>
        <w:jc w:val="center"/>
        <w:divId w:val="415980837"/>
        <w:rPr>
          <w:sz w:val="20"/>
          <w:szCs w:val="20"/>
        </w:rPr>
      </w:pPr>
      <w:r>
        <w:rPr>
          <w:sz w:val="20"/>
          <w:szCs w:val="20"/>
        </w:rPr>
        <w:lastRenderedPageBreak/>
        <w:t> </w:t>
      </w:r>
    </w:p>
    <w:p w14:paraId="254572B9" w14:textId="77777777" w:rsidR="00000000" w:rsidRDefault="002F725F">
      <w:pPr>
        <w:pStyle w:val="NormalWeb"/>
        <w:spacing w:before="0" w:beforeAutospacing="0" w:after="0" w:afterAutospacing="0"/>
        <w:jc w:val="center"/>
        <w:divId w:val="1168670126"/>
        <w:rPr>
          <w:sz w:val="20"/>
          <w:szCs w:val="20"/>
        </w:rPr>
      </w:pPr>
      <w:r>
        <w:rPr>
          <w:sz w:val="20"/>
          <w:szCs w:val="20"/>
        </w:rPr>
        <w:t>2</w:t>
      </w:r>
    </w:p>
    <w:p w14:paraId="744ED974" w14:textId="77777777" w:rsidR="00000000" w:rsidRDefault="002F725F">
      <w:pPr>
        <w:pStyle w:val="NormalWeb"/>
        <w:spacing w:before="0" w:beforeAutospacing="0" w:after="0" w:afterAutospacing="0"/>
        <w:divId w:val="782073085"/>
        <w:rPr>
          <w:sz w:val="20"/>
          <w:szCs w:val="20"/>
        </w:rPr>
      </w:pPr>
      <w:r>
        <w:rPr>
          <w:sz w:val="20"/>
          <w:szCs w:val="20"/>
        </w:rPr>
        <w:t> </w:t>
      </w:r>
    </w:p>
    <w:p w14:paraId="0FF93B78"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76B15A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Copies </w:t>
      </w:r>
      <w:r>
        <w:rPr>
          <w:sz w:val="20"/>
          <w:szCs w:val="20"/>
        </w:rPr>
        <w:t>of the Merger Agreement and the form of the Plan of Merger are attached as Annex A and Annex B, respectively, to this proxy statement. You should read the Merger Agreement and the Plan of Merger in their entirety because they, and not this proxy statement,</w:t>
      </w:r>
      <w:r>
        <w:rPr>
          <w:sz w:val="20"/>
          <w:szCs w:val="20"/>
        </w:rPr>
        <w:t xml:space="preserve"> are the legal documents that govern the Merger.</w:t>
      </w:r>
    </w:p>
    <w:p w14:paraId="122B78B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8C21F41" w14:textId="77777777" w:rsidR="00000000" w:rsidRDefault="002F725F">
      <w:pPr>
        <w:pStyle w:val="NormalWeb"/>
        <w:spacing w:before="0" w:beforeAutospacing="0" w:after="0" w:afterAutospacing="0"/>
        <w:jc w:val="both"/>
        <w:divId w:val="415980837"/>
        <w:rPr>
          <w:sz w:val="20"/>
          <w:szCs w:val="20"/>
        </w:rPr>
      </w:pPr>
      <w:r>
        <w:rPr>
          <w:b/>
          <w:bCs/>
          <w:sz w:val="20"/>
          <w:szCs w:val="20"/>
        </w:rPr>
        <w:t>Merger Consideration (Page 82)</w:t>
      </w:r>
    </w:p>
    <w:p w14:paraId="3A35CB3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CC2E01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Under the terms of the Merger Agreement, at the effective time of the Merger (the “Effective Time”), each ordinary share of the Company, par value US$0.0002 per share (each</w:t>
      </w:r>
      <w:r>
        <w:rPr>
          <w:sz w:val="20"/>
          <w:szCs w:val="20"/>
        </w:rPr>
        <w:t>, a “Share”) issued and outstanding immediately prior to the Effective Time, other than the Excluded Shares (as defined below) and the Dissenting Shares (as defined below), will be cancelled in exchange for the right to receive US$0.066 in cash per Share w</w:t>
      </w:r>
      <w:r>
        <w:rPr>
          <w:sz w:val="20"/>
          <w:szCs w:val="20"/>
        </w:rPr>
        <w:t>ithout interest and net of any applicable withholding taxes (the “Per Share Merger Consideration”). Notwithstanding the foregoing, if the Merger is completed, the following Shares will be cancelled and cease to exist at the Effective Time but will not enti</w:t>
      </w:r>
      <w:r>
        <w:rPr>
          <w:sz w:val="20"/>
          <w:szCs w:val="20"/>
        </w:rPr>
        <w:t>tle the holders thereof to receive the consideration described in the immediately preceding sentence:</w:t>
      </w:r>
    </w:p>
    <w:p w14:paraId="1B1ABE26" w14:textId="77777777" w:rsidR="00000000" w:rsidRDefault="002F725F">
      <w:pPr>
        <w:pStyle w:val="NormalWeb"/>
        <w:spacing w:before="0" w:beforeAutospacing="0" w:after="0" w:afterAutospacing="0"/>
        <w:ind w:left="144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71633E4B" w14:textId="77777777">
        <w:trPr>
          <w:divId w:val="415980837"/>
          <w:tblCellSpacing w:w="0" w:type="dxa"/>
        </w:trPr>
        <w:tc>
          <w:tcPr>
            <w:tcW w:w="720" w:type="dxa"/>
            <w:hideMark/>
          </w:tcPr>
          <w:p w14:paraId="6BFD86B4" w14:textId="77777777" w:rsidR="00000000" w:rsidRDefault="002F725F">
            <w:pPr>
              <w:rPr>
                <w:sz w:val="20"/>
                <w:szCs w:val="20"/>
              </w:rPr>
            </w:pPr>
          </w:p>
        </w:tc>
        <w:tc>
          <w:tcPr>
            <w:tcW w:w="720" w:type="dxa"/>
            <w:hideMark/>
          </w:tcPr>
          <w:p w14:paraId="78258B7E" w14:textId="77777777" w:rsidR="00000000" w:rsidRDefault="002F725F">
            <w:pPr>
              <w:rPr>
                <w:rFonts w:eastAsia="Times New Roman"/>
                <w:sz w:val="20"/>
                <w:szCs w:val="20"/>
              </w:rPr>
            </w:pPr>
            <w:r>
              <w:rPr>
                <w:rFonts w:eastAsia="Times New Roman"/>
                <w:sz w:val="20"/>
                <w:szCs w:val="20"/>
              </w:rPr>
              <w:t>(a)</w:t>
            </w:r>
          </w:p>
        </w:tc>
        <w:tc>
          <w:tcPr>
            <w:tcW w:w="0" w:type="auto"/>
            <w:hideMark/>
          </w:tcPr>
          <w:p w14:paraId="53655463" w14:textId="77777777" w:rsidR="00000000" w:rsidRDefault="002F725F">
            <w:pPr>
              <w:jc w:val="both"/>
              <w:rPr>
                <w:rFonts w:eastAsia="Times New Roman"/>
                <w:sz w:val="20"/>
                <w:szCs w:val="20"/>
              </w:rPr>
            </w:pPr>
            <w:r>
              <w:rPr>
                <w:rFonts w:eastAsia="Times New Roman"/>
                <w:sz w:val="20"/>
                <w:szCs w:val="20"/>
              </w:rPr>
              <w:t>(i) Shares beneficially owned (as determined pursuant to Rule 13d-3 under the Exchange Act) by the Rollover Shareholders as of November 4, 2025, an</w:t>
            </w:r>
            <w:r>
              <w:rPr>
                <w:rFonts w:eastAsia="Times New Roman"/>
                <w:sz w:val="20"/>
                <w:szCs w:val="20"/>
              </w:rPr>
              <w:t>d any other Shares that may be acquired by any Rollover Shareholder between November 4, 2025 and the Effective Time (collectively, the “Rollover Shares”), (ii) Shares held by Parent, Merger Sub and any of their respective affiliates, (iii) Shares held by t</w:t>
            </w:r>
            <w:r>
              <w:rPr>
                <w:rFonts w:eastAsia="Times New Roman"/>
                <w:sz w:val="20"/>
                <w:szCs w:val="20"/>
              </w:rPr>
              <w:t>he Company or any subsidiary of the Company or held in the Company’s treasury, and (iv) Shares held by holders who prior to the closing of the Merger agree with Parent not to receive any merger consideration with respect to such Shares, in each case, issue</w:t>
            </w:r>
            <w:r>
              <w:rPr>
                <w:rFonts w:eastAsia="Times New Roman"/>
                <w:sz w:val="20"/>
                <w:szCs w:val="20"/>
              </w:rPr>
              <w:t>d and outstanding immediately prior to the Effective Time (collectively, the “Excluded Shares”), will be cancelled and cease to exist at the Effective Time without payment of any consideration or distribution therefor; and</w:t>
            </w:r>
          </w:p>
        </w:tc>
      </w:tr>
    </w:tbl>
    <w:p w14:paraId="0759A568" w14:textId="77777777" w:rsidR="00000000" w:rsidRDefault="002F725F">
      <w:pPr>
        <w:pStyle w:val="NormalWeb"/>
        <w:spacing w:before="0" w:beforeAutospacing="0" w:after="0" w:afterAutospacing="0"/>
        <w:ind w:left="144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52C76A06" w14:textId="77777777">
        <w:trPr>
          <w:divId w:val="415980837"/>
          <w:tblCellSpacing w:w="0" w:type="dxa"/>
        </w:trPr>
        <w:tc>
          <w:tcPr>
            <w:tcW w:w="720" w:type="dxa"/>
            <w:hideMark/>
          </w:tcPr>
          <w:p w14:paraId="152B3876" w14:textId="77777777" w:rsidR="00000000" w:rsidRDefault="002F725F">
            <w:pPr>
              <w:rPr>
                <w:sz w:val="20"/>
                <w:szCs w:val="20"/>
              </w:rPr>
            </w:pPr>
          </w:p>
        </w:tc>
        <w:tc>
          <w:tcPr>
            <w:tcW w:w="720" w:type="dxa"/>
            <w:hideMark/>
          </w:tcPr>
          <w:p w14:paraId="3621CAC1" w14:textId="77777777" w:rsidR="00000000" w:rsidRDefault="002F725F">
            <w:pPr>
              <w:rPr>
                <w:rFonts w:eastAsia="Times New Roman"/>
                <w:sz w:val="20"/>
                <w:szCs w:val="20"/>
              </w:rPr>
            </w:pPr>
            <w:r>
              <w:rPr>
                <w:rFonts w:eastAsia="Times New Roman"/>
                <w:sz w:val="20"/>
                <w:szCs w:val="20"/>
              </w:rPr>
              <w:t>(b)</w:t>
            </w:r>
          </w:p>
        </w:tc>
        <w:tc>
          <w:tcPr>
            <w:tcW w:w="0" w:type="auto"/>
            <w:hideMark/>
          </w:tcPr>
          <w:p w14:paraId="496C1751" w14:textId="77777777" w:rsidR="00000000" w:rsidRDefault="002F725F">
            <w:pPr>
              <w:jc w:val="both"/>
              <w:rPr>
                <w:rFonts w:eastAsia="Times New Roman"/>
                <w:sz w:val="20"/>
                <w:szCs w:val="20"/>
              </w:rPr>
            </w:pPr>
            <w:r>
              <w:rPr>
                <w:rFonts w:eastAsia="Times New Roman"/>
                <w:sz w:val="20"/>
                <w:szCs w:val="20"/>
              </w:rPr>
              <w:t>Shares that are issued and outstanding immediately prior to the Effective Time and that are held by registered shareholders who have validly exercised and have not effectively withdrawn or lost their rights to dissent from the Merger (the “Dissenting Share</w:t>
            </w:r>
            <w:r>
              <w:rPr>
                <w:rFonts w:eastAsia="Times New Roman"/>
                <w:sz w:val="20"/>
                <w:szCs w:val="20"/>
              </w:rPr>
              <w:t>s”) in accordance with Section 238 of the Companies Act (As Revised) of the Cayman Islands (the “Cayman Islands Companies Act”) will be cancelled and cease to exist at the Effective Time and the holders of such Dissenting Shares will be entitled to receive</w:t>
            </w:r>
            <w:r>
              <w:rPr>
                <w:rFonts w:eastAsia="Times New Roman"/>
                <w:sz w:val="20"/>
                <w:szCs w:val="20"/>
              </w:rPr>
              <w:t xml:space="preserve"> only the payment of the fair value of their Dissenting Shares as determined by the Grand Court of the Cayman Islands in accordance with Section 238 of the Cayman Islands Companies Act.</w:t>
            </w:r>
          </w:p>
        </w:tc>
      </w:tr>
    </w:tbl>
    <w:p w14:paraId="473B3BBA"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466F165A" w14:textId="77777777" w:rsidR="00000000" w:rsidRDefault="002F725F">
      <w:pPr>
        <w:pStyle w:val="NormalWeb"/>
        <w:spacing w:before="0" w:beforeAutospacing="0" w:after="0" w:afterAutospacing="0"/>
        <w:jc w:val="both"/>
        <w:divId w:val="415980837"/>
        <w:rPr>
          <w:sz w:val="20"/>
          <w:szCs w:val="20"/>
        </w:rPr>
      </w:pPr>
      <w:r>
        <w:rPr>
          <w:b/>
          <w:bCs/>
          <w:sz w:val="20"/>
          <w:szCs w:val="20"/>
        </w:rPr>
        <w:t>Treatment of Company Warrants (Page 83)</w:t>
      </w:r>
    </w:p>
    <w:p w14:paraId="2EB954F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6FE1CA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From and after the Effect</w:t>
      </w:r>
      <w:r>
        <w:rPr>
          <w:sz w:val="20"/>
          <w:szCs w:val="20"/>
        </w:rPr>
        <w:t>ive Time, each warrant to purchase Shares (each, a “Company Warrant”, and collectively, the “Company Warrants”) will, by virtue of the Merger, be treated in the manner as set forth in the warrant agreement, dated June 8, 2021, by and between Summit Healthc</w:t>
      </w:r>
      <w:r>
        <w:rPr>
          <w:sz w:val="20"/>
          <w:szCs w:val="20"/>
        </w:rPr>
        <w:t>are Acquisition Corp. and Continental Stock Transfer &amp; Trust Company, as amended by the warrant assignment agreement, dated September 29, 2022, by and among Summit Healthcare Acquisition Corp., the Company and Continental Stock Transfer &amp; Trust Company (th</w:t>
      </w:r>
      <w:r>
        <w:rPr>
          <w:sz w:val="20"/>
          <w:szCs w:val="20"/>
        </w:rPr>
        <w:t>e “Warrant Agreement”).</w:t>
      </w:r>
    </w:p>
    <w:p w14:paraId="2D9E8CC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68BCB7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Pursuant to Section 4.5 of the Warrant Agreement, in the case of any merger or consolidation of the Company with or into another corporation (other than a consolidation or merger in which the Company is the continuing corporation </w:t>
      </w:r>
      <w:r>
        <w:rPr>
          <w:sz w:val="20"/>
          <w:szCs w:val="20"/>
        </w:rPr>
        <w:t>and that does not result in any reclassification or reorganization of the issued and outstanding Shares), the holders of the Company Warrants shall thereafter have the right to purchase and receive, upon the basis and upon the terms and conditions specifie</w:t>
      </w:r>
      <w:r>
        <w:rPr>
          <w:sz w:val="20"/>
          <w:szCs w:val="20"/>
        </w:rPr>
        <w:t xml:space="preserve">d in the Company Warrants and in lieu of the Shares immediately theretofore purchasable and receivable upon the exercise of the rights represented thereby, the kind and amount of shares or stock or other </w:t>
      </w:r>
      <w:r>
        <w:rPr>
          <w:sz w:val="20"/>
          <w:szCs w:val="20"/>
        </w:rPr>
        <w:lastRenderedPageBreak/>
        <w:t>securities or property (including cash) receivable u</w:t>
      </w:r>
      <w:r>
        <w:rPr>
          <w:sz w:val="20"/>
          <w:szCs w:val="20"/>
        </w:rPr>
        <w:t xml:space="preserve">pon such merger or consolidation, that the holder of the Company Warrants would have received if such holder had exercised his, her or its Company Warrant(s) immediately prior to such event. Accordingly, as a result of the Merger and immediately after the </w:t>
      </w:r>
      <w:r>
        <w:rPr>
          <w:sz w:val="20"/>
          <w:szCs w:val="20"/>
        </w:rPr>
        <w:t>Effective Time, the holder(s) of each of the Company Warrants that is issued and outstanding immediately prior to the Effective Time will have the right to receive US$0.0066 (being one-tenth of the Per Share Merger Consideration as one Company Warrant is e</w:t>
      </w:r>
      <w:r>
        <w:rPr>
          <w:sz w:val="20"/>
          <w:szCs w:val="20"/>
        </w:rPr>
        <w:t>xercisable for one-tenth of a Share) per Company Warrant in cash, upon the exercise of such Company Warrant by paying US$11.5, the exercise price per Company Warrant, to the Surviving Company.</w:t>
      </w:r>
    </w:p>
    <w:p w14:paraId="2C0A7DC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987654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Section 4.5 of the Warrant Agreement further provides that, i</w:t>
      </w:r>
      <w:r>
        <w:rPr>
          <w:sz w:val="20"/>
          <w:szCs w:val="20"/>
        </w:rPr>
        <w:t>f less than 70% of the consideration receivable by the holders of the Shares in such a transaction is payable in the form of shares in the successor entity that is listed for trading on a national securities exchange or is quoted in an established over-the</w:t>
      </w:r>
      <w:r>
        <w:rPr>
          <w:sz w:val="20"/>
          <w:szCs w:val="20"/>
        </w:rPr>
        <w:t xml:space="preserve">-counter market, or is to be so listed for trading or quoted immediately following such event, and if the registered holder of the Company Warrant properly exercises the Company Warrant within thirty days following public disclosure of the consummation of </w:t>
      </w:r>
      <w:r>
        <w:rPr>
          <w:sz w:val="20"/>
          <w:szCs w:val="20"/>
        </w:rPr>
        <w:t>such applicable event by the Company, the warrant exercise price will be reduced as specified in the Warrant Agreement based on the Black-Scholes value (as defined in the Warrant Agreement) of the Company Warrant.</w:t>
      </w:r>
    </w:p>
    <w:p w14:paraId="4A451A8D"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5818712E" w14:textId="77777777" w:rsidR="00000000" w:rsidRDefault="002F725F">
      <w:pPr>
        <w:pStyle w:val="NormalWeb"/>
        <w:spacing w:before="0" w:beforeAutospacing="0" w:after="0" w:afterAutospacing="0"/>
        <w:jc w:val="center"/>
        <w:divId w:val="1648586600"/>
        <w:rPr>
          <w:sz w:val="20"/>
          <w:szCs w:val="20"/>
        </w:rPr>
      </w:pPr>
      <w:r>
        <w:rPr>
          <w:sz w:val="20"/>
          <w:szCs w:val="20"/>
        </w:rPr>
        <w:t>3</w:t>
      </w:r>
    </w:p>
    <w:p w14:paraId="3CBAE95F" w14:textId="77777777" w:rsidR="00000000" w:rsidRDefault="002F725F">
      <w:pPr>
        <w:pStyle w:val="NormalWeb"/>
        <w:spacing w:before="0" w:beforeAutospacing="0" w:after="0" w:afterAutospacing="0"/>
        <w:divId w:val="148136718"/>
        <w:rPr>
          <w:sz w:val="20"/>
          <w:szCs w:val="20"/>
        </w:rPr>
      </w:pPr>
      <w:r>
        <w:rPr>
          <w:sz w:val="20"/>
          <w:szCs w:val="20"/>
        </w:rPr>
        <w:t> </w:t>
      </w:r>
    </w:p>
    <w:p w14:paraId="6997BE6C"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7D711810" w14:textId="77777777" w:rsidR="00000000" w:rsidRDefault="002F725F">
      <w:pPr>
        <w:pStyle w:val="NormalWeb"/>
        <w:spacing w:before="0" w:beforeAutospacing="0" w:after="0" w:afterAutospacing="0"/>
        <w:jc w:val="both"/>
        <w:divId w:val="415980837"/>
        <w:rPr>
          <w:sz w:val="20"/>
          <w:szCs w:val="20"/>
        </w:rPr>
      </w:pPr>
      <w:r>
        <w:rPr>
          <w:b/>
          <w:bCs/>
          <w:sz w:val="20"/>
          <w:szCs w:val="20"/>
        </w:rPr>
        <w:t xml:space="preserve">Treatment of Company Share Awards </w:t>
      </w:r>
      <w:r>
        <w:rPr>
          <w:b/>
          <w:bCs/>
          <w:sz w:val="20"/>
          <w:szCs w:val="20"/>
        </w:rPr>
        <w:t>(Page 83)</w:t>
      </w:r>
    </w:p>
    <w:p w14:paraId="76B50E0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AE90CD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or prior to the Effective Time, the Company will terminate the 2020 Share Incentive Plan of the Company (the “2020 Plan”) and the 2024 Share Incentive Plan of the Company (the “2024 Plan” and together with the 2020 Plan, the “Share Incentive</w:t>
      </w:r>
      <w:r>
        <w:rPr>
          <w:sz w:val="20"/>
          <w:szCs w:val="20"/>
        </w:rPr>
        <w:t xml:space="preserve"> Plans”) and all award agreements entered into under each option to purchase Shares (each, a “Company Option”) and each restricted share unit or other right to acquire Shares (each, a “Company RSU”) granted under the Share Incentive Plans, effective as of </w:t>
      </w:r>
      <w:r>
        <w:rPr>
          <w:sz w:val="20"/>
          <w:szCs w:val="20"/>
        </w:rPr>
        <w:t>the Effective Time.</w:t>
      </w:r>
    </w:p>
    <w:p w14:paraId="799DB71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286EA2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Each Company Option granted </w:t>
      </w:r>
      <w:r>
        <w:rPr>
          <w:sz w:val="20"/>
          <w:szCs w:val="20"/>
        </w:rPr>
        <w:t>under the 2020 Plan that is not vested and is outstanding immediately prior to the Effective Time will become fully vested as of the Effective Time. Each Company Option granted under the 2020 Plan that is fully vested and outstanding immediately prior to t</w:t>
      </w:r>
      <w:r>
        <w:rPr>
          <w:sz w:val="20"/>
          <w:szCs w:val="20"/>
        </w:rPr>
        <w:t>he Effective Time and the unvested Company Options that become fully vested as of the Effective Time pursuant to the preceding sentence will be cancelled as of the Effective Time and immediately converted into the right to receive in exchange therefor an a</w:t>
      </w:r>
      <w:r>
        <w:rPr>
          <w:sz w:val="20"/>
          <w:szCs w:val="20"/>
        </w:rPr>
        <w:t>mount of cash equal to (i) the excess, if any, of (A) the Per Share Merger Consideration over (B) the exercise price of such Company Option, multiplied by (ii) the number of Shares underlying such Company Option, which amount will be paid as soon as reason</w:t>
      </w:r>
      <w:r>
        <w:rPr>
          <w:sz w:val="20"/>
          <w:szCs w:val="20"/>
        </w:rPr>
        <w:t>ably practicable following the Effective Time by the Surviving Company pursuant to the ordinary payroll practices; provided, that if the exercise price of any such vested Company Option is equal to or greater than the Per Share Merger Consideration, such v</w:t>
      </w:r>
      <w:r>
        <w:rPr>
          <w:sz w:val="20"/>
          <w:szCs w:val="20"/>
        </w:rPr>
        <w:t>ested Company Option will be cancelled without any payment therefor.</w:t>
      </w:r>
    </w:p>
    <w:p w14:paraId="7CD144C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349C25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Each Company RSU granted under the 2020 Plan that is not vested and is outstanding immediately prior to the Effective Time will become fully vested immediately prior to the Effective Ti</w:t>
      </w:r>
      <w:r>
        <w:rPr>
          <w:sz w:val="20"/>
          <w:szCs w:val="20"/>
        </w:rPr>
        <w:t>me. Each Company RSU granted under the 2020 Plan that is fully vested and outstanding immediately prior to the Effective Time and the unvested Company RSUs that become fully vested as of the Effective Time pursuant to the preceding sentence will be cancell</w:t>
      </w:r>
      <w:r>
        <w:rPr>
          <w:sz w:val="20"/>
          <w:szCs w:val="20"/>
        </w:rPr>
        <w:t xml:space="preserve">ed as of the Effective Time and immediately converted into the right to receive in exchange therefor an amount of cash equal to (i) the Per Share Merger Consideration, multiplied by (ii) the number of Shares subject to such Company RSUs, which amount will </w:t>
      </w:r>
      <w:r>
        <w:rPr>
          <w:sz w:val="20"/>
          <w:szCs w:val="20"/>
        </w:rPr>
        <w:t>be paid as soon as reasonably practicable following the Effective Time by the Surviving Company pursuant to the ordinary payroll practices.</w:t>
      </w:r>
    </w:p>
    <w:p w14:paraId="3FB086D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232227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the Effective Time, except as otherwise agreed to in writing between a holder of a Company Option and Parent, e</w:t>
      </w:r>
      <w:r>
        <w:rPr>
          <w:sz w:val="20"/>
          <w:szCs w:val="20"/>
        </w:rPr>
        <w:t>ach Company Option under the 2024 Plan, whether vested or unvested, will be assumed by Parent as an option to purchase the shares of Parent (“Parent Shares”) under an equity incentive plan to be established by Parent, exercisable into a number of Parent Sh</w:t>
      </w:r>
      <w:r>
        <w:rPr>
          <w:sz w:val="20"/>
          <w:szCs w:val="20"/>
        </w:rPr>
        <w:t>ares equal to the product of (i) the number of Shares subject to the corresponding Company Option immediately prior to the Effective Time, multiplied by (ii) a fraction (such ratio, the “Exchange Ratio”), the numerator of which is the Per Share Merger Cons</w:t>
      </w:r>
      <w:r>
        <w:rPr>
          <w:sz w:val="20"/>
          <w:szCs w:val="20"/>
        </w:rPr>
        <w:t xml:space="preserve">ideration and the denominator of which is the fair market </w:t>
      </w:r>
      <w:r>
        <w:rPr>
          <w:sz w:val="20"/>
          <w:szCs w:val="20"/>
        </w:rPr>
        <w:lastRenderedPageBreak/>
        <w:t>value of a Parent Share as of the Effective Time, and rounding such product down to the nearest whole number of Parent Shares, with an exercise price per share subject to the assumed option equal to</w:t>
      </w:r>
      <w:r>
        <w:rPr>
          <w:sz w:val="20"/>
          <w:szCs w:val="20"/>
        </w:rPr>
        <w:t xml:space="preserve"> the exercise price for which the corresponding Company Option was exercisable immediately prior to the Effective Time divided by the Exchange Ratio, and rounded up to the nearest whole cent. Except as provided above, each assumed option will continue to h</w:t>
      </w:r>
      <w:r>
        <w:rPr>
          <w:sz w:val="20"/>
          <w:szCs w:val="20"/>
        </w:rPr>
        <w:t>ave, and be subject to, the same terms and conditions as the corresponding Company Option set forth in the 2024 Plan and the applicable award agreement as in effect immediately prior to the Effective Time.</w:t>
      </w:r>
    </w:p>
    <w:p w14:paraId="0861858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04C526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the Effective Time, except as otherwise agree</w:t>
      </w:r>
      <w:r>
        <w:rPr>
          <w:sz w:val="20"/>
          <w:szCs w:val="20"/>
        </w:rPr>
        <w:t>d to in writing between a holder of a Company RSU and Parent, each Company RSU under the 2024 Plan, whether vested or unvested, will be assumed by Parent as a restricted stock unit award with respect to a number of Parent Shares equal to the product of (i)</w:t>
      </w:r>
      <w:r>
        <w:rPr>
          <w:sz w:val="20"/>
          <w:szCs w:val="20"/>
        </w:rPr>
        <w:t xml:space="preserve"> the number of Shares subject to such Company RSU immediately prior to the Effective Time, multiplied by (ii) the Exchange Ratio, rounding such product down to the nearest whole number of Parent Shares. Except as provided above, each assumed restricted sto</w:t>
      </w:r>
      <w:r>
        <w:rPr>
          <w:sz w:val="20"/>
          <w:szCs w:val="20"/>
        </w:rPr>
        <w:t>ck unit award will continue to have, and be subject to, the same terms and conditions as the corresponding Company RSU set forth in the 2024 Plan and the applicable award agreement as in effect immediately prior to the Effective Time.</w:t>
      </w:r>
    </w:p>
    <w:p w14:paraId="2B020266"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 </w:t>
      </w:r>
    </w:p>
    <w:p w14:paraId="0722D9C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Parent may seek, pr</w:t>
      </w:r>
      <w:r>
        <w:rPr>
          <w:sz w:val="20"/>
          <w:szCs w:val="20"/>
        </w:rPr>
        <w:t>ior to the closing date, to agree with an individual holder of any Company Options or Company RSUs that all or a portion of such holder’s Company Options or Company RSUs will not be treated as provided in the Merger Agreement, but will instead be treated a</w:t>
      </w:r>
      <w:r>
        <w:rPr>
          <w:sz w:val="20"/>
          <w:szCs w:val="20"/>
        </w:rPr>
        <w:t>s otherwise agreed by and among such holder, the Company and Parent; provided, that in no event will such arrangement result in the assumption, substitution or continuation of such Company Options or Company RSUs with terms and conditions that provide addi</w:t>
      </w:r>
      <w:r>
        <w:rPr>
          <w:sz w:val="20"/>
          <w:szCs w:val="20"/>
        </w:rPr>
        <w:t>tional benefits to such individual holder as compared to terms and conditions in effect immediately prior to the Effective Time. The Company agrees that, to the extent that Parent has identified to the Company in writing, at least 15 days prior to the clos</w:t>
      </w:r>
      <w:r>
        <w:rPr>
          <w:sz w:val="20"/>
          <w:szCs w:val="20"/>
        </w:rPr>
        <w:t>ing date, the individuals with whom it is seeking agreement with respect to such Company Options or Company RSUs, the Company will use commercially reasonable efforts to facilitate Parent’s access to such individuals in order to discuss such alternative ar</w:t>
      </w:r>
      <w:r>
        <w:rPr>
          <w:sz w:val="20"/>
          <w:szCs w:val="20"/>
        </w:rPr>
        <w:t>rangement.</w:t>
      </w:r>
    </w:p>
    <w:p w14:paraId="5F08544B"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D96AE44" w14:textId="77777777" w:rsidR="00000000" w:rsidRDefault="002F725F">
      <w:pPr>
        <w:pStyle w:val="NormalWeb"/>
        <w:spacing w:before="0" w:beforeAutospacing="0" w:after="0" w:afterAutospacing="0"/>
        <w:jc w:val="center"/>
        <w:divId w:val="1190610113"/>
        <w:rPr>
          <w:sz w:val="20"/>
          <w:szCs w:val="20"/>
        </w:rPr>
      </w:pPr>
      <w:r>
        <w:rPr>
          <w:sz w:val="20"/>
          <w:szCs w:val="20"/>
        </w:rPr>
        <w:t>4</w:t>
      </w:r>
    </w:p>
    <w:p w14:paraId="78A84B8E" w14:textId="77777777" w:rsidR="00000000" w:rsidRDefault="002F725F">
      <w:pPr>
        <w:pStyle w:val="NormalWeb"/>
        <w:spacing w:before="0" w:beforeAutospacing="0" w:after="0" w:afterAutospacing="0"/>
        <w:divId w:val="818156107"/>
        <w:rPr>
          <w:sz w:val="20"/>
          <w:szCs w:val="20"/>
        </w:rPr>
      </w:pPr>
      <w:r>
        <w:rPr>
          <w:sz w:val="20"/>
          <w:szCs w:val="20"/>
        </w:rPr>
        <w:t> </w:t>
      </w:r>
    </w:p>
    <w:p w14:paraId="6B677328"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AB9A702" w14:textId="77777777" w:rsidR="00000000" w:rsidRDefault="002F725F">
      <w:pPr>
        <w:pStyle w:val="NormalWeb"/>
        <w:spacing w:before="0" w:beforeAutospacing="0" w:after="0" w:afterAutospacing="0"/>
        <w:jc w:val="both"/>
        <w:divId w:val="415980837"/>
        <w:rPr>
          <w:sz w:val="20"/>
          <w:szCs w:val="20"/>
        </w:rPr>
      </w:pPr>
      <w:r>
        <w:rPr>
          <w:b/>
          <w:bCs/>
          <w:sz w:val="20"/>
          <w:szCs w:val="20"/>
        </w:rPr>
        <w:t>Record Date and Procedures for Voting (Pages 78 and 79)</w:t>
      </w:r>
    </w:p>
    <w:p w14:paraId="3F49041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F2DE24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You are entitled to attend and vote at the extraordinary general meeting if you have Shares registered in your name as of 5 p.m. Cayman Islands time on </w:t>
      </w:r>
      <w:r>
        <w:rPr>
          <w:sz w:val="20"/>
          <w:szCs w:val="20"/>
          <w:u w:val="single"/>
        </w:rPr>
        <w:t>                    </w:t>
      </w:r>
      <w:r>
        <w:rPr>
          <w:sz w:val="20"/>
          <w:szCs w:val="20"/>
        </w:rPr>
        <w:t xml:space="preserve"> (the “</w:t>
      </w:r>
      <w:r>
        <w:rPr>
          <w:sz w:val="20"/>
          <w:szCs w:val="20"/>
        </w:rPr>
        <w:t>Share Record Date”). If you own Shares as of 5 p.m. Cayman Islands time on the Share Record Date, the deadline for you to lodge your proxy card and vote is</w:t>
      </w:r>
      <w:r>
        <w:rPr>
          <w:sz w:val="20"/>
          <w:szCs w:val="20"/>
          <w:u w:val="single"/>
        </w:rPr>
        <w:t>                   </w:t>
      </w:r>
      <w:r>
        <w:rPr>
          <w:sz w:val="20"/>
          <w:szCs w:val="20"/>
        </w:rPr>
        <w:t> at a.m. (Beijing time),3 being 48 hours before the time appointed for the extraor</w:t>
      </w:r>
      <w:r>
        <w:rPr>
          <w:sz w:val="20"/>
          <w:szCs w:val="20"/>
        </w:rPr>
        <w:t>dinary general meeting.</w:t>
      </w:r>
    </w:p>
    <w:p w14:paraId="4E4DCEE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A072DFD" w14:textId="77777777" w:rsidR="00000000" w:rsidRDefault="002F725F">
      <w:pPr>
        <w:pStyle w:val="NormalWeb"/>
        <w:spacing w:before="0" w:beforeAutospacing="0" w:after="0" w:afterAutospacing="0"/>
        <w:jc w:val="both"/>
        <w:divId w:val="415980837"/>
        <w:rPr>
          <w:sz w:val="20"/>
          <w:szCs w:val="20"/>
        </w:rPr>
      </w:pPr>
      <w:r>
        <w:rPr>
          <w:b/>
          <w:bCs/>
          <w:sz w:val="20"/>
          <w:szCs w:val="20"/>
        </w:rPr>
        <w:t>Shareholder Vote Required to Approve the Merger Agreement and the Plan of Merger (Page 78)</w:t>
      </w:r>
    </w:p>
    <w:p w14:paraId="207C13F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317728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Under the Cayman Islands Companies Act and the Company’s second amended and restated memorandum and articles of association, in order for</w:t>
      </w:r>
      <w:r>
        <w:rPr>
          <w:sz w:val="20"/>
          <w:szCs w:val="20"/>
        </w:rPr>
        <w:t xml:space="preserve"> the Merger to be consummated, the Merger Agreement and the Plan of Merger must be approved by a special resolution of the shareholders of the Company in accordance with the Company’s second amended and restated memorandum and articles of association and t</w:t>
      </w:r>
      <w:r>
        <w:rPr>
          <w:sz w:val="20"/>
          <w:szCs w:val="20"/>
        </w:rPr>
        <w:t>he Cayman Islands Companies Act, which requires the affirmative vote of holders of Shares representing not less than two-thirds of the votes cast by such shareholders as, being entitled to do so, vote in person or, where proxies are allowed, by proxy or, i</w:t>
      </w:r>
      <w:r>
        <w:rPr>
          <w:sz w:val="20"/>
          <w:szCs w:val="20"/>
        </w:rPr>
        <w:t>n the case of corporations, by their duly authorised representatives, as a single class at the extraordinary general meeting or any adjournment or postponement thereof. If this vote is not obtained, the Merger will not be consummated. In addition, a specia</w:t>
      </w:r>
      <w:r>
        <w:rPr>
          <w:sz w:val="20"/>
          <w:szCs w:val="20"/>
        </w:rPr>
        <w:t>l resolution of the shareholders of the Company is required to authorize the Special Committee to do all things necessary to give effect to the Merger Agreement, the Plan of Merger and the consummation of the Transactions, including the Merger, the Variati</w:t>
      </w:r>
      <w:r>
        <w:rPr>
          <w:sz w:val="20"/>
          <w:szCs w:val="20"/>
        </w:rPr>
        <w:t>on of Share Capital, and the Adoption of Amended M&amp;A, which is subject to the same two-thirds voting threshold as described above.</w:t>
      </w:r>
    </w:p>
    <w:p w14:paraId="45927A6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F6F23A1"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As of the date of this proxy statement, the Rollover Shareholders collectively beneficially own 21,988,169 Shares, which re</w:t>
      </w:r>
      <w:r>
        <w:rPr>
          <w:sz w:val="20"/>
          <w:szCs w:val="20"/>
        </w:rPr>
        <w:t>presents approximately 53.35% of the total voting rights in the Company. See “Security Ownership of Certain Beneficial Owners and Management of the Company” beginning on page 104 for additional information. Pursuant to the terms of the Support Agreement (a</w:t>
      </w:r>
      <w:r>
        <w:rPr>
          <w:sz w:val="20"/>
          <w:szCs w:val="20"/>
        </w:rPr>
        <w:t xml:space="preserve">s defined below), these Shares will be voted by the Rollover Shareholders in favor of the authorization and approval of the Merger Agreement, the Plan of Merger and the consummation of the Transactions, and the authorization of the Special Committee to do </w:t>
      </w:r>
      <w:r>
        <w:rPr>
          <w:sz w:val="20"/>
          <w:szCs w:val="20"/>
        </w:rPr>
        <w:t>all things necessary to give effect to the foregoing, at the extraordinary general meeting. Given the Rollover Shareholders’ shareholding as described above and assuming their compliance with their voting undertaking under the Support Agreement to vote all</w:t>
      </w:r>
      <w:r>
        <w:rPr>
          <w:sz w:val="20"/>
          <w:szCs w:val="20"/>
        </w:rPr>
        <w:t xml:space="preserve"> their Shares in favor of the special resolutions, based on the number of Shares expected to be issued and outstanding on the Share Record Date, (a) at least 5,486,960 Shares owned by the Unaffiliated Security Holders equal to approximately 13.31% of the v</w:t>
      </w:r>
      <w:r>
        <w:rPr>
          <w:sz w:val="20"/>
          <w:szCs w:val="20"/>
        </w:rPr>
        <w:t xml:space="preserve">oting power of the total issued and outstanding Shares as of the Share Record Date must be voted in favor of the special resolutions to be proposed at the extraordinary general meeting for them to be approved, assuming all shareholders of the Company will </w:t>
      </w:r>
      <w:r>
        <w:rPr>
          <w:sz w:val="20"/>
          <w:szCs w:val="20"/>
        </w:rPr>
        <w:t>be present and voting in person or by proxy at the extraordinary general meeting; (b) at least 2,739,447 Shares owned by the Unaffiliated Security Holders equal to approximately 6.65% of the voting power of the total issued and outstanding Shares as of the</w:t>
      </w:r>
      <w:r>
        <w:rPr>
          <w:sz w:val="20"/>
          <w:szCs w:val="20"/>
        </w:rPr>
        <w:t xml:space="preserve"> Share Record Date must be voted in favor of the special resolutions to be proposed at the extraordinary general meeting for them to be approved, assuming the shareholders holding 90% of the voting power of the total issued and outstanding Shares as of the</w:t>
      </w:r>
      <w:r>
        <w:rPr>
          <w:sz w:val="20"/>
          <w:szCs w:val="20"/>
        </w:rPr>
        <w:t xml:space="preserve"> Share Record Date will be present and voting in person or by proxy at the extraordinary general meeting; and (c) shareholders holding more than 80.03% of the voting power of the total issued and outstanding Shares as of the Share Record Date (including 53</w:t>
      </w:r>
      <w:r>
        <w:rPr>
          <w:sz w:val="20"/>
          <w:szCs w:val="20"/>
        </w:rPr>
        <w:t>.35% of the voting power held by the Rollover Shareholders) must be present and voting in person or by proxy at the extraordinary general meeting, such that the votes cast solely by the Rollover Shareholders will be insufficient to reach the two-thirds app</w:t>
      </w:r>
      <w:r>
        <w:rPr>
          <w:sz w:val="20"/>
          <w:szCs w:val="20"/>
        </w:rPr>
        <w:t>roval threshold for the special resolutions. In practice, with 53.35% of the voting power committed to vote in favor, it is unlikely that the Merger Agreement, the Plan of Merger, and the consummation of the Transactions will not be authorized and approved</w:t>
      </w:r>
      <w:r>
        <w:rPr>
          <w:sz w:val="20"/>
          <w:szCs w:val="20"/>
        </w:rPr>
        <w:t xml:space="preserve"> by the Company’s shareholders.</w:t>
      </w:r>
    </w:p>
    <w:p w14:paraId="05B6994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922FEB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An ordinary resolution of the shareholders of the Company to adjourn the extraordinary general meeting, if necessary, to allow the Company to solicit additional proxies in the event that there are insufficient proxies rece</w:t>
      </w:r>
      <w:r>
        <w:rPr>
          <w:sz w:val="20"/>
          <w:szCs w:val="20"/>
        </w:rPr>
        <w:t>ived at the time of the extraordinary general meeting to pass the special resolutions to be proposed at the extraordinary general meeting, requires the affirmative vote of holders of Shares representing a simple majority of the votes cast by such sharehold</w:t>
      </w:r>
      <w:r>
        <w:rPr>
          <w:sz w:val="20"/>
          <w:szCs w:val="20"/>
        </w:rPr>
        <w:t>ers as, being entitled to do so, vote in person or, where proxies are allowed, by proxy or, in the case of corporations, by their duly authorised representatives, as a single class at the extraordinary general meeting or any adjournment or postponement the</w:t>
      </w:r>
      <w:r>
        <w:rPr>
          <w:sz w:val="20"/>
          <w:szCs w:val="20"/>
        </w:rPr>
        <w:t>reof. Given the Rollover Shareholders’ shareholding as described above and assuming their compliance with their voting undertaking under the Support Agreement to vote all their Shares in favor of such ordinary resolution, based on the number of Shares expe</w:t>
      </w:r>
      <w:r>
        <w:rPr>
          <w:sz w:val="20"/>
          <w:szCs w:val="20"/>
        </w:rPr>
        <w:t>cted to be issued and outstanding on the Share Record Date, approval of the ordinary resolution will not require any affirmative votes from the Unaffiliated Security Holders.</w:t>
      </w:r>
    </w:p>
    <w:p w14:paraId="5E9204EC" w14:textId="77777777" w:rsidR="00000000" w:rsidRDefault="002F725F">
      <w:pPr>
        <w:pStyle w:val="NormalWeb"/>
        <w:spacing w:before="0" w:beforeAutospacing="0" w:after="0" w:afterAutospacing="0"/>
        <w:divId w:val="415980837"/>
        <w:rPr>
          <w:sz w:val="20"/>
          <w:szCs w:val="20"/>
        </w:rPr>
      </w:pPr>
      <w:r>
        <w:rPr>
          <w:sz w:val="20"/>
          <w:szCs w:val="20"/>
        </w:rPr>
        <w:t> </w:t>
      </w:r>
    </w:p>
    <w:p w14:paraId="22D3C128" w14:textId="77777777" w:rsidR="00000000" w:rsidRDefault="002F725F">
      <w:pPr>
        <w:pStyle w:val="NormalWeb"/>
        <w:spacing w:before="0" w:beforeAutospacing="0" w:after="0" w:afterAutospacing="0"/>
        <w:jc w:val="both"/>
        <w:divId w:val="415980837"/>
        <w:rPr>
          <w:sz w:val="20"/>
          <w:szCs w:val="20"/>
        </w:rPr>
      </w:pPr>
      <w:r>
        <w:rPr>
          <w:b/>
          <w:bCs/>
          <w:sz w:val="20"/>
          <w:szCs w:val="20"/>
        </w:rPr>
        <w:t>Purposes and Effects of the Merger (Pages 56 and 58)</w:t>
      </w:r>
    </w:p>
    <w:p w14:paraId="30A5D2D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495EAC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purpose of the Merger is to enable Parent to acquire 100% ownership and control of the Company in a transaction in which the Company’s registered shareholders, other than holders of the Excluded Shares and Dissenting Shares, will be cashed out in excha</w:t>
      </w:r>
      <w:r>
        <w:rPr>
          <w:sz w:val="20"/>
          <w:szCs w:val="20"/>
        </w:rPr>
        <w:t xml:space="preserve">nge for the Per Share Merger Consideration, so that Parent will bear the rewards and risks of the ownership of the Company after the Merger, including any future earnings and growth of the Company as a result of improvements to the Company’s operations or </w:t>
      </w:r>
      <w:r>
        <w:rPr>
          <w:sz w:val="20"/>
          <w:szCs w:val="20"/>
        </w:rPr>
        <w:t>acquisitions of other businesses. See “Special Factors—Purposes of and Reasons for the Merger” beginning on page 56 for additional information.</w:t>
      </w:r>
    </w:p>
    <w:p w14:paraId="665DA7DE" w14:textId="77777777" w:rsidR="00000000" w:rsidRDefault="002F725F">
      <w:pPr>
        <w:pStyle w:val="NormalWeb"/>
        <w:spacing w:before="0" w:beforeAutospacing="0" w:after="0" w:afterAutospacing="0"/>
        <w:divId w:val="415980837"/>
        <w:rPr>
          <w:sz w:val="20"/>
          <w:szCs w:val="20"/>
        </w:rPr>
      </w:pPr>
      <w:r>
        <w:rPr>
          <w:sz w:val="20"/>
          <w:szCs w:val="20"/>
        </w:rPr>
        <w:t> </w:t>
      </w:r>
    </w:p>
    <w:p w14:paraId="31FDD0F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Shares are currently listed for quotation on OTC Pink tier of the OTC Markets (“OTC Pink”) under the symbo</w:t>
      </w:r>
      <w:r>
        <w:rPr>
          <w:sz w:val="20"/>
          <w:szCs w:val="20"/>
        </w:rPr>
        <w:t>l “LSBCF”. The Company Warrants are currently listed for quotation on OTC Pink under the symbol “LSBWF”. Following the consummation of the Merger, the Company will cease to be a publicly traded company and will be a privately held company wholly owned by P</w:t>
      </w:r>
      <w:r>
        <w:rPr>
          <w:sz w:val="20"/>
          <w:szCs w:val="20"/>
        </w:rPr>
        <w:t>arent. Following the completion of the Merger, the Shares and Company Warrants will no longer be listed for quotation on any securities exchange or quotation system, including OTC Pink. See “Special Factors—Effects of the Merger on the Company” beginning o</w:t>
      </w:r>
      <w:r>
        <w:rPr>
          <w:sz w:val="20"/>
          <w:szCs w:val="20"/>
        </w:rPr>
        <w:t>n page 58 for additional information.</w:t>
      </w:r>
    </w:p>
    <w:p w14:paraId="71470526"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4C9D6616" w14:textId="77777777" w:rsidR="00000000" w:rsidRDefault="002F725F">
      <w:pPr>
        <w:pStyle w:val="NormalWeb"/>
        <w:spacing w:before="0" w:beforeAutospacing="0" w:after="0" w:afterAutospacing="0"/>
        <w:jc w:val="center"/>
        <w:divId w:val="1511407760"/>
        <w:rPr>
          <w:sz w:val="20"/>
          <w:szCs w:val="20"/>
        </w:rPr>
      </w:pPr>
      <w:r>
        <w:rPr>
          <w:sz w:val="20"/>
          <w:szCs w:val="20"/>
        </w:rPr>
        <w:t>5</w:t>
      </w:r>
    </w:p>
    <w:p w14:paraId="4D622765" w14:textId="77777777" w:rsidR="00000000" w:rsidRDefault="002F725F">
      <w:pPr>
        <w:pStyle w:val="NormalWeb"/>
        <w:spacing w:before="0" w:beforeAutospacing="0" w:after="0" w:afterAutospacing="0"/>
        <w:divId w:val="1869634496"/>
        <w:rPr>
          <w:sz w:val="20"/>
          <w:szCs w:val="20"/>
        </w:rPr>
      </w:pPr>
      <w:r>
        <w:rPr>
          <w:sz w:val="20"/>
          <w:szCs w:val="20"/>
        </w:rPr>
        <w:lastRenderedPageBreak/>
        <w:t> </w:t>
      </w:r>
    </w:p>
    <w:p w14:paraId="498E1985"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6B75D642" w14:textId="77777777" w:rsidR="00000000" w:rsidRDefault="002F725F">
      <w:pPr>
        <w:pStyle w:val="NormalWeb"/>
        <w:spacing w:before="0" w:beforeAutospacing="0" w:after="0" w:afterAutospacing="0"/>
        <w:jc w:val="both"/>
        <w:divId w:val="415980837"/>
        <w:rPr>
          <w:sz w:val="20"/>
          <w:szCs w:val="20"/>
        </w:rPr>
      </w:pPr>
      <w:r>
        <w:rPr>
          <w:b/>
          <w:bCs/>
          <w:sz w:val="20"/>
          <w:szCs w:val="20"/>
        </w:rPr>
        <w:t>Plans for the Company after the Merger (Page 62)</w:t>
      </w:r>
    </w:p>
    <w:p w14:paraId="22A9A51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12FAB7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Buyer Filing Persons anticipate that, after the Effective Time, the Company’s operations will be conducted substantially as they are currently being conduc</w:t>
      </w:r>
      <w:r>
        <w:rPr>
          <w:sz w:val="20"/>
          <w:szCs w:val="20"/>
        </w:rPr>
        <w:t>ted, except that the Company will cease to be a publicly traded company and will instead be a wholly owned subsidiary of Parent.</w:t>
      </w:r>
    </w:p>
    <w:p w14:paraId="7CD2BA77" w14:textId="77777777" w:rsidR="00000000" w:rsidRDefault="002F725F">
      <w:pPr>
        <w:pStyle w:val="NormalWeb"/>
        <w:spacing w:before="0" w:beforeAutospacing="0" w:after="0" w:afterAutospacing="0"/>
        <w:divId w:val="415980837"/>
        <w:rPr>
          <w:sz w:val="20"/>
          <w:szCs w:val="20"/>
        </w:rPr>
      </w:pPr>
      <w:r>
        <w:rPr>
          <w:sz w:val="20"/>
          <w:szCs w:val="20"/>
        </w:rPr>
        <w:t> </w:t>
      </w:r>
    </w:p>
    <w:p w14:paraId="3B48623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Following the completion of the Merger and the anticipated deregistration of the Shares and Company Warrants, the Company wil</w:t>
      </w:r>
      <w:r>
        <w:rPr>
          <w:sz w:val="20"/>
          <w:szCs w:val="20"/>
        </w:rPr>
        <w:t>l no longer be subject to the reporting requirements of the Exchange Act, or the compliance and reporting requirements of OTC Pink and the related direct and indirect costs and expenses.</w:t>
      </w:r>
    </w:p>
    <w:p w14:paraId="62EBA81F"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059DA18E" w14:textId="77777777" w:rsidR="00000000" w:rsidRDefault="002F725F">
      <w:pPr>
        <w:pStyle w:val="NormalWeb"/>
        <w:spacing w:before="0" w:beforeAutospacing="0" w:after="0" w:afterAutospacing="0"/>
        <w:jc w:val="both"/>
        <w:divId w:val="415980837"/>
        <w:rPr>
          <w:sz w:val="20"/>
          <w:szCs w:val="20"/>
        </w:rPr>
      </w:pPr>
      <w:r>
        <w:rPr>
          <w:b/>
          <w:bCs/>
          <w:sz w:val="20"/>
          <w:szCs w:val="20"/>
        </w:rPr>
        <w:t>Position of the Buyer Filing Persons as to the Fairness of the Merger (Page 35)</w:t>
      </w:r>
    </w:p>
    <w:p w14:paraId="0B4B747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8BFD5B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Each Buyer Filing Person believes that the Merger is fair, both substantively and procedurally, to the Company and its shareholders, other than shareholders who are affiliate</w:t>
      </w:r>
      <w:r>
        <w:rPr>
          <w:sz w:val="20"/>
          <w:szCs w:val="20"/>
        </w:rPr>
        <w:t>s of the Company and the holders of Excluded Shares (such unaffiliated shareholders are referred to herein as the “Unaffiliated Security Holders”). Their belief is based upon the factors discussed under the section entitled “Special Factors—Position of the</w:t>
      </w:r>
      <w:r>
        <w:rPr>
          <w:sz w:val="20"/>
          <w:szCs w:val="20"/>
        </w:rPr>
        <w:t xml:space="preserve"> Buyer Filing Persons as to the Fairness of the Merger” beginning on page 35.</w:t>
      </w:r>
    </w:p>
    <w:p w14:paraId="2275C6B0" w14:textId="77777777" w:rsidR="00000000" w:rsidRDefault="002F725F">
      <w:pPr>
        <w:pStyle w:val="NormalWeb"/>
        <w:spacing w:before="0" w:beforeAutospacing="0" w:after="0" w:afterAutospacing="0"/>
        <w:divId w:val="415980837"/>
        <w:rPr>
          <w:sz w:val="20"/>
          <w:szCs w:val="20"/>
        </w:rPr>
      </w:pPr>
      <w:r>
        <w:rPr>
          <w:sz w:val="20"/>
          <w:szCs w:val="20"/>
        </w:rPr>
        <w:t> </w:t>
      </w:r>
    </w:p>
    <w:p w14:paraId="1B540A2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Each Buyer Filing Person is making the statements included in this section solely for the purpose of complying with the requirements of Rule 13E-3 and related rules under the E</w:t>
      </w:r>
      <w:r>
        <w:rPr>
          <w:sz w:val="20"/>
          <w:szCs w:val="20"/>
        </w:rPr>
        <w:t>xchange Act. The views of each Buyer Filing Person as to the fairness of the Merger are not intended to be and should not be construed as a recommendation to any shareholder of the Company as to how that shareholder should vote on the proposal to authorize</w:t>
      </w:r>
      <w:r>
        <w:rPr>
          <w:sz w:val="20"/>
          <w:szCs w:val="20"/>
        </w:rPr>
        <w:t xml:space="preserve"> and approve the Merger Agreement, the Plan of Merger and the consummation of the Transactions, including the Merger.</w:t>
      </w:r>
    </w:p>
    <w:p w14:paraId="0217620D"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5619504F" w14:textId="77777777" w:rsidR="00000000" w:rsidRDefault="002F725F">
      <w:pPr>
        <w:pStyle w:val="NormalWeb"/>
        <w:spacing w:before="0" w:beforeAutospacing="0" w:after="0" w:afterAutospacing="0"/>
        <w:jc w:val="both"/>
        <w:divId w:val="415980837"/>
        <w:rPr>
          <w:sz w:val="20"/>
          <w:szCs w:val="20"/>
        </w:rPr>
      </w:pPr>
      <w:r>
        <w:rPr>
          <w:b/>
          <w:bCs/>
          <w:sz w:val="20"/>
          <w:szCs w:val="20"/>
        </w:rPr>
        <w:t>Financing of the Merger (Page 63)</w:t>
      </w:r>
    </w:p>
    <w:p w14:paraId="242ABA6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63DA16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and the Buyer Filing Persons estimate that the total amount of funds necessary to complete the Merger and the related transactions, excluding payment of fees and expenses in connection with the Merger, is anticipated to be approximately US$1.27</w:t>
      </w:r>
      <w:r>
        <w:rPr>
          <w:sz w:val="20"/>
          <w:szCs w:val="20"/>
        </w:rPr>
        <w:t xml:space="preserve"> million, assuming no exercise of dissenters’ rights by shareholders of the Company. In calculating this amount, the Company and the Buyer Filing Persons did not consider the value of the Excluded Shares, which will be cancelled for no consideration pursua</w:t>
      </w:r>
      <w:r>
        <w:rPr>
          <w:sz w:val="20"/>
          <w:szCs w:val="20"/>
        </w:rPr>
        <w:t>nt to the Merger Agreement.</w:t>
      </w:r>
    </w:p>
    <w:p w14:paraId="5566287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B2C1A1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Buyer Filing Persons expect this amount to be provided through cash contribution by Oceanpine Capital Inc. (the “Sponsor”), in accordance with the amended and restated equity commitment letter entered into by Parent with t</w:t>
      </w:r>
      <w:r>
        <w:rPr>
          <w:sz w:val="20"/>
          <w:szCs w:val="20"/>
        </w:rPr>
        <w:t>he Sponsor and the Company on April 29, 2026 (such equity commitment letter as may be further amended and restated from time to time, the “Equity Commitment Letter”), which amended and restated the equity commitment letter entered into by Parent with the S</w:t>
      </w:r>
      <w:r>
        <w:rPr>
          <w:sz w:val="20"/>
          <w:szCs w:val="20"/>
        </w:rPr>
        <w:t>ponsor, dated November 4, 2025 (the “Original Equity Commitment Letter”), in its entirety, pursuant to which the Sponsor has agreed, subject to the terms and conditions thereof, to provide or procure the provision of the necessary cash financing for the Tr</w:t>
      </w:r>
      <w:r>
        <w:rPr>
          <w:sz w:val="20"/>
          <w:szCs w:val="20"/>
        </w:rPr>
        <w:t>ansactions. See “Special Factors— Financing of the Merger” beginning on page 63 for additional information.</w:t>
      </w:r>
    </w:p>
    <w:p w14:paraId="75F2375A"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684264B7" w14:textId="77777777" w:rsidR="00000000" w:rsidRDefault="002F725F">
      <w:pPr>
        <w:pStyle w:val="NormalWeb"/>
        <w:spacing w:before="0" w:beforeAutospacing="0" w:after="0" w:afterAutospacing="0"/>
        <w:jc w:val="both"/>
        <w:divId w:val="415980837"/>
        <w:rPr>
          <w:sz w:val="20"/>
          <w:szCs w:val="20"/>
        </w:rPr>
      </w:pPr>
      <w:r>
        <w:rPr>
          <w:b/>
          <w:bCs/>
          <w:sz w:val="20"/>
          <w:szCs w:val="20"/>
        </w:rPr>
        <w:t>Support Agreement (Page 65)</w:t>
      </w:r>
    </w:p>
    <w:p w14:paraId="561EA56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0BC7A5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Concurrently with the execution of the Original Merger Agreement, each of the Rollover Shareholders and Parent enter</w:t>
      </w:r>
      <w:r>
        <w:rPr>
          <w:sz w:val="20"/>
          <w:szCs w:val="20"/>
        </w:rPr>
        <w:t>ed into certain rollover and support agreement dated November 4, 2025 (the “Original Support Agreement”). Concurrently with the execution of Amendment No. 1 to the Merger Agreement, each of the Rollover Shareholders, Parent and the Company entered into tha</w:t>
      </w:r>
      <w:r>
        <w:rPr>
          <w:sz w:val="20"/>
          <w:szCs w:val="20"/>
        </w:rPr>
        <w:t>t certain amended and restated rollover and support agreement dated April 29, 2026 (such rollover and support agreement as may be further amended and restated from time to time, the “Support Agreement”), which amended and restated the Original Support Agre</w:t>
      </w:r>
      <w:r>
        <w:rPr>
          <w:sz w:val="20"/>
          <w:szCs w:val="20"/>
        </w:rPr>
        <w:t>ement in its entirety.</w:t>
      </w:r>
    </w:p>
    <w:p w14:paraId="09AD791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F0AAD4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Pursuant to the Support Agreement, among other things, each Rollover Shareholder has agreed that (i) the Rollover Shares will be cancelled for no cash consideration in exchange for the right to receive newly issued ordinary shares </w:t>
      </w:r>
      <w:r>
        <w:rPr>
          <w:sz w:val="20"/>
          <w:szCs w:val="20"/>
        </w:rPr>
        <w:t xml:space="preserve">of Parent immediately prior to the closing of the Merger as set forth in the Support Agreement, and (ii) the </w:t>
      </w:r>
      <w:r>
        <w:rPr>
          <w:sz w:val="20"/>
          <w:szCs w:val="20"/>
        </w:rPr>
        <w:lastRenderedPageBreak/>
        <w:t xml:space="preserve">Rollover Shareholders will vote the Rollover Shares in favor of the authorization and approval of the Merger Agreement, the Plan of Merger and the </w:t>
      </w:r>
      <w:r>
        <w:rPr>
          <w:sz w:val="20"/>
          <w:szCs w:val="20"/>
        </w:rPr>
        <w:t>consummation of the Transactions including the Merger, in each case, upon the terms and conditions set forth therein. See “Special Factors—Support Agreement” beginning on page 65 for additional information.</w:t>
      </w:r>
    </w:p>
    <w:p w14:paraId="37A6AC20"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102622F7" w14:textId="77777777" w:rsidR="00000000" w:rsidRDefault="002F725F">
      <w:pPr>
        <w:pStyle w:val="NormalWeb"/>
        <w:spacing w:before="0" w:beforeAutospacing="0" w:after="0" w:afterAutospacing="0"/>
        <w:jc w:val="both"/>
        <w:divId w:val="415980837"/>
        <w:rPr>
          <w:sz w:val="20"/>
          <w:szCs w:val="20"/>
        </w:rPr>
      </w:pPr>
      <w:r>
        <w:rPr>
          <w:b/>
          <w:bCs/>
          <w:sz w:val="20"/>
          <w:szCs w:val="20"/>
        </w:rPr>
        <w:t>Limited Guarantee (Page 64)</w:t>
      </w:r>
    </w:p>
    <w:p w14:paraId="2218215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2C2F42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Concurrently with</w:t>
      </w:r>
      <w:r>
        <w:rPr>
          <w:sz w:val="20"/>
          <w:szCs w:val="20"/>
        </w:rPr>
        <w:t xml:space="preserve"> the execution and delivery of the Original Merger Agreement, the Sponsor executed and delivered a limited guarantee in favor of the Company dated November 4, 2025 (the “Original Limited Guarantee”). Concurrently with the execution and delivery of Amendmen</w:t>
      </w:r>
      <w:r>
        <w:rPr>
          <w:sz w:val="20"/>
          <w:szCs w:val="20"/>
        </w:rPr>
        <w:t>t No. 1 to the Merger Agreement, the Sponsor executed and delivered that certain amended and restated limited guarantee in favor of the Company dated April 29, 2026 (such limited guarantee as may be further amended and restated from time to time, the “Limi</w:t>
      </w:r>
      <w:r>
        <w:rPr>
          <w:sz w:val="20"/>
          <w:szCs w:val="20"/>
        </w:rPr>
        <w:t>ted Guarantee”), which amended and restated the Original Limited Guarantee in its entirety.</w:t>
      </w:r>
    </w:p>
    <w:p w14:paraId="5C1C1EF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DDD553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Pursuant to the Limited Guarantee, the Sponsor agrees to guarantee the payment obligations of Parent under the Merger Agreement for the Parent Termination Fee and</w:t>
      </w:r>
      <w:r>
        <w:rPr>
          <w:sz w:val="20"/>
          <w:szCs w:val="20"/>
        </w:rPr>
        <w:t xml:space="preserve"> certain cost and expenses that, in each case, may become payable to the Company by Parent under certain circumstances and subject to the terms and conditions as set forth in the Merger Agreement. See “Special Factors—Limited Guarantee” beginning on page 6</w:t>
      </w:r>
      <w:r>
        <w:rPr>
          <w:sz w:val="20"/>
          <w:szCs w:val="20"/>
        </w:rPr>
        <w:t>4 for additional information.</w:t>
      </w:r>
    </w:p>
    <w:p w14:paraId="6F1B8E4D"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0F2EFFF6" w14:textId="77777777" w:rsidR="00000000" w:rsidRDefault="002F725F">
      <w:pPr>
        <w:pStyle w:val="NormalWeb"/>
        <w:spacing w:before="0" w:beforeAutospacing="0" w:after="0" w:afterAutospacing="0"/>
        <w:jc w:val="center"/>
        <w:divId w:val="1894123020"/>
        <w:rPr>
          <w:sz w:val="20"/>
          <w:szCs w:val="20"/>
        </w:rPr>
      </w:pPr>
      <w:r>
        <w:rPr>
          <w:sz w:val="20"/>
          <w:szCs w:val="20"/>
        </w:rPr>
        <w:t>6</w:t>
      </w:r>
    </w:p>
    <w:p w14:paraId="191E27B5" w14:textId="77777777" w:rsidR="00000000" w:rsidRDefault="002F725F">
      <w:pPr>
        <w:pStyle w:val="NormalWeb"/>
        <w:spacing w:before="0" w:beforeAutospacing="0" w:after="0" w:afterAutospacing="0"/>
        <w:divId w:val="1910723566"/>
        <w:rPr>
          <w:sz w:val="20"/>
          <w:szCs w:val="20"/>
        </w:rPr>
      </w:pPr>
      <w:r>
        <w:rPr>
          <w:sz w:val="20"/>
          <w:szCs w:val="20"/>
        </w:rPr>
        <w:t> </w:t>
      </w:r>
    </w:p>
    <w:p w14:paraId="34E60C18"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786AB72D" w14:textId="77777777" w:rsidR="00000000" w:rsidRDefault="002F725F">
      <w:pPr>
        <w:pStyle w:val="NormalWeb"/>
        <w:spacing w:before="0" w:beforeAutospacing="0" w:after="0" w:afterAutospacing="0"/>
        <w:jc w:val="both"/>
        <w:divId w:val="415980837"/>
        <w:rPr>
          <w:sz w:val="20"/>
          <w:szCs w:val="20"/>
        </w:rPr>
      </w:pPr>
      <w:r>
        <w:rPr>
          <w:b/>
          <w:bCs/>
          <w:sz w:val="20"/>
          <w:szCs w:val="20"/>
        </w:rPr>
        <w:t>Interim Investors Agreement (Page 65)</w:t>
      </w:r>
    </w:p>
    <w:p w14:paraId="31023DF9" w14:textId="77777777" w:rsidR="00000000" w:rsidRDefault="002F725F">
      <w:pPr>
        <w:pStyle w:val="NormalWeb"/>
        <w:spacing w:before="0" w:beforeAutospacing="0" w:after="0" w:afterAutospacing="0"/>
        <w:ind w:firstLine="720"/>
        <w:jc w:val="both"/>
        <w:divId w:val="415980837"/>
        <w:rPr>
          <w:sz w:val="16"/>
          <w:szCs w:val="16"/>
        </w:rPr>
      </w:pPr>
      <w:r>
        <w:rPr>
          <w:sz w:val="16"/>
          <w:szCs w:val="16"/>
        </w:rPr>
        <w:t> </w:t>
      </w:r>
    </w:p>
    <w:p w14:paraId="3E10406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Concurrently with the execution and delivery of the Original Merger Agreement, the Rollover Shareholders, Parent and Merger Sub executed and delivered an interim investors agreem</w:t>
      </w:r>
      <w:r>
        <w:rPr>
          <w:sz w:val="20"/>
          <w:szCs w:val="20"/>
        </w:rPr>
        <w:t>ent (the “Interim Investors Agreement”), which governs the relationship among the parties thereto with respect to the Merger Agreement and matters relating thereto until the termination of the Merger Agreement or consummation of the Merger.</w:t>
      </w:r>
    </w:p>
    <w:p w14:paraId="1083FCE0" w14:textId="77777777" w:rsidR="00000000" w:rsidRDefault="002F725F">
      <w:pPr>
        <w:pStyle w:val="NormalWeb"/>
        <w:spacing w:before="0" w:beforeAutospacing="0" w:after="0" w:afterAutospacing="0"/>
        <w:jc w:val="both"/>
        <w:divId w:val="415980837"/>
        <w:rPr>
          <w:sz w:val="16"/>
          <w:szCs w:val="16"/>
        </w:rPr>
      </w:pPr>
      <w:r>
        <w:rPr>
          <w:sz w:val="16"/>
          <w:szCs w:val="16"/>
        </w:rPr>
        <w:t> </w:t>
      </w:r>
    </w:p>
    <w:p w14:paraId="3288D31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Interim I</w:t>
      </w:r>
      <w:r>
        <w:rPr>
          <w:sz w:val="20"/>
          <w:szCs w:val="20"/>
        </w:rPr>
        <w:t>nvestors Agreement provides for, among other things, subject to certain limitations or exceptions therein, (i) the mechanism for making decisions relating to the Merger Agreement and ancillary agreements pending consummation of the Merger, and (ii) the arr</w:t>
      </w:r>
      <w:r>
        <w:rPr>
          <w:sz w:val="20"/>
          <w:szCs w:val="20"/>
        </w:rPr>
        <w:t>angement for the sharing of certain fees and expenses among the Buyer Group. See “Special Factors —Interim Investors Agreement” beginning on page 65 for additional information.</w:t>
      </w:r>
    </w:p>
    <w:p w14:paraId="461748FD" w14:textId="77777777" w:rsidR="00000000" w:rsidRDefault="002F725F">
      <w:pPr>
        <w:pStyle w:val="NormalWeb"/>
        <w:spacing w:before="0" w:beforeAutospacing="0" w:after="0" w:afterAutospacing="0"/>
        <w:jc w:val="both"/>
        <w:divId w:val="415980837"/>
        <w:rPr>
          <w:sz w:val="16"/>
          <w:szCs w:val="16"/>
        </w:rPr>
      </w:pPr>
      <w:r>
        <w:rPr>
          <w:b/>
          <w:bCs/>
          <w:sz w:val="16"/>
          <w:szCs w:val="16"/>
        </w:rPr>
        <w:t> </w:t>
      </w:r>
    </w:p>
    <w:p w14:paraId="0657E2C3" w14:textId="77777777" w:rsidR="00000000" w:rsidRDefault="002F725F">
      <w:pPr>
        <w:pStyle w:val="NormalWeb"/>
        <w:spacing w:before="0" w:beforeAutospacing="0" w:after="0" w:afterAutospacing="0"/>
        <w:jc w:val="both"/>
        <w:divId w:val="415980837"/>
        <w:rPr>
          <w:sz w:val="20"/>
          <w:szCs w:val="20"/>
        </w:rPr>
      </w:pPr>
      <w:r>
        <w:rPr>
          <w:b/>
          <w:bCs/>
          <w:sz w:val="20"/>
          <w:szCs w:val="20"/>
        </w:rPr>
        <w:t xml:space="preserve">Opinions of the Special Committee’s </w:t>
      </w:r>
      <w:r>
        <w:rPr>
          <w:b/>
          <w:bCs/>
          <w:sz w:val="20"/>
          <w:szCs w:val="20"/>
        </w:rPr>
        <w:t>Financial Advisor (Page 41)</w:t>
      </w:r>
    </w:p>
    <w:p w14:paraId="74A305F0" w14:textId="77777777" w:rsidR="00000000" w:rsidRDefault="002F725F">
      <w:pPr>
        <w:pStyle w:val="NormalWeb"/>
        <w:spacing w:before="0" w:beforeAutospacing="0" w:after="0" w:afterAutospacing="0"/>
        <w:ind w:firstLine="720"/>
        <w:jc w:val="both"/>
        <w:divId w:val="415980837"/>
        <w:rPr>
          <w:sz w:val="16"/>
          <w:szCs w:val="16"/>
        </w:rPr>
      </w:pPr>
      <w:r>
        <w:rPr>
          <w:sz w:val="16"/>
          <w:szCs w:val="16"/>
        </w:rPr>
        <w:t> </w:t>
      </w:r>
    </w:p>
    <w:p w14:paraId="2D27C3B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Pursuant to an engagement letter dated September 9, 2025, as amended by that certain addendum to the engagement letter dated April 7, 2026 (the “D&amp;P Engagement Letter”), the Special Committee engaged Kroll LLC (“Duff &amp; Phelps”</w:t>
      </w:r>
      <w:r>
        <w:rPr>
          <w:sz w:val="20"/>
          <w:szCs w:val="20"/>
        </w:rPr>
        <w:t>), operating through its Duff &amp; Phelps Opinions Practice, to serve as its independent financial advisor and to provide a fairness opinion in connection with the Merger.</w:t>
      </w:r>
    </w:p>
    <w:p w14:paraId="698D3E17" w14:textId="77777777" w:rsidR="00000000" w:rsidRDefault="002F725F">
      <w:pPr>
        <w:pStyle w:val="NormalWeb"/>
        <w:spacing w:before="0" w:beforeAutospacing="0" w:after="0" w:afterAutospacing="0"/>
        <w:ind w:firstLine="720"/>
        <w:jc w:val="both"/>
        <w:divId w:val="415980837"/>
        <w:rPr>
          <w:sz w:val="16"/>
          <w:szCs w:val="16"/>
        </w:rPr>
      </w:pPr>
      <w:r>
        <w:rPr>
          <w:sz w:val="16"/>
          <w:szCs w:val="16"/>
        </w:rPr>
        <w:t> </w:t>
      </w:r>
    </w:p>
    <w:p w14:paraId="6A93F209" w14:textId="77777777" w:rsidR="00000000" w:rsidRDefault="002F725F">
      <w:pPr>
        <w:pStyle w:val="NormalWeb"/>
        <w:spacing w:before="0" w:beforeAutospacing="0" w:after="0" w:afterAutospacing="0"/>
        <w:ind w:firstLine="720"/>
        <w:jc w:val="both"/>
        <w:divId w:val="415980837"/>
        <w:rPr>
          <w:sz w:val="20"/>
          <w:szCs w:val="20"/>
        </w:rPr>
      </w:pPr>
      <w:r>
        <w:rPr>
          <w:i/>
          <w:iCs/>
          <w:sz w:val="20"/>
          <w:szCs w:val="20"/>
        </w:rPr>
        <w:t>Prior Opinion</w:t>
      </w:r>
    </w:p>
    <w:p w14:paraId="48B942DF" w14:textId="77777777" w:rsidR="00000000" w:rsidRDefault="002F725F">
      <w:pPr>
        <w:pStyle w:val="NormalWeb"/>
        <w:spacing w:before="0" w:beforeAutospacing="0" w:after="0" w:afterAutospacing="0"/>
        <w:ind w:firstLine="720"/>
        <w:jc w:val="both"/>
        <w:divId w:val="415980837"/>
        <w:rPr>
          <w:sz w:val="16"/>
          <w:szCs w:val="16"/>
        </w:rPr>
      </w:pPr>
      <w:r>
        <w:rPr>
          <w:sz w:val="16"/>
          <w:szCs w:val="16"/>
        </w:rPr>
        <w:t> </w:t>
      </w:r>
    </w:p>
    <w:p w14:paraId="06474BAB" w14:textId="77777777" w:rsidR="00000000" w:rsidRDefault="002F725F">
      <w:pPr>
        <w:pStyle w:val="NormalWeb"/>
        <w:spacing w:before="0" w:beforeAutospacing="0" w:after="0" w:afterAutospacing="0"/>
        <w:jc w:val="both"/>
        <w:divId w:val="415980837"/>
        <w:rPr>
          <w:sz w:val="20"/>
          <w:szCs w:val="20"/>
        </w:rPr>
      </w:pPr>
      <w:r>
        <w:rPr>
          <w:sz w:val="20"/>
          <w:szCs w:val="20"/>
        </w:rPr>
        <w:t>On November 4, 2025, Duff &amp; Phelps rendered its oral opinion (which w</w:t>
      </w:r>
      <w:r>
        <w:rPr>
          <w:sz w:val="20"/>
          <w:szCs w:val="20"/>
        </w:rPr>
        <w:t>as subsequently confirmed in writing by the delivery of Duff &amp; Phelps’ written opinion, dated as of November 4, 2025, addressed to the Special Committee) (the “Prior Opinion”) to the Special Committee, to the effect that, as of that date and based upon and</w:t>
      </w:r>
      <w:r>
        <w:rPr>
          <w:sz w:val="20"/>
          <w:szCs w:val="20"/>
        </w:rPr>
        <w:t xml:space="preserve"> subject to the procedures followed, assumptions made, factors and matters considered and qualifications and limitations on the review undertaken by Duff &amp; Phelps as set forth in its opinion, the per Share merger consideration of US$0.90 to be received by </w:t>
      </w:r>
      <w:r>
        <w:rPr>
          <w:sz w:val="20"/>
          <w:szCs w:val="20"/>
        </w:rPr>
        <w:t>the holders of Shares (other than the Excluded Shares and the Dissenting Shares) in the merger of Merger Sub with and into the Company pursuant to the Original Merger Agreement (the “Original Merger”), was fair, from a financial point of view, to such hold</w:t>
      </w:r>
      <w:r>
        <w:rPr>
          <w:sz w:val="20"/>
          <w:szCs w:val="20"/>
        </w:rPr>
        <w:t>ers (without giving effect to any impact of the Original Merger on any particular holder of Shares other than in their capacity as holders of Shares). The Prior Opinion and the financial analyses performed by Duff &amp; Phelps in connection with the Prior Opin</w:t>
      </w:r>
      <w:r>
        <w:rPr>
          <w:sz w:val="20"/>
          <w:szCs w:val="20"/>
        </w:rPr>
        <w:t xml:space="preserve">ion were based on the prior conditions at the time of their delivery and performance and were prepared taking into account of information, data, inputs and assumptions </w:t>
      </w:r>
      <w:r>
        <w:rPr>
          <w:sz w:val="20"/>
          <w:szCs w:val="20"/>
        </w:rPr>
        <w:lastRenderedPageBreak/>
        <w:t>that may have changed since their delivery and performance. The Prior Opinion and the fi</w:t>
      </w:r>
      <w:r>
        <w:rPr>
          <w:sz w:val="20"/>
          <w:szCs w:val="20"/>
        </w:rPr>
        <w:t xml:space="preserve">nancial analyses performed by Duff &amp; Phelps in connection with the Prior Opinion were superseded in their entirety by the opinion dated as of April 28, 2026 delivered by Duff &amp; Phelps to the Special Committee and the financial analyses performed by Duff &amp; </w:t>
      </w:r>
      <w:r>
        <w:rPr>
          <w:sz w:val="20"/>
          <w:szCs w:val="20"/>
        </w:rPr>
        <w:t>Phelps in connection with such opinion, respectively. See “Special Factors</w:t>
      </w:r>
      <w:r>
        <w:rPr>
          <w:sz w:val="20"/>
          <w:szCs w:val="20"/>
        </w:rPr>
        <w:t> </w:t>
      </w:r>
      <w:r>
        <w:rPr>
          <w:sz w:val="20"/>
          <w:szCs w:val="20"/>
        </w:rPr>
        <w:t>—</w:t>
      </w:r>
      <w:r>
        <w:rPr>
          <w:sz w:val="20"/>
          <w:szCs w:val="20"/>
        </w:rPr>
        <w:t> </w:t>
      </w:r>
      <w:r>
        <w:rPr>
          <w:sz w:val="20"/>
          <w:szCs w:val="20"/>
        </w:rPr>
        <w:t>Prior Opinion of the Special Committee’s Financial Advisor” beginning on page 41 for additional information.</w:t>
      </w:r>
    </w:p>
    <w:p w14:paraId="782E8CC0" w14:textId="77777777" w:rsidR="00000000" w:rsidRDefault="002F725F">
      <w:pPr>
        <w:pStyle w:val="NormalWeb"/>
        <w:spacing w:before="0" w:beforeAutospacing="0" w:after="0" w:afterAutospacing="0"/>
        <w:ind w:firstLine="720"/>
        <w:jc w:val="both"/>
        <w:divId w:val="415980837"/>
        <w:rPr>
          <w:sz w:val="16"/>
          <w:szCs w:val="16"/>
        </w:rPr>
      </w:pPr>
      <w:r>
        <w:rPr>
          <w:sz w:val="16"/>
          <w:szCs w:val="16"/>
        </w:rPr>
        <w:t> </w:t>
      </w:r>
    </w:p>
    <w:p w14:paraId="2CDA9358" w14:textId="77777777" w:rsidR="00000000" w:rsidRDefault="002F725F">
      <w:pPr>
        <w:pStyle w:val="NormalWeb"/>
        <w:spacing w:before="0" w:beforeAutospacing="0" w:after="0" w:afterAutospacing="0"/>
        <w:ind w:firstLine="720"/>
        <w:jc w:val="both"/>
        <w:divId w:val="415980837"/>
        <w:rPr>
          <w:sz w:val="20"/>
          <w:szCs w:val="20"/>
        </w:rPr>
      </w:pPr>
      <w:r>
        <w:rPr>
          <w:i/>
          <w:iCs/>
          <w:sz w:val="20"/>
          <w:szCs w:val="20"/>
        </w:rPr>
        <w:t>Opinion Dated April 28, 2026</w:t>
      </w:r>
    </w:p>
    <w:p w14:paraId="58535888" w14:textId="77777777" w:rsidR="00000000" w:rsidRDefault="002F725F">
      <w:pPr>
        <w:pStyle w:val="NormalWeb"/>
        <w:spacing w:before="0" w:beforeAutospacing="0" w:after="0" w:afterAutospacing="0"/>
        <w:ind w:firstLine="720"/>
        <w:jc w:val="both"/>
        <w:divId w:val="415980837"/>
        <w:rPr>
          <w:sz w:val="16"/>
          <w:szCs w:val="16"/>
        </w:rPr>
      </w:pPr>
      <w:r>
        <w:rPr>
          <w:sz w:val="16"/>
          <w:szCs w:val="16"/>
        </w:rPr>
        <w:t> </w:t>
      </w:r>
    </w:p>
    <w:p w14:paraId="107830C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April 28, 2026, Duff &amp; Phelps rend</w:t>
      </w:r>
      <w:r>
        <w:rPr>
          <w:sz w:val="20"/>
          <w:szCs w:val="20"/>
        </w:rPr>
        <w:t>ered its oral opinion (which was subsequently confirmed in writing by the delivery of Duff &amp; Phelps’ written opinion, dated as of April 28, 2026, addressed to the Special Committee) to the Special Committee, to the effect that, as of that date and based up</w:t>
      </w:r>
      <w:r>
        <w:rPr>
          <w:sz w:val="20"/>
          <w:szCs w:val="20"/>
        </w:rPr>
        <w:t>on and subject to the procedures followed, assumptions made, factors and matters considered and qualifications and limitations on the review undertaken by Duff &amp; Phelps as set forth in its opinion, the Per Share Merger Consideration to be received by the h</w:t>
      </w:r>
      <w:r>
        <w:rPr>
          <w:sz w:val="20"/>
          <w:szCs w:val="20"/>
        </w:rPr>
        <w:t>olders of Shares (other than the Excluded Shares and the Dissenting Shares) in the Merger, was fair, from a financial point of view, to such holders (without giving effect to any impact of the Merger on any particular holder of Shares other than in their c</w:t>
      </w:r>
      <w:r>
        <w:rPr>
          <w:sz w:val="20"/>
          <w:szCs w:val="20"/>
        </w:rPr>
        <w:t>apacity as holders of Shares).</w:t>
      </w:r>
    </w:p>
    <w:p w14:paraId="6DF3EDD3" w14:textId="77777777" w:rsidR="00000000" w:rsidRDefault="002F725F">
      <w:pPr>
        <w:pStyle w:val="NormalWeb"/>
        <w:spacing w:before="0" w:beforeAutospacing="0" w:after="0" w:afterAutospacing="0"/>
        <w:ind w:firstLine="720"/>
        <w:jc w:val="both"/>
        <w:divId w:val="415980837"/>
        <w:rPr>
          <w:sz w:val="16"/>
          <w:szCs w:val="16"/>
        </w:rPr>
      </w:pPr>
      <w:r>
        <w:rPr>
          <w:sz w:val="16"/>
          <w:szCs w:val="16"/>
        </w:rPr>
        <w:t> </w:t>
      </w:r>
    </w:p>
    <w:p w14:paraId="41F7A5F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opinion of Duff &amp; Phelps was addressed to the Special Committee and only addressed the fairness from a financial point of view of the Per Share Merger Consideration to be received by holders of Shares (other than the Ex</w:t>
      </w:r>
      <w:r>
        <w:rPr>
          <w:sz w:val="20"/>
          <w:szCs w:val="20"/>
        </w:rPr>
        <w:t>cluded Shares and the Dissenting Shares) in the Merger, and does not address any other aspect or implication of the Merger. The summary of the opinion of Duff &amp; Phelps in this proxy statement is qualified in its entirety by reference to the full text of it</w:t>
      </w:r>
      <w:r>
        <w:rPr>
          <w:sz w:val="20"/>
          <w:szCs w:val="20"/>
        </w:rPr>
        <w:t>s written opinion, which is included as Annex C to this proxy statement and sets forth the procedures followed, assumptions made, factors and matters considered and qualifications and limitations on the review undertaken by Duff &amp; Phelps in preparing its o</w:t>
      </w:r>
      <w:r>
        <w:rPr>
          <w:sz w:val="20"/>
          <w:szCs w:val="20"/>
        </w:rPr>
        <w:t>pinion. We encourage holders of Shares to read carefully the full text of the written opinion of Duff &amp; Phelps. However, the opinion of Duff &amp; Phelps, the summary of the opinion and the related analyses set forth in this proxy statement are not intended to</w:t>
      </w:r>
      <w:r>
        <w:rPr>
          <w:sz w:val="20"/>
          <w:szCs w:val="20"/>
        </w:rPr>
        <w:t xml:space="preserve"> be, and do not constitute, advice or a recommendation to any shareholder, of the Company as to how to act or vote with respect to the Merger or any other matter. See “Special Factors—Opinion of the Special Committee’s Financial Advisor dated April 28, 202</w:t>
      </w:r>
      <w:r>
        <w:rPr>
          <w:sz w:val="20"/>
          <w:szCs w:val="20"/>
        </w:rPr>
        <w:t>6” beginning on page 48 for additional information.</w:t>
      </w:r>
    </w:p>
    <w:p w14:paraId="54A61D23" w14:textId="77777777" w:rsidR="00000000" w:rsidRDefault="002F725F">
      <w:pPr>
        <w:pStyle w:val="NormalWeb"/>
        <w:spacing w:before="0" w:beforeAutospacing="0" w:after="0" w:afterAutospacing="0"/>
        <w:jc w:val="both"/>
        <w:divId w:val="415980837"/>
        <w:rPr>
          <w:sz w:val="16"/>
          <w:szCs w:val="16"/>
        </w:rPr>
      </w:pPr>
      <w:r>
        <w:rPr>
          <w:b/>
          <w:bCs/>
          <w:sz w:val="16"/>
          <w:szCs w:val="16"/>
        </w:rPr>
        <w:t> </w:t>
      </w:r>
    </w:p>
    <w:p w14:paraId="03B8BAF5" w14:textId="77777777" w:rsidR="00000000" w:rsidRDefault="002F725F">
      <w:pPr>
        <w:pStyle w:val="NormalWeb"/>
        <w:spacing w:before="0" w:beforeAutospacing="0" w:after="0" w:afterAutospacing="0"/>
        <w:jc w:val="both"/>
        <w:divId w:val="415980837"/>
        <w:rPr>
          <w:sz w:val="20"/>
          <w:szCs w:val="20"/>
        </w:rPr>
      </w:pPr>
      <w:r>
        <w:rPr>
          <w:b/>
          <w:bCs/>
          <w:sz w:val="20"/>
          <w:szCs w:val="20"/>
        </w:rPr>
        <w:t>Interests of the Company’s Executive Officers and Directors in the Merger (Page 66)</w:t>
      </w:r>
    </w:p>
    <w:p w14:paraId="60E90A6A" w14:textId="77777777" w:rsidR="00000000" w:rsidRDefault="002F725F">
      <w:pPr>
        <w:pStyle w:val="NormalWeb"/>
        <w:spacing w:before="0" w:beforeAutospacing="0" w:after="0" w:afterAutospacing="0"/>
        <w:ind w:firstLine="720"/>
        <w:jc w:val="both"/>
        <w:divId w:val="415980837"/>
        <w:rPr>
          <w:sz w:val="16"/>
          <w:szCs w:val="16"/>
        </w:rPr>
      </w:pPr>
      <w:r>
        <w:rPr>
          <w:sz w:val="16"/>
          <w:szCs w:val="16"/>
        </w:rPr>
        <w:t> </w:t>
      </w:r>
    </w:p>
    <w:p w14:paraId="6741744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In considering the recommendation of the Special Committee and the Board, the Company’s registered shareholders shou</w:t>
      </w:r>
      <w:r>
        <w:rPr>
          <w:sz w:val="20"/>
          <w:szCs w:val="20"/>
        </w:rPr>
        <w:t>ld be aware that certain of the Company’s directors and executive officers have interests in the Transactions that are different from, and/or in addition to, the interests of the Company’s registered shareholders generally. These interests include:</w:t>
      </w:r>
    </w:p>
    <w:p w14:paraId="5517881C" w14:textId="77777777" w:rsidR="00000000" w:rsidRDefault="002F725F">
      <w:pPr>
        <w:pStyle w:val="NormalWeb"/>
        <w:spacing w:before="0" w:beforeAutospacing="0" w:after="0" w:afterAutospacing="0"/>
        <w:ind w:left="1080" w:hanging="360"/>
        <w:jc w:val="both"/>
        <w:divId w:val="415980837"/>
        <w:rPr>
          <w:sz w:val="16"/>
          <w:szCs w:val="16"/>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CB253FE" w14:textId="77777777">
        <w:trPr>
          <w:divId w:val="415980837"/>
          <w:tblCellSpacing w:w="0" w:type="dxa"/>
        </w:trPr>
        <w:tc>
          <w:tcPr>
            <w:tcW w:w="720" w:type="dxa"/>
            <w:hideMark/>
          </w:tcPr>
          <w:p w14:paraId="02CD87B9" w14:textId="77777777" w:rsidR="00000000" w:rsidRDefault="002F725F">
            <w:pPr>
              <w:rPr>
                <w:sz w:val="16"/>
                <w:szCs w:val="16"/>
              </w:rPr>
            </w:pPr>
          </w:p>
        </w:tc>
        <w:tc>
          <w:tcPr>
            <w:tcW w:w="360" w:type="dxa"/>
            <w:hideMark/>
          </w:tcPr>
          <w:p w14:paraId="21DC66C0" w14:textId="77777777" w:rsidR="00000000" w:rsidRDefault="002F725F">
            <w:pPr>
              <w:rPr>
                <w:rFonts w:eastAsia="Times New Roman"/>
                <w:sz w:val="20"/>
                <w:szCs w:val="20"/>
              </w:rPr>
            </w:pPr>
            <w:r>
              <w:rPr>
                <w:rFonts w:eastAsia="Times New Roman"/>
                <w:sz w:val="20"/>
                <w:szCs w:val="20"/>
              </w:rPr>
              <w:t>●</w:t>
            </w:r>
          </w:p>
        </w:tc>
        <w:tc>
          <w:tcPr>
            <w:tcW w:w="0" w:type="auto"/>
            <w:hideMark/>
          </w:tcPr>
          <w:p w14:paraId="1F5EA37A" w14:textId="77777777" w:rsidR="00000000" w:rsidRDefault="002F725F">
            <w:pPr>
              <w:jc w:val="both"/>
              <w:rPr>
                <w:rFonts w:eastAsia="Times New Roman"/>
                <w:sz w:val="20"/>
                <w:szCs w:val="20"/>
              </w:rPr>
            </w:pPr>
            <w:r>
              <w:rPr>
                <w:rFonts w:eastAsia="Times New Roman"/>
                <w:sz w:val="20"/>
                <w:szCs w:val="20"/>
              </w:rPr>
              <w:t>th</w:t>
            </w:r>
            <w:r>
              <w:rPr>
                <w:rFonts w:eastAsia="Times New Roman"/>
                <w:sz w:val="20"/>
                <w:szCs w:val="20"/>
              </w:rPr>
              <w:t>e assumption by Parent of certain outstanding Company Options held by Mr. Xu Wang (director of the Board and chief executive officer of the Company), Ms. Rui (Rachel) Yu (director of the Board and chief financial officer of the Company) and Dr. Honggang Te</w:t>
            </w:r>
            <w:r>
              <w:rPr>
                <w:rFonts w:eastAsia="Times New Roman"/>
                <w:sz w:val="20"/>
                <w:szCs w:val="20"/>
              </w:rPr>
              <w:t>ng (head of production and quality management of the Company), as a result of which such executive officers will continue to hold a beneficial interest in the Surviving Company and be able to enjoy the benefits from future earnings and growth of the Surviv</w:t>
            </w:r>
            <w:r>
              <w:rPr>
                <w:rFonts w:eastAsia="Times New Roman"/>
                <w:sz w:val="20"/>
                <w:szCs w:val="20"/>
              </w:rPr>
              <w:t>ing Company after the completion of the Merger;</w:t>
            </w:r>
          </w:p>
        </w:tc>
      </w:tr>
    </w:tbl>
    <w:p w14:paraId="304CF47E" w14:textId="77777777" w:rsidR="00000000" w:rsidRDefault="002F725F">
      <w:pPr>
        <w:pStyle w:val="NormalWeb"/>
        <w:spacing w:before="0" w:beforeAutospacing="0" w:after="0" w:afterAutospacing="0"/>
        <w:jc w:val="both"/>
        <w:divId w:val="415980837"/>
        <w:rPr>
          <w:sz w:val="16"/>
          <w:szCs w:val="16"/>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7409392" w14:textId="77777777">
        <w:trPr>
          <w:divId w:val="415980837"/>
          <w:tblCellSpacing w:w="0" w:type="dxa"/>
        </w:trPr>
        <w:tc>
          <w:tcPr>
            <w:tcW w:w="720" w:type="dxa"/>
            <w:hideMark/>
          </w:tcPr>
          <w:p w14:paraId="134C489D" w14:textId="77777777" w:rsidR="00000000" w:rsidRDefault="002F725F">
            <w:pPr>
              <w:rPr>
                <w:sz w:val="16"/>
                <w:szCs w:val="16"/>
              </w:rPr>
            </w:pPr>
          </w:p>
        </w:tc>
        <w:tc>
          <w:tcPr>
            <w:tcW w:w="360" w:type="dxa"/>
            <w:hideMark/>
          </w:tcPr>
          <w:p w14:paraId="708A6368" w14:textId="77777777" w:rsidR="00000000" w:rsidRDefault="002F725F">
            <w:pPr>
              <w:rPr>
                <w:rFonts w:eastAsia="Times New Roman"/>
                <w:sz w:val="20"/>
                <w:szCs w:val="20"/>
              </w:rPr>
            </w:pPr>
            <w:r>
              <w:rPr>
                <w:rFonts w:eastAsia="Times New Roman"/>
                <w:sz w:val="20"/>
                <w:szCs w:val="20"/>
              </w:rPr>
              <w:t>●</w:t>
            </w:r>
          </w:p>
        </w:tc>
        <w:tc>
          <w:tcPr>
            <w:tcW w:w="0" w:type="auto"/>
            <w:hideMark/>
          </w:tcPr>
          <w:p w14:paraId="08148BB7" w14:textId="77777777" w:rsidR="00000000" w:rsidRDefault="002F725F">
            <w:pPr>
              <w:jc w:val="both"/>
              <w:rPr>
                <w:rFonts w:eastAsia="Times New Roman"/>
                <w:sz w:val="20"/>
                <w:szCs w:val="20"/>
              </w:rPr>
            </w:pPr>
            <w:r>
              <w:rPr>
                <w:rFonts w:eastAsia="Times New Roman"/>
                <w:sz w:val="20"/>
                <w:szCs w:val="20"/>
              </w:rPr>
              <w:t>continued indemnification rights, rights to advancement of fees and directors and officers liability insurance, which will continue to be provided to the existing directors and officers of the Company following the completion of the Merger. See “The Merger</w:t>
            </w:r>
            <w:r>
              <w:rPr>
                <w:rFonts w:eastAsia="Times New Roman"/>
                <w:sz w:val="20"/>
                <w:szCs w:val="20"/>
              </w:rPr>
              <w:t xml:space="preserve"> Agreement—Directors’ and Officers’ Indemnification and Insurance” of this proxy statement;</w:t>
            </w:r>
          </w:p>
        </w:tc>
      </w:tr>
    </w:tbl>
    <w:p w14:paraId="236A0256" w14:textId="77777777" w:rsidR="00000000" w:rsidRDefault="002F725F">
      <w:pPr>
        <w:pStyle w:val="NormalWeb"/>
        <w:spacing w:before="0" w:beforeAutospacing="0" w:after="0" w:afterAutospacing="0"/>
        <w:ind w:left="1080" w:hanging="360"/>
        <w:jc w:val="both"/>
        <w:divId w:val="415980837"/>
        <w:rPr>
          <w:sz w:val="16"/>
          <w:szCs w:val="16"/>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BB9500B" w14:textId="77777777">
        <w:trPr>
          <w:divId w:val="415980837"/>
          <w:tblCellSpacing w:w="0" w:type="dxa"/>
        </w:trPr>
        <w:tc>
          <w:tcPr>
            <w:tcW w:w="720" w:type="dxa"/>
            <w:hideMark/>
          </w:tcPr>
          <w:p w14:paraId="34E85CDB" w14:textId="77777777" w:rsidR="00000000" w:rsidRDefault="002F725F">
            <w:pPr>
              <w:rPr>
                <w:sz w:val="16"/>
                <w:szCs w:val="16"/>
              </w:rPr>
            </w:pPr>
          </w:p>
        </w:tc>
        <w:tc>
          <w:tcPr>
            <w:tcW w:w="360" w:type="dxa"/>
            <w:hideMark/>
          </w:tcPr>
          <w:p w14:paraId="513F1F90" w14:textId="77777777" w:rsidR="00000000" w:rsidRDefault="002F725F">
            <w:pPr>
              <w:rPr>
                <w:rFonts w:eastAsia="Times New Roman"/>
                <w:sz w:val="20"/>
                <w:szCs w:val="20"/>
              </w:rPr>
            </w:pPr>
            <w:r>
              <w:rPr>
                <w:rFonts w:eastAsia="Times New Roman"/>
                <w:sz w:val="20"/>
                <w:szCs w:val="20"/>
              </w:rPr>
              <w:t>●</w:t>
            </w:r>
          </w:p>
        </w:tc>
        <w:tc>
          <w:tcPr>
            <w:tcW w:w="0" w:type="auto"/>
            <w:hideMark/>
          </w:tcPr>
          <w:p w14:paraId="7DAAC7A0" w14:textId="77777777" w:rsidR="00000000" w:rsidRDefault="002F725F">
            <w:pPr>
              <w:jc w:val="both"/>
              <w:rPr>
                <w:rFonts w:eastAsia="Times New Roman"/>
                <w:sz w:val="20"/>
                <w:szCs w:val="20"/>
              </w:rPr>
            </w:pPr>
            <w:r>
              <w:rPr>
                <w:rFonts w:eastAsia="Times New Roman"/>
                <w:sz w:val="20"/>
                <w:szCs w:val="20"/>
              </w:rPr>
              <w:t xml:space="preserve">the compensation at a rate of (i) US$13,334 per month prior to November 4, 2025, the date of the Original Merger Agreement, or US$10,000 per month thereafter </w:t>
            </w:r>
            <w:r>
              <w:rPr>
                <w:rFonts w:eastAsia="Times New Roman"/>
                <w:sz w:val="20"/>
                <w:szCs w:val="20"/>
              </w:rPr>
              <w:t>(up to a maximum amount of US$58,335), and US$10,000 per month for April and May 2026, for the chairperson of the Special Committee, and (ii) US$10,000 per month prior to November 4, 2025 or US$6,250 per month thereafter (up to a maximum amount of US$40,62</w:t>
            </w:r>
            <w:r>
              <w:rPr>
                <w:rFonts w:eastAsia="Times New Roman"/>
                <w:sz w:val="20"/>
                <w:szCs w:val="20"/>
              </w:rPr>
              <w:t>5), and US$6,250 per month for April and May 2026, for each of the other members of the Special Committee, respectively, in exchange for each member’s services in such capacity (the payment of which is not contingent upon the closing of the Merger or the S</w:t>
            </w:r>
            <w:r>
              <w:rPr>
                <w:rFonts w:eastAsia="Times New Roman"/>
                <w:sz w:val="20"/>
                <w:szCs w:val="20"/>
              </w:rPr>
              <w:t>pecial Committee’s or the Board’s recommendation of the Merger); and</w:t>
            </w:r>
          </w:p>
        </w:tc>
      </w:tr>
    </w:tbl>
    <w:p w14:paraId="2F4086D8" w14:textId="77777777" w:rsidR="00000000" w:rsidRDefault="002F725F">
      <w:pPr>
        <w:pStyle w:val="NormalWeb"/>
        <w:spacing w:before="0" w:beforeAutospacing="0" w:after="0" w:afterAutospacing="0"/>
        <w:jc w:val="center"/>
        <w:divId w:val="483933269"/>
        <w:rPr>
          <w:sz w:val="20"/>
          <w:szCs w:val="20"/>
        </w:rPr>
      </w:pPr>
      <w:r>
        <w:rPr>
          <w:sz w:val="20"/>
          <w:szCs w:val="20"/>
        </w:rPr>
        <w:lastRenderedPageBreak/>
        <w:t>7</w:t>
      </w:r>
    </w:p>
    <w:p w14:paraId="5981E5EF" w14:textId="77777777" w:rsidR="00000000" w:rsidRDefault="002F725F">
      <w:pPr>
        <w:pStyle w:val="NormalWeb"/>
        <w:spacing w:before="0" w:beforeAutospacing="0" w:after="0" w:afterAutospacing="0"/>
        <w:divId w:val="323289443"/>
        <w:rPr>
          <w:sz w:val="20"/>
          <w:szCs w:val="20"/>
        </w:rPr>
      </w:pPr>
      <w:r>
        <w:rPr>
          <w:sz w:val="20"/>
          <w:szCs w:val="20"/>
        </w:rPr>
        <w:t> </w:t>
      </w:r>
    </w:p>
    <w:p w14:paraId="675ED704"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E72E19C" w14:textId="77777777">
        <w:trPr>
          <w:divId w:val="415980837"/>
          <w:tblCellSpacing w:w="0" w:type="dxa"/>
        </w:trPr>
        <w:tc>
          <w:tcPr>
            <w:tcW w:w="720" w:type="dxa"/>
            <w:hideMark/>
          </w:tcPr>
          <w:p w14:paraId="3C6BA273" w14:textId="77777777" w:rsidR="00000000" w:rsidRDefault="002F725F">
            <w:pPr>
              <w:rPr>
                <w:sz w:val="20"/>
                <w:szCs w:val="20"/>
              </w:rPr>
            </w:pPr>
          </w:p>
        </w:tc>
        <w:tc>
          <w:tcPr>
            <w:tcW w:w="360" w:type="dxa"/>
            <w:hideMark/>
          </w:tcPr>
          <w:p w14:paraId="0843E222" w14:textId="77777777" w:rsidR="00000000" w:rsidRDefault="002F725F">
            <w:pPr>
              <w:rPr>
                <w:rFonts w:eastAsia="Times New Roman"/>
                <w:sz w:val="20"/>
                <w:szCs w:val="20"/>
              </w:rPr>
            </w:pPr>
            <w:r>
              <w:rPr>
                <w:rFonts w:eastAsia="Times New Roman"/>
                <w:sz w:val="20"/>
                <w:szCs w:val="20"/>
              </w:rPr>
              <w:t>●</w:t>
            </w:r>
          </w:p>
        </w:tc>
        <w:tc>
          <w:tcPr>
            <w:tcW w:w="0" w:type="auto"/>
            <w:hideMark/>
          </w:tcPr>
          <w:p w14:paraId="2F46E95A" w14:textId="77777777" w:rsidR="00000000" w:rsidRDefault="002F725F">
            <w:pPr>
              <w:jc w:val="both"/>
              <w:rPr>
                <w:rFonts w:eastAsia="Times New Roman"/>
                <w:sz w:val="20"/>
                <w:szCs w:val="20"/>
              </w:rPr>
            </w:pPr>
            <w:r>
              <w:rPr>
                <w:rFonts w:eastAsia="Times New Roman"/>
                <w:sz w:val="20"/>
                <w:szCs w:val="20"/>
              </w:rPr>
              <w:t xml:space="preserve">the expected continuation of service of the executive officers of the Company with the Surviving Company in positions that are substantially similar to their current positions, </w:t>
            </w:r>
            <w:r>
              <w:rPr>
                <w:rFonts w:eastAsia="Times New Roman"/>
                <w:sz w:val="20"/>
                <w:szCs w:val="20"/>
              </w:rPr>
              <w:t>allowing them to benefit from remuneration arrangements with the Surviving Company.</w:t>
            </w:r>
          </w:p>
        </w:tc>
      </w:tr>
    </w:tbl>
    <w:p w14:paraId="2845F531"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p w14:paraId="1EDC124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Special Committee and </w:t>
      </w:r>
      <w:r>
        <w:rPr>
          <w:sz w:val="20"/>
          <w:szCs w:val="20"/>
        </w:rPr>
        <w:t>the Board were aware of these potential conflicts of interest and considered them, among other matters, in reaching their decisions and recommendations with respect to the Merger Agreement and related matters. See “Special Factors—Interests of Certain Pers</w:t>
      </w:r>
      <w:r>
        <w:rPr>
          <w:sz w:val="20"/>
          <w:szCs w:val="20"/>
        </w:rPr>
        <w:t>ons in the Merger” beginning on page 66 for additional information.</w:t>
      </w:r>
    </w:p>
    <w:p w14:paraId="7BB5C71E"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07A4B2E0" w14:textId="77777777" w:rsidR="00000000" w:rsidRDefault="002F725F">
      <w:pPr>
        <w:pStyle w:val="NormalWeb"/>
        <w:spacing w:before="0" w:beforeAutospacing="0" w:after="0" w:afterAutospacing="0"/>
        <w:jc w:val="both"/>
        <w:divId w:val="415980837"/>
        <w:rPr>
          <w:sz w:val="20"/>
          <w:szCs w:val="20"/>
        </w:rPr>
      </w:pPr>
      <w:r>
        <w:rPr>
          <w:b/>
          <w:bCs/>
          <w:sz w:val="20"/>
          <w:szCs w:val="20"/>
        </w:rPr>
        <w:t>Conditions to the Merger (Page 93)</w:t>
      </w:r>
    </w:p>
    <w:p w14:paraId="546F014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191130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respective obligations of the Company, Parent and Merger Sub to consummate the Merger are subject to the satisfaction of the following conditions</w:t>
      </w:r>
      <w:r>
        <w:rPr>
          <w:sz w:val="20"/>
          <w:szCs w:val="20"/>
        </w:rPr>
        <w:t>:</w:t>
      </w:r>
    </w:p>
    <w:p w14:paraId="7594C923"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E78F54F" w14:textId="77777777">
        <w:trPr>
          <w:divId w:val="415980837"/>
          <w:tblCellSpacing w:w="0" w:type="dxa"/>
        </w:trPr>
        <w:tc>
          <w:tcPr>
            <w:tcW w:w="720" w:type="dxa"/>
            <w:hideMark/>
          </w:tcPr>
          <w:p w14:paraId="67F547BD" w14:textId="77777777" w:rsidR="00000000" w:rsidRDefault="002F725F">
            <w:pPr>
              <w:rPr>
                <w:sz w:val="20"/>
                <w:szCs w:val="20"/>
              </w:rPr>
            </w:pPr>
          </w:p>
        </w:tc>
        <w:tc>
          <w:tcPr>
            <w:tcW w:w="360" w:type="dxa"/>
            <w:hideMark/>
          </w:tcPr>
          <w:p w14:paraId="47CDF999" w14:textId="77777777" w:rsidR="00000000" w:rsidRDefault="002F725F">
            <w:pPr>
              <w:rPr>
                <w:rFonts w:eastAsia="Times New Roman"/>
                <w:sz w:val="20"/>
                <w:szCs w:val="20"/>
              </w:rPr>
            </w:pPr>
            <w:r>
              <w:rPr>
                <w:rFonts w:eastAsia="Times New Roman"/>
                <w:sz w:val="20"/>
                <w:szCs w:val="20"/>
              </w:rPr>
              <w:t>●</w:t>
            </w:r>
          </w:p>
        </w:tc>
        <w:tc>
          <w:tcPr>
            <w:tcW w:w="0" w:type="auto"/>
            <w:hideMark/>
          </w:tcPr>
          <w:p w14:paraId="43ED378D" w14:textId="77777777" w:rsidR="00000000" w:rsidRDefault="002F725F">
            <w:pPr>
              <w:jc w:val="both"/>
              <w:rPr>
                <w:rFonts w:eastAsia="Times New Roman"/>
                <w:sz w:val="20"/>
                <w:szCs w:val="20"/>
              </w:rPr>
            </w:pPr>
            <w:r>
              <w:rPr>
                <w:rFonts w:eastAsia="Times New Roman"/>
                <w:sz w:val="20"/>
                <w:szCs w:val="20"/>
              </w:rPr>
              <w:t>a special resolution (as defined in the Cayman Islands Companies Act) of the shareholders of the Company, passed by not less than two-thirds of the votes cast by the holders of Shares as being entitled to do so to approve and authorize the Merger Ag</w:t>
            </w:r>
            <w:r>
              <w:rPr>
                <w:rFonts w:eastAsia="Times New Roman"/>
                <w:sz w:val="20"/>
                <w:szCs w:val="20"/>
              </w:rPr>
              <w:t>reement, the Plan of Merger and the consummation of the Transactions, in accordance with the Cayman Islands Companies Act and the Company’s articles of association, at a general meeting of the Company of which notice specifying the intention to propose thi</w:t>
            </w:r>
            <w:r>
              <w:rPr>
                <w:rFonts w:eastAsia="Times New Roman"/>
                <w:sz w:val="20"/>
                <w:szCs w:val="20"/>
              </w:rPr>
              <w:t>s resolution as a special resolution has been duly given (the “Company Shareholder Approval”) having been obtained; and</w:t>
            </w:r>
          </w:p>
        </w:tc>
      </w:tr>
    </w:tbl>
    <w:p w14:paraId="0167D6C8"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4A620F0" w14:textId="77777777">
        <w:trPr>
          <w:divId w:val="415980837"/>
          <w:tblCellSpacing w:w="0" w:type="dxa"/>
        </w:trPr>
        <w:tc>
          <w:tcPr>
            <w:tcW w:w="720" w:type="dxa"/>
            <w:hideMark/>
          </w:tcPr>
          <w:p w14:paraId="07A76C89" w14:textId="77777777" w:rsidR="00000000" w:rsidRDefault="002F725F">
            <w:pPr>
              <w:rPr>
                <w:sz w:val="20"/>
                <w:szCs w:val="20"/>
              </w:rPr>
            </w:pPr>
          </w:p>
        </w:tc>
        <w:tc>
          <w:tcPr>
            <w:tcW w:w="360" w:type="dxa"/>
            <w:hideMark/>
          </w:tcPr>
          <w:p w14:paraId="3CFB67E3" w14:textId="77777777" w:rsidR="00000000" w:rsidRDefault="002F725F">
            <w:pPr>
              <w:rPr>
                <w:rFonts w:eastAsia="Times New Roman"/>
                <w:sz w:val="20"/>
                <w:szCs w:val="20"/>
              </w:rPr>
            </w:pPr>
            <w:r>
              <w:rPr>
                <w:rFonts w:eastAsia="Times New Roman"/>
                <w:sz w:val="20"/>
                <w:szCs w:val="20"/>
              </w:rPr>
              <w:t>●</w:t>
            </w:r>
          </w:p>
        </w:tc>
        <w:tc>
          <w:tcPr>
            <w:tcW w:w="0" w:type="auto"/>
            <w:hideMark/>
          </w:tcPr>
          <w:p w14:paraId="13CD4393" w14:textId="77777777" w:rsidR="00000000" w:rsidRDefault="002F725F">
            <w:pPr>
              <w:jc w:val="both"/>
              <w:rPr>
                <w:rFonts w:eastAsia="Times New Roman"/>
                <w:sz w:val="20"/>
                <w:szCs w:val="20"/>
              </w:rPr>
            </w:pPr>
            <w:r>
              <w:rPr>
                <w:rFonts w:eastAsia="Times New Roman"/>
                <w:sz w:val="20"/>
                <w:szCs w:val="20"/>
              </w:rPr>
              <w:t xml:space="preserve">no governmental entity of any competent jurisdiction having enacted, issued, promulgated, enforced or entered any order or law or </w:t>
            </w:r>
            <w:r>
              <w:rPr>
                <w:rFonts w:eastAsia="Times New Roman"/>
                <w:sz w:val="20"/>
                <w:szCs w:val="20"/>
              </w:rPr>
              <w:t>taken any other action which is then in effect (whether temporary, preliminary or permanent) and has the effect of enjoining, restraining, prohibiting or otherwise making illegal the consummation of the Transactions.</w:t>
            </w:r>
          </w:p>
        </w:tc>
      </w:tr>
    </w:tbl>
    <w:p w14:paraId="344A7C6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893D78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obligations of Parent and Merger</w:t>
      </w:r>
      <w:r>
        <w:rPr>
          <w:sz w:val="20"/>
          <w:szCs w:val="20"/>
        </w:rPr>
        <w:t xml:space="preserve"> Sub to effect the Merger are also subject to the satisfaction or waiver by Parent and Merger Sub of the following conditions:</w:t>
      </w:r>
    </w:p>
    <w:p w14:paraId="4AC155C0"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3E5B948" w14:textId="77777777">
        <w:trPr>
          <w:divId w:val="415980837"/>
          <w:tblCellSpacing w:w="0" w:type="dxa"/>
        </w:trPr>
        <w:tc>
          <w:tcPr>
            <w:tcW w:w="720" w:type="dxa"/>
            <w:hideMark/>
          </w:tcPr>
          <w:p w14:paraId="7603878E" w14:textId="77777777" w:rsidR="00000000" w:rsidRDefault="002F725F">
            <w:pPr>
              <w:rPr>
                <w:sz w:val="20"/>
                <w:szCs w:val="20"/>
              </w:rPr>
            </w:pPr>
          </w:p>
        </w:tc>
        <w:tc>
          <w:tcPr>
            <w:tcW w:w="360" w:type="dxa"/>
            <w:hideMark/>
          </w:tcPr>
          <w:p w14:paraId="00744681" w14:textId="77777777" w:rsidR="00000000" w:rsidRDefault="002F725F">
            <w:pPr>
              <w:rPr>
                <w:rFonts w:eastAsia="Times New Roman"/>
                <w:sz w:val="20"/>
                <w:szCs w:val="20"/>
              </w:rPr>
            </w:pPr>
            <w:r>
              <w:rPr>
                <w:rFonts w:eastAsia="Times New Roman"/>
                <w:sz w:val="20"/>
                <w:szCs w:val="20"/>
              </w:rPr>
              <w:t>●</w:t>
            </w:r>
          </w:p>
        </w:tc>
        <w:tc>
          <w:tcPr>
            <w:tcW w:w="0" w:type="auto"/>
            <w:hideMark/>
          </w:tcPr>
          <w:p w14:paraId="07C17658" w14:textId="77777777" w:rsidR="00000000" w:rsidRDefault="002F725F">
            <w:pPr>
              <w:jc w:val="both"/>
              <w:rPr>
                <w:rFonts w:eastAsia="Times New Roman"/>
                <w:sz w:val="20"/>
                <w:szCs w:val="20"/>
              </w:rPr>
            </w:pPr>
            <w:r>
              <w:rPr>
                <w:rFonts w:eastAsia="Times New Roman"/>
                <w:sz w:val="20"/>
                <w:szCs w:val="20"/>
              </w:rPr>
              <w:t>(i) the representations and warranties of the Company relating to corporate organization, capitalization, authorization relative to the Merger Agreement, absence of Company Material Adverse Effect (as defined below), and brokers or finders being true and c</w:t>
            </w:r>
            <w:r>
              <w:rPr>
                <w:rFonts w:eastAsia="Times New Roman"/>
                <w:sz w:val="20"/>
                <w:szCs w:val="20"/>
              </w:rPr>
              <w:t xml:space="preserve">orrect in all respects (except, for </w:t>
            </w:r>
            <w:r>
              <w:rPr>
                <w:rFonts w:eastAsia="Times New Roman"/>
                <w:i/>
                <w:iCs/>
                <w:sz w:val="20"/>
                <w:szCs w:val="20"/>
              </w:rPr>
              <w:t>de minimis</w:t>
            </w:r>
            <w:r>
              <w:rPr>
                <w:rFonts w:eastAsia="Times New Roman"/>
                <w:sz w:val="20"/>
                <w:szCs w:val="20"/>
              </w:rPr>
              <w:t xml:space="preserve"> inaccuracies) as of the date of the Original Merger Agreement and as of the closing date, as though made on and as of such date and time (except to the extent expressly made as of an earlier date, in which cas</w:t>
            </w:r>
            <w:r>
              <w:rPr>
                <w:rFonts w:eastAsia="Times New Roman"/>
                <w:sz w:val="20"/>
                <w:szCs w:val="20"/>
              </w:rPr>
              <w:t>e as of such earlier date), and (ii) the other representations and warranties of the Company in the Merger Agreement (disregarding any limitation as to “materiality” or “Company Material Adverse Effect”) being true and correct in all respects as of the dat</w:t>
            </w:r>
            <w:r>
              <w:rPr>
                <w:rFonts w:eastAsia="Times New Roman"/>
                <w:sz w:val="20"/>
                <w:szCs w:val="20"/>
              </w:rPr>
              <w:t>e of the Original Merger Agreement and as of the closing date, as though made on and as of such date and time (other than those representations and warranties that address matters only as of a particular date or only with respect to a specific period of ti</w:t>
            </w:r>
            <w:r>
              <w:rPr>
                <w:rFonts w:eastAsia="Times New Roman"/>
                <w:sz w:val="20"/>
                <w:szCs w:val="20"/>
              </w:rPr>
              <w:t>me, which need only be true and correct as of such date or with respect to such period), except to the extent such failures to be true and correct, individually or in the aggregate, has not had and would not reasonably be expected to have a Company Materia</w:t>
            </w:r>
            <w:r>
              <w:rPr>
                <w:rFonts w:eastAsia="Times New Roman"/>
                <w:sz w:val="20"/>
                <w:szCs w:val="20"/>
              </w:rPr>
              <w:t>l Adverse Effect;</w:t>
            </w:r>
          </w:p>
        </w:tc>
      </w:tr>
    </w:tbl>
    <w:p w14:paraId="3F01BDAF"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F5F34F0" w14:textId="77777777">
        <w:trPr>
          <w:divId w:val="415980837"/>
          <w:tblCellSpacing w:w="0" w:type="dxa"/>
        </w:trPr>
        <w:tc>
          <w:tcPr>
            <w:tcW w:w="720" w:type="dxa"/>
            <w:hideMark/>
          </w:tcPr>
          <w:p w14:paraId="40D6BF73" w14:textId="77777777" w:rsidR="00000000" w:rsidRDefault="002F725F">
            <w:pPr>
              <w:rPr>
                <w:sz w:val="20"/>
                <w:szCs w:val="20"/>
              </w:rPr>
            </w:pPr>
          </w:p>
        </w:tc>
        <w:tc>
          <w:tcPr>
            <w:tcW w:w="360" w:type="dxa"/>
            <w:hideMark/>
          </w:tcPr>
          <w:p w14:paraId="097B6AE8" w14:textId="77777777" w:rsidR="00000000" w:rsidRDefault="002F725F">
            <w:pPr>
              <w:rPr>
                <w:rFonts w:eastAsia="Times New Roman"/>
                <w:sz w:val="20"/>
                <w:szCs w:val="20"/>
              </w:rPr>
            </w:pPr>
            <w:r>
              <w:rPr>
                <w:rFonts w:eastAsia="Times New Roman"/>
                <w:sz w:val="20"/>
                <w:szCs w:val="20"/>
              </w:rPr>
              <w:t>●</w:t>
            </w:r>
          </w:p>
        </w:tc>
        <w:tc>
          <w:tcPr>
            <w:tcW w:w="0" w:type="auto"/>
            <w:hideMark/>
          </w:tcPr>
          <w:p w14:paraId="5EC10EBC" w14:textId="77777777" w:rsidR="00000000" w:rsidRDefault="002F725F">
            <w:pPr>
              <w:jc w:val="both"/>
              <w:rPr>
                <w:rFonts w:eastAsia="Times New Roman"/>
                <w:sz w:val="20"/>
                <w:szCs w:val="20"/>
              </w:rPr>
            </w:pPr>
            <w:r>
              <w:rPr>
                <w:rFonts w:eastAsia="Times New Roman"/>
                <w:sz w:val="20"/>
                <w:szCs w:val="20"/>
              </w:rPr>
              <w:t>the Company having performed or complied in all material respects with all obligations and covenants required to be performed or complied with by it under the Merger Agreement at or prior to the closing ;</w:t>
            </w:r>
          </w:p>
        </w:tc>
      </w:tr>
    </w:tbl>
    <w:p w14:paraId="727EB194"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01542F1" w14:textId="77777777">
        <w:trPr>
          <w:divId w:val="415980837"/>
          <w:tblCellSpacing w:w="0" w:type="dxa"/>
        </w:trPr>
        <w:tc>
          <w:tcPr>
            <w:tcW w:w="720" w:type="dxa"/>
            <w:hideMark/>
          </w:tcPr>
          <w:p w14:paraId="016F652B" w14:textId="77777777" w:rsidR="00000000" w:rsidRDefault="002F725F">
            <w:pPr>
              <w:rPr>
                <w:sz w:val="20"/>
                <w:szCs w:val="20"/>
              </w:rPr>
            </w:pPr>
          </w:p>
        </w:tc>
        <w:tc>
          <w:tcPr>
            <w:tcW w:w="360" w:type="dxa"/>
            <w:hideMark/>
          </w:tcPr>
          <w:p w14:paraId="2988D367" w14:textId="77777777" w:rsidR="00000000" w:rsidRDefault="002F725F">
            <w:pPr>
              <w:rPr>
                <w:rFonts w:eastAsia="Times New Roman"/>
                <w:sz w:val="20"/>
                <w:szCs w:val="20"/>
              </w:rPr>
            </w:pPr>
            <w:r>
              <w:rPr>
                <w:rFonts w:eastAsia="Times New Roman"/>
                <w:sz w:val="20"/>
                <w:szCs w:val="20"/>
              </w:rPr>
              <w:t>●</w:t>
            </w:r>
          </w:p>
        </w:tc>
        <w:tc>
          <w:tcPr>
            <w:tcW w:w="0" w:type="auto"/>
            <w:hideMark/>
          </w:tcPr>
          <w:p w14:paraId="0122D36A" w14:textId="77777777" w:rsidR="00000000" w:rsidRDefault="002F725F">
            <w:pPr>
              <w:jc w:val="both"/>
              <w:rPr>
                <w:rFonts w:eastAsia="Times New Roman"/>
                <w:sz w:val="20"/>
                <w:szCs w:val="20"/>
              </w:rPr>
            </w:pPr>
            <w:r>
              <w:rPr>
                <w:rFonts w:eastAsia="Times New Roman"/>
                <w:sz w:val="20"/>
                <w:szCs w:val="20"/>
              </w:rPr>
              <w:t>no Company Material A</w:t>
            </w:r>
            <w:r>
              <w:rPr>
                <w:rFonts w:eastAsia="Times New Roman"/>
                <w:sz w:val="20"/>
                <w:szCs w:val="20"/>
              </w:rPr>
              <w:t>dverse Effect having occurred and continuing following the date of the Original Merger Agreement; and</w:t>
            </w:r>
          </w:p>
        </w:tc>
      </w:tr>
    </w:tbl>
    <w:p w14:paraId="3AB5E6F0"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F1D385C" w14:textId="77777777">
        <w:trPr>
          <w:divId w:val="415980837"/>
          <w:tblCellSpacing w:w="0" w:type="dxa"/>
        </w:trPr>
        <w:tc>
          <w:tcPr>
            <w:tcW w:w="720" w:type="dxa"/>
            <w:hideMark/>
          </w:tcPr>
          <w:p w14:paraId="6F69688A" w14:textId="77777777" w:rsidR="00000000" w:rsidRDefault="002F725F">
            <w:pPr>
              <w:rPr>
                <w:sz w:val="20"/>
                <w:szCs w:val="20"/>
              </w:rPr>
            </w:pPr>
          </w:p>
        </w:tc>
        <w:tc>
          <w:tcPr>
            <w:tcW w:w="360" w:type="dxa"/>
            <w:hideMark/>
          </w:tcPr>
          <w:p w14:paraId="39DC70CB" w14:textId="77777777" w:rsidR="00000000" w:rsidRDefault="002F725F">
            <w:pPr>
              <w:rPr>
                <w:rFonts w:eastAsia="Times New Roman"/>
                <w:sz w:val="20"/>
                <w:szCs w:val="20"/>
              </w:rPr>
            </w:pPr>
            <w:r>
              <w:rPr>
                <w:rFonts w:eastAsia="Times New Roman"/>
                <w:sz w:val="20"/>
                <w:szCs w:val="20"/>
              </w:rPr>
              <w:t>●</w:t>
            </w:r>
          </w:p>
        </w:tc>
        <w:tc>
          <w:tcPr>
            <w:tcW w:w="0" w:type="auto"/>
            <w:hideMark/>
          </w:tcPr>
          <w:p w14:paraId="58DFDC8F" w14:textId="77777777" w:rsidR="00000000" w:rsidRDefault="002F725F">
            <w:pPr>
              <w:jc w:val="both"/>
              <w:rPr>
                <w:rFonts w:eastAsia="Times New Roman"/>
                <w:sz w:val="20"/>
                <w:szCs w:val="20"/>
              </w:rPr>
            </w:pPr>
            <w:r>
              <w:rPr>
                <w:rFonts w:eastAsia="Times New Roman"/>
                <w:sz w:val="20"/>
                <w:szCs w:val="20"/>
              </w:rPr>
              <w:t xml:space="preserve">the Company having delivered to Parent a certificate, dated as of the closing date, signed by a senior executive officer of the Company, certifying </w:t>
            </w:r>
            <w:r>
              <w:rPr>
                <w:rFonts w:eastAsia="Times New Roman"/>
                <w:sz w:val="20"/>
                <w:szCs w:val="20"/>
              </w:rPr>
              <w:t>to the satisfaction of the conditions above.</w:t>
            </w:r>
          </w:p>
        </w:tc>
      </w:tr>
    </w:tbl>
    <w:p w14:paraId="3F07F62B"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F7B93CF" w14:textId="77777777" w:rsidR="00000000" w:rsidRDefault="002F725F">
      <w:pPr>
        <w:pStyle w:val="NormalWeb"/>
        <w:spacing w:before="0" w:beforeAutospacing="0" w:after="0" w:afterAutospacing="0"/>
        <w:jc w:val="center"/>
        <w:divId w:val="1976255785"/>
        <w:rPr>
          <w:sz w:val="20"/>
          <w:szCs w:val="20"/>
        </w:rPr>
      </w:pPr>
      <w:r>
        <w:rPr>
          <w:sz w:val="20"/>
          <w:szCs w:val="20"/>
        </w:rPr>
        <w:t>8</w:t>
      </w:r>
    </w:p>
    <w:p w14:paraId="32E22AEA" w14:textId="77777777" w:rsidR="00000000" w:rsidRDefault="002F725F">
      <w:pPr>
        <w:pStyle w:val="NormalWeb"/>
        <w:spacing w:before="0" w:beforeAutospacing="0" w:after="0" w:afterAutospacing="0"/>
        <w:divId w:val="1649936463"/>
        <w:rPr>
          <w:sz w:val="20"/>
          <w:szCs w:val="20"/>
        </w:rPr>
      </w:pPr>
      <w:r>
        <w:rPr>
          <w:sz w:val="20"/>
          <w:szCs w:val="20"/>
        </w:rPr>
        <w:t> </w:t>
      </w:r>
    </w:p>
    <w:p w14:paraId="29952E1F"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B17304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obligations of Company </w:t>
      </w:r>
      <w:r>
        <w:rPr>
          <w:sz w:val="20"/>
          <w:szCs w:val="20"/>
        </w:rPr>
        <w:t>to effect the Merger are also subject to the satisfaction or waiver by Company of the following conditions :</w:t>
      </w:r>
    </w:p>
    <w:p w14:paraId="23A50065"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4F27C10" w14:textId="77777777">
        <w:trPr>
          <w:divId w:val="415980837"/>
          <w:tblCellSpacing w:w="0" w:type="dxa"/>
        </w:trPr>
        <w:tc>
          <w:tcPr>
            <w:tcW w:w="720" w:type="dxa"/>
            <w:hideMark/>
          </w:tcPr>
          <w:p w14:paraId="0C0CF74A" w14:textId="77777777" w:rsidR="00000000" w:rsidRDefault="002F725F">
            <w:pPr>
              <w:rPr>
                <w:sz w:val="20"/>
                <w:szCs w:val="20"/>
              </w:rPr>
            </w:pPr>
          </w:p>
        </w:tc>
        <w:tc>
          <w:tcPr>
            <w:tcW w:w="360" w:type="dxa"/>
            <w:hideMark/>
          </w:tcPr>
          <w:p w14:paraId="68778821" w14:textId="77777777" w:rsidR="00000000" w:rsidRDefault="002F725F">
            <w:pPr>
              <w:rPr>
                <w:rFonts w:eastAsia="Times New Roman"/>
                <w:sz w:val="20"/>
                <w:szCs w:val="20"/>
              </w:rPr>
            </w:pPr>
            <w:r>
              <w:rPr>
                <w:rFonts w:eastAsia="Times New Roman"/>
                <w:sz w:val="20"/>
                <w:szCs w:val="20"/>
              </w:rPr>
              <w:t>●</w:t>
            </w:r>
          </w:p>
        </w:tc>
        <w:tc>
          <w:tcPr>
            <w:tcW w:w="0" w:type="auto"/>
            <w:hideMark/>
          </w:tcPr>
          <w:p w14:paraId="4CAE474F" w14:textId="77777777" w:rsidR="00000000" w:rsidRDefault="002F725F">
            <w:pPr>
              <w:jc w:val="both"/>
              <w:rPr>
                <w:rFonts w:eastAsia="Times New Roman"/>
                <w:sz w:val="20"/>
                <w:szCs w:val="20"/>
              </w:rPr>
            </w:pPr>
            <w:r>
              <w:rPr>
                <w:rFonts w:eastAsia="Times New Roman"/>
                <w:sz w:val="20"/>
                <w:szCs w:val="20"/>
              </w:rPr>
              <w:t>the representations and warranties of each of Parent and Merger Sub in the Merger Agreement being true and correct as of the date of the Origi</w:t>
            </w:r>
            <w:r>
              <w:rPr>
                <w:rFonts w:eastAsia="Times New Roman"/>
                <w:sz w:val="20"/>
                <w:szCs w:val="20"/>
              </w:rPr>
              <w:t xml:space="preserve">nal Merger Agreement or the date of Amendment No. 1 to the Merger Agreement, as applicable, and as of the closing date, as though made on such date and time (other than those representations and warranties that address matters only as of a particular date </w:t>
            </w:r>
            <w:r>
              <w:rPr>
                <w:rFonts w:eastAsia="Times New Roman"/>
                <w:sz w:val="20"/>
                <w:szCs w:val="20"/>
              </w:rPr>
              <w:t>or only with respect to a specific period of time, which need only be true and correct as of such date or with respect to such period), except where the failure of such representations and warranties of Parent or Merger Sub to be so true and correct (witho</w:t>
            </w:r>
            <w:r>
              <w:rPr>
                <w:rFonts w:eastAsia="Times New Roman"/>
                <w:sz w:val="20"/>
                <w:szCs w:val="20"/>
              </w:rPr>
              <w:t>ut giving effect to any limitation as to “materiality” or “Parent Material Adverse Effect” (as defined below)), would not individually or in the aggregate, have a Parent Material Adverse Effect;</w:t>
            </w:r>
          </w:p>
        </w:tc>
      </w:tr>
    </w:tbl>
    <w:p w14:paraId="758E4DE5"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12C5FFB" w14:textId="77777777">
        <w:trPr>
          <w:divId w:val="415980837"/>
          <w:tblCellSpacing w:w="0" w:type="dxa"/>
        </w:trPr>
        <w:tc>
          <w:tcPr>
            <w:tcW w:w="720" w:type="dxa"/>
            <w:hideMark/>
          </w:tcPr>
          <w:p w14:paraId="6F4F5375" w14:textId="77777777" w:rsidR="00000000" w:rsidRDefault="002F725F">
            <w:pPr>
              <w:rPr>
                <w:sz w:val="20"/>
                <w:szCs w:val="20"/>
              </w:rPr>
            </w:pPr>
          </w:p>
        </w:tc>
        <w:tc>
          <w:tcPr>
            <w:tcW w:w="360" w:type="dxa"/>
            <w:hideMark/>
          </w:tcPr>
          <w:p w14:paraId="5141A6B7" w14:textId="77777777" w:rsidR="00000000" w:rsidRDefault="002F725F">
            <w:pPr>
              <w:rPr>
                <w:rFonts w:eastAsia="Times New Roman"/>
                <w:sz w:val="20"/>
                <w:szCs w:val="20"/>
              </w:rPr>
            </w:pPr>
            <w:r>
              <w:rPr>
                <w:rFonts w:eastAsia="Times New Roman"/>
                <w:sz w:val="20"/>
                <w:szCs w:val="20"/>
              </w:rPr>
              <w:t>●</w:t>
            </w:r>
          </w:p>
        </w:tc>
        <w:tc>
          <w:tcPr>
            <w:tcW w:w="0" w:type="auto"/>
            <w:hideMark/>
          </w:tcPr>
          <w:p w14:paraId="5EA59405" w14:textId="77777777" w:rsidR="00000000" w:rsidRDefault="002F725F">
            <w:pPr>
              <w:jc w:val="both"/>
              <w:rPr>
                <w:rFonts w:eastAsia="Times New Roman"/>
                <w:sz w:val="20"/>
                <w:szCs w:val="20"/>
              </w:rPr>
            </w:pPr>
            <w:r>
              <w:rPr>
                <w:rFonts w:eastAsia="Times New Roman"/>
                <w:sz w:val="20"/>
                <w:szCs w:val="20"/>
              </w:rPr>
              <w:t>Parent and Merger Sub having performed or complied in a</w:t>
            </w:r>
            <w:r>
              <w:rPr>
                <w:rFonts w:eastAsia="Times New Roman"/>
                <w:sz w:val="20"/>
                <w:szCs w:val="20"/>
              </w:rPr>
              <w:t>ll material respects with all obligations and covenants required by the Merger Agreement to be performed or complied with by it at or prior to the closing; and</w:t>
            </w:r>
          </w:p>
        </w:tc>
      </w:tr>
    </w:tbl>
    <w:p w14:paraId="6E6AE3B1"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CC823A2" w14:textId="77777777">
        <w:trPr>
          <w:divId w:val="415980837"/>
          <w:tblCellSpacing w:w="0" w:type="dxa"/>
        </w:trPr>
        <w:tc>
          <w:tcPr>
            <w:tcW w:w="720" w:type="dxa"/>
            <w:hideMark/>
          </w:tcPr>
          <w:p w14:paraId="15ADF065" w14:textId="77777777" w:rsidR="00000000" w:rsidRDefault="002F725F">
            <w:pPr>
              <w:rPr>
                <w:sz w:val="20"/>
                <w:szCs w:val="20"/>
              </w:rPr>
            </w:pPr>
          </w:p>
        </w:tc>
        <w:tc>
          <w:tcPr>
            <w:tcW w:w="360" w:type="dxa"/>
            <w:hideMark/>
          </w:tcPr>
          <w:p w14:paraId="4CEC062B" w14:textId="77777777" w:rsidR="00000000" w:rsidRDefault="002F725F">
            <w:pPr>
              <w:rPr>
                <w:rFonts w:eastAsia="Times New Roman"/>
                <w:sz w:val="20"/>
                <w:szCs w:val="20"/>
              </w:rPr>
            </w:pPr>
            <w:r>
              <w:rPr>
                <w:rFonts w:eastAsia="Times New Roman"/>
                <w:sz w:val="20"/>
                <w:szCs w:val="20"/>
              </w:rPr>
              <w:t>●</w:t>
            </w:r>
          </w:p>
        </w:tc>
        <w:tc>
          <w:tcPr>
            <w:tcW w:w="0" w:type="auto"/>
            <w:hideMark/>
          </w:tcPr>
          <w:p w14:paraId="15B5714C" w14:textId="77777777" w:rsidR="00000000" w:rsidRDefault="002F725F">
            <w:pPr>
              <w:jc w:val="both"/>
              <w:rPr>
                <w:rFonts w:eastAsia="Times New Roman"/>
                <w:sz w:val="20"/>
                <w:szCs w:val="20"/>
              </w:rPr>
            </w:pPr>
            <w:r>
              <w:rPr>
                <w:rFonts w:eastAsia="Times New Roman"/>
                <w:sz w:val="20"/>
                <w:szCs w:val="20"/>
              </w:rPr>
              <w:t>Parent and Merger Sub having delivered to the Company a certificate, dated as of the closing date, signed by a director of each of Parent and Merger Sub, as the case may be, certifying as to the satisfaction of the conditions above.</w:t>
            </w:r>
          </w:p>
        </w:tc>
      </w:tr>
    </w:tbl>
    <w:p w14:paraId="550BF27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660A4C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terms “</w:t>
      </w:r>
      <w:r>
        <w:rPr>
          <w:sz w:val="20"/>
          <w:szCs w:val="20"/>
        </w:rPr>
        <w:t>Company Material Adverse Effect” and “Parent Material Adverse Effect” have the meanings ascribed to them in the section entitled “The Merger Agreement” beginning on page 82.</w:t>
      </w:r>
    </w:p>
    <w:p w14:paraId="049F3ED1"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6C399271" w14:textId="77777777" w:rsidR="00000000" w:rsidRDefault="002F725F">
      <w:pPr>
        <w:pStyle w:val="NormalWeb"/>
        <w:spacing w:before="0" w:beforeAutospacing="0" w:after="0" w:afterAutospacing="0"/>
        <w:jc w:val="both"/>
        <w:divId w:val="415980837"/>
        <w:rPr>
          <w:sz w:val="20"/>
          <w:szCs w:val="20"/>
        </w:rPr>
      </w:pPr>
      <w:r>
        <w:rPr>
          <w:b/>
          <w:bCs/>
          <w:sz w:val="20"/>
          <w:szCs w:val="20"/>
        </w:rPr>
        <w:t>Termination of the Merger Agreement (Page 94)</w:t>
      </w:r>
    </w:p>
    <w:p w14:paraId="77B3F3EE" w14:textId="77777777" w:rsidR="00000000" w:rsidRDefault="002F725F">
      <w:pPr>
        <w:pStyle w:val="NormalWeb"/>
        <w:spacing w:before="0" w:beforeAutospacing="0" w:after="0" w:afterAutospacing="0"/>
        <w:ind w:firstLine="720"/>
        <w:jc w:val="right"/>
        <w:divId w:val="415980837"/>
        <w:rPr>
          <w:sz w:val="20"/>
          <w:szCs w:val="20"/>
        </w:rPr>
      </w:pPr>
      <w:r>
        <w:rPr>
          <w:sz w:val="20"/>
          <w:szCs w:val="20"/>
        </w:rPr>
        <w:t> </w:t>
      </w:r>
    </w:p>
    <w:p w14:paraId="4DA1ED7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(acting at the direc</w:t>
      </w:r>
      <w:r>
        <w:rPr>
          <w:sz w:val="20"/>
          <w:szCs w:val="20"/>
        </w:rPr>
        <w:t>tion and upon the approval of the Special Committee) and Parent may terminate the Merger Agreement by mutual written agreement at any time prior to the Effective Time.</w:t>
      </w:r>
    </w:p>
    <w:p w14:paraId="581FDFB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9D7835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Either the Company (acting at the direction and upon the approval of the Special Commi</w:t>
      </w:r>
      <w:r>
        <w:rPr>
          <w:sz w:val="20"/>
          <w:szCs w:val="20"/>
        </w:rPr>
        <w:t>ttee) or Parent may terminate the Merger Agreement at any time prior to the Effective Time if:</w:t>
      </w:r>
    </w:p>
    <w:p w14:paraId="3BD6A275"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07362D0" w14:textId="77777777">
        <w:trPr>
          <w:divId w:val="415980837"/>
          <w:tblCellSpacing w:w="0" w:type="dxa"/>
        </w:trPr>
        <w:tc>
          <w:tcPr>
            <w:tcW w:w="720" w:type="dxa"/>
            <w:hideMark/>
          </w:tcPr>
          <w:p w14:paraId="34233407" w14:textId="77777777" w:rsidR="00000000" w:rsidRDefault="002F725F">
            <w:pPr>
              <w:rPr>
                <w:sz w:val="20"/>
                <w:szCs w:val="20"/>
              </w:rPr>
            </w:pPr>
          </w:p>
        </w:tc>
        <w:tc>
          <w:tcPr>
            <w:tcW w:w="360" w:type="dxa"/>
            <w:hideMark/>
          </w:tcPr>
          <w:p w14:paraId="458FBBFF" w14:textId="77777777" w:rsidR="00000000" w:rsidRDefault="002F725F">
            <w:pPr>
              <w:rPr>
                <w:rFonts w:eastAsia="Times New Roman"/>
                <w:sz w:val="20"/>
                <w:szCs w:val="20"/>
              </w:rPr>
            </w:pPr>
            <w:r>
              <w:rPr>
                <w:rFonts w:eastAsia="Times New Roman"/>
                <w:sz w:val="20"/>
                <w:szCs w:val="20"/>
              </w:rPr>
              <w:t>●</w:t>
            </w:r>
          </w:p>
        </w:tc>
        <w:tc>
          <w:tcPr>
            <w:tcW w:w="0" w:type="auto"/>
            <w:hideMark/>
          </w:tcPr>
          <w:p w14:paraId="362BFC1B" w14:textId="77777777" w:rsidR="00000000" w:rsidRDefault="002F725F">
            <w:pPr>
              <w:jc w:val="both"/>
              <w:rPr>
                <w:rFonts w:eastAsia="Times New Roman"/>
                <w:sz w:val="20"/>
                <w:szCs w:val="20"/>
              </w:rPr>
            </w:pPr>
            <w:r>
              <w:rPr>
                <w:rFonts w:eastAsia="Times New Roman"/>
                <w:sz w:val="20"/>
                <w:szCs w:val="20"/>
              </w:rPr>
              <w:t>any governmental entity having competent jurisdiction shall have, enacted, issued, promulgated, enforced or entered any law or order which is then in effect</w:t>
            </w:r>
            <w:r>
              <w:rPr>
                <w:rFonts w:eastAsia="Times New Roman"/>
                <w:sz w:val="20"/>
                <w:szCs w:val="20"/>
              </w:rPr>
              <w:t xml:space="preserve"> or taken any other action, in each case, permanently restraining, enjoining or otherwise prohibiting the consummation of the Merger, and such order or other action shall have become final and non-appealable;</w:t>
            </w:r>
          </w:p>
        </w:tc>
      </w:tr>
    </w:tbl>
    <w:p w14:paraId="75A29895"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3B79DF8" w14:textId="77777777">
        <w:trPr>
          <w:divId w:val="415980837"/>
          <w:tblCellSpacing w:w="0" w:type="dxa"/>
        </w:trPr>
        <w:tc>
          <w:tcPr>
            <w:tcW w:w="720" w:type="dxa"/>
            <w:hideMark/>
          </w:tcPr>
          <w:p w14:paraId="79C46FDB" w14:textId="77777777" w:rsidR="00000000" w:rsidRDefault="002F725F">
            <w:pPr>
              <w:rPr>
                <w:sz w:val="20"/>
                <w:szCs w:val="20"/>
              </w:rPr>
            </w:pPr>
          </w:p>
        </w:tc>
        <w:tc>
          <w:tcPr>
            <w:tcW w:w="360" w:type="dxa"/>
            <w:hideMark/>
          </w:tcPr>
          <w:p w14:paraId="00041BC6" w14:textId="77777777" w:rsidR="00000000" w:rsidRDefault="002F725F">
            <w:pPr>
              <w:rPr>
                <w:rFonts w:eastAsia="Times New Roman"/>
                <w:sz w:val="20"/>
                <w:szCs w:val="20"/>
              </w:rPr>
            </w:pPr>
            <w:r>
              <w:rPr>
                <w:rFonts w:eastAsia="Times New Roman"/>
                <w:sz w:val="20"/>
                <w:szCs w:val="20"/>
              </w:rPr>
              <w:t>●</w:t>
            </w:r>
          </w:p>
        </w:tc>
        <w:tc>
          <w:tcPr>
            <w:tcW w:w="0" w:type="auto"/>
            <w:hideMark/>
          </w:tcPr>
          <w:p w14:paraId="38AA2E1B" w14:textId="77777777" w:rsidR="00000000" w:rsidRDefault="002F725F">
            <w:pPr>
              <w:jc w:val="both"/>
              <w:rPr>
                <w:rFonts w:eastAsia="Times New Roman"/>
                <w:sz w:val="20"/>
                <w:szCs w:val="20"/>
              </w:rPr>
            </w:pPr>
            <w:r>
              <w:rPr>
                <w:rFonts w:eastAsia="Times New Roman"/>
                <w:sz w:val="20"/>
                <w:szCs w:val="20"/>
              </w:rPr>
              <w:t>the Company Shareholder Approval shall not have been obtained at a meeting of Company shareholders to be held to consider the authorization and approval of the Merger Agreement, the Plan of Merger and the consummation of the Transactions (the “Shareholders</w:t>
            </w:r>
            <w:r>
              <w:rPr>
                <w:rFonts w:eastAsia="Times New Roman"/>
                <w:sz w:val="20"/>
                <w:szCs w:val="20"/>
              </w:rPr>
              <w:t>’ Meeting”) (after taking into account any adjournment, postponement, or recess thereof); or</w:t>
            </w:r>
          </w:p>
        </w:tc>
      </w:tr>
    </w:tbl>
    <w:p w14:paraId="66342AD4"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AB51332" w14:textId="77777777">
        <w:trPr>
          <w:divId w:val="415980837"/>
          <w:tblCellSpacing w:w="0" w:type="dxa"/>
        </w:trPr>
        <w:tc>
          <w:tcPr>
            <w:tcW w:w="720" w:type="dxa"/>
            <w:hideMark/>
          </w:tcPr>
          <w:p w14:paraId="7A5BEB0B" w14:textId="77777777" w:rsidR="00000000" w:rsidRDefault="002F725F">
            <w:pPr>
              <w:rPr>
                <w:sz w:val="20"/>
                <w:szCs w:val="20"/>
              </w:rPr>
            </w:pPr>
          </w:p>
        </w:tc>
        <w:tc>
          <w:tcPr>
            <w:tcW w:w="360" w:type="dxa"/>
            <w:hideMark/>
          </w:tcPr>
          <w:p w14:paraId="3354F1A5" w14:textId="77777777" w:rsidR="00000000" w:rsidRDefault="002F725F">
            <w:pPr>
              <w:rPr>
                <w:rFonts w:eastAsia="Times New Roman"/>
                <w:sz w:val="20"/>
                <w:szCs w:val="20"/>
              </w:rPr>
            </w:pPr>
            <w:r>
              <w:rPr>
                <w:rFonts w:eastAsia="Times New Roman"/>
                <w:sz w:val="20"/>
                <w:szCs w:val="20"/>
              </w:rPr>
              <w:t>●</w:t>
            </w:r>
          </w:p>
        </w:tc>
        <w:tc>
          <w:tcPr>
            <w:tcW w:w="0" w:type="auto"/>
            <w:hideMark/>
          </w:tcPr>
          <w:p w14:paraId="5CC7091A" w14:textId="77777777" w:rsidR="00000000" w:rsidRDefault="002F725F">
            <w:pPr>
              <w:jc w:val="both"/>
              <w:rPr>
                <w:rFonts w:eastAsia="Times New Roman"/>
                <w:sz w:val="20"/>
                <w:szCs w:val="20"/>
              </w:rPr>
            </w:pPr>
            <w:r>
              <w:rPr>
                <w:rFonts w:eastAsia="Times New Roman"/>
                <w:sz w:val="20"/>
                <w:szCs w:val="20"/>
              </w:rPr>
              <w:t>the Merger has not been consummated by the date falling nine months from the date of Amendment No. 1 to the Merger Agreement (the “Termination Date”);</w:t>
            </w:r>
          </w:p>
        </w:tc>
      </w:tr>
    </w:tbl>
    <w:p w14:paraId="6FAE3C74" w14:textId="77777777" w:rsidR="00000000" w:rsidRDefault="002F725F">
      <w:pPr>
        <w:pStyle w:val="NormalWeb"/>
        <w:spacing w:before="0" w:beforeAutospacing="0" w:after="0" w:afterAutospacing="0"/>
        <w:ind w:left="720"/>
        <w:jc w:val="both"/>
        <w:divId w:val="415980837"/>
        <w:rPr>
          <w:sz w:val="20"/>
          <w:szCs w:val="20"/>
        </w:rPr>
      </w:pPr>
      <w:r>
        <w:rPr>
          <w:sz w:val="20"/>
          <w:szCs w:val="20"/>
        </w:rPr>
        <w:t> </w:t>
      </w:r>
    </w:p>
    <w:p w14:paraId="0A521F70" w14:textId="77777777" w:rsidR="00000000" w:rsidRDefault="002F725F">
      <w:pPr>
        <w:pStyle w:val="NormalWeb"/>
        <w:spacing w:before="0" w:beforeAutospacing="0" w:after="0" w:afterAutospacing="0"/>
        <w:ind w:left="720"/>
        <w:jc w:val="both"/>
        <w:divId w:val="415980837"/>
        <w:rPr>
          <w:sz w:val="20"/>
          <w:szCs w:val="20"/>
        </w:rPr>
      </w:pPr>
      <w:r>
        <w:rPr>
          <w:sz w:val="20"/>
          <w:szCs w:val="20"/>
        </w:rPr>
        <w:t>pro</w:t>
      </w:r>
      <w:r>
        <w:rPr>
          <w:sz w:val="20"/>
          <w:szCs w:val="20"/>
        </w:rPr>
        <w:t xml:space="preserve">vided, that the right to terminate the Merger Agreement pursuant to the foregoing three clauses may not be available to any party whose breach of, or failure to fulfill (or, in the case of Parent, any such breach or </w:t>
      </w:r>
      <w:r>
        <w:rPr>
          <w:sz w:val="20"/>
          <w:szCs w:val="20"/>
        </w:rPr>
        <w:lastRenderedPageBreak/>
        <w:t>failure by Parent or Merger Sub), any of</w:t>
      </w:r>
      <w:r>
        <w:rPr>
          <w:sz w:val="20"/>
          <w:szCs w:val="20"/>
        </w:rPr>
        <w:t xml:space="preserve"> its obligations under the Merger Agreement in any manner has been a primary cause of, or resulted in, the failure of the Merger to be consummated by the Termination Date or the applicable condition(s) being satisfied.</w:t>
      </w:r>
    </w:p>
    <w:p w14:paraId="0B8CB16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F7D97B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(acting at the directio</w:t>
      </w:r>
      <w:r>
        <w:rPr>
          <w:sz w:val="20"/>
          <w:szCs w:val="20"/>
        </w:rPr>
        <w:t>n and upon the approval of the Special Committee) may terminate the Merger Agreement at any time prior to the Effective Time upon:</w:t>
      </w:r>
    </w:p>
    <w:p w14:paraId="00328AF9"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BF39E18" w14:textId="77777777">
        <w:trPr>
          <w:divId w:val="415980837"/>
          <w:tblCellSpacing w:w="0" w:type="dxa"/>
        </w:trPr>
        <w:tc>
          <w:tcPr>
            <w:tcW w:w="720" w:type="dxa"/>
            <w:hideMark/>
          </w:tcPr>
          <w:p w14:paraId="2E0A221D" w14:textId="77777777" w:rsidR="00000000" w:rsidRDefault="002F725F">
            <w:pPr>
              <w:rPr>
                <w:sz w:val="20"/>
                <w:szCs w:val="20"/>
              </w:rPr>
            </w:pPr>
          </w:p>
        </w:tc>
        <w:tc>
          <w:tcPr>
            <w:tcW w:w="360" w:type="dxa"/>
            <w:hideMark/>
          </w:tcPr>
          <w:p w14:paraId="55CB7A18" w14:textId="77777777" w:rsidR="00000000" w:rsidRDefault="002F725F">
            <w:pPr>
              <w:rPr>
                <w:rFonts w:eastAsia="Times New Roman"/>
                <w:sz w:val="20"/>
                <w:szCs w:val="20"/>
              </w:rPr>
            </w:pPr>
            <w:r>
              <w:rPr>
                <w:rFonts w:eastAsia="Times New Roman"/>
                <w:sz w:val="20"/>
                <w:szCs w:val="20"/>
              </w:rPr>
              <w:t>●</w:t>
            </w:r>
          </w:p>
        </w:tc>
        <w:tc>
          <w:tcPr>
            <w:tcW w:w="0" w:type="auto"/>
            <w:hideMark/>
          </w:tcPr>
          <w:p w14:paraId="7A17BE7C" w14:textId="77777777" w:rsidR="00000000" w:rsidRDefault="002F725F">
            <w:pPr>
              <w:jc w:val="both"/>
              <w:rPr>
                <w:rFonts w:eastAsia="Times New Roman"/>
                <w:sz w:val="20"/>
                <w:szCs w:val="20"/>
              </w:rPr>
            </w:pPr>
            <w:r>
              <w:rPr>
                <w:rFonts w:eastAsia="Times New Roman"/>
                <w:sz w:val="20"/>
                <w:szCs w:val="20"/>
              </w:rPr>
              <w:t>a Parent Breach Termination Event;</w:t>
            </w:r>
          </w:p>
        </w:tc>
      </w:tr>
    </w:tbl>
    <w:p w14:paraId="4C04F315"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280C559" w14:textId="77777777">
        <w:trPr>
          <w:divId w:val="415980837"/>
          <w:tblCellSpacing w:w="0" w:type="dxa"/>
        </w:trPr>
        <w:tc>
          <w:tcPr>
            <w:tcW w:w="720" w:type="dxa"/>
            <w:hideMark/>
          </w:tcPr>
          <w:p w14:paraId="74EE49E9" w14:textId="77777777" w:rsidR="00000000" w:rsidRDefault="002F725F">
            <w:pPr>
              <w:rPr>
                <w:sz w:val="20"/>
                <w:szCs w:val="20"/>
              </w:rPr>
            </w:pPr>
          </w:p>
        </w:tc>
        <w:tc>
          <w:tcPr>
            <w:tcW w:w="360" w:type="dxa"/>
            <w:hideMark/>
          </w:tcPr>
          <w:p w14:paraId="74967550" w14:textId="77777777" w:rsidR="00000000" w:rsidRDefault="002F725F">
            <w:pPr>
              <w:rPr>
                <w:rFonts w:eastAsia="Times New Roman"/>
                <w:sz w:val="20"/>
                <w:szCs w:val="20"/>
              </w:rPr>
            </w:pPr>
            <w:r>
              <w:rPr>
                <w:rFonts w:eastAsia="Times New Roman"/>
                <w:sz w:val="20"/>
                <w:szCs w:val="20"/>
              </w:rPr>
              <w:t>●</w:t>
            </w:r>
          </w:p>
        </w:tc>
        <w:tc>
          <w:tcPr>
            <w:tcW w:w="0" w:type="auto"/>
            <w:hideMark/>
          </w:tcPr>
          <w:p w14:paraId="4B1F8010" w14:textId="77777777" w:rsidR="00000000" w:rsidRDefault="002F725F">
            <w:pPr>
              <w:jc w:val="both"/>
              <w:rPr>
                <w:rFonts w:eastAsia="Times New Roman"/>
                <w:sz w:val="20"/>
                <w:szCs w:val="20"/>
              </w:rPr>
            </w:pPr>
            <w:r>
              <w:rPr>
                <w:rFonts w:eastAsia="Times New Roman"/>
                <w:sz w:val="20"/>
                <w:szCs w:val="20"/>
              </w:rPr>
              <w:t>a Superior Proposal Termination Event; or</w:t>
            </w:r>
          </w:p>
        </w:tc>
      </w:tr>
    </w:tbl>
    <w:p w14:paraId="711FB182"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2704D64" w14:textId="77777777">
        <w:trPr>
          <w:divId w:val="415980837"/>
          <w:tblCellSpacing w:w="0" w:type="dxa"/>
        </w:trPr>
        <w:tc>
          <w:tcPr>
            <w:tcW w:w="720" w:type="dxa"/>
            <w:hideMark/>
          </w:tcPr>
          <w:p w14:paraId="67E9C1AF" w14:textId="77777777" w:rsidR="00000000" w:rsidRDefault="002F725F">
            <w:pPr>
              <w:rPr>
                <w:sz w:val="20"/>
                <w:szCs w:val="20"/>
              </w:rPr>
            </w:pPr>
          </w:p>
        </w:tc>
        <w:tc>
          <w:tcPr>
            <w:tcW w:w="360" w:type="dxa"/>
            <w:hideMark/>
          </w:tcPr>
          <w:p w14:paraId="0DB8415A" w14:textId="77777777" w:rsidR="00000000" w:rsidRDefault="002F725F">
            <w:pPr>
              <w:rPr>
                <w:rFonts w:eastAsia="Times New Roman"/>
                <w:sz w:val="20"/>
                <w:szCs w:val="20"/>
              </w:rPr>
            </w:pPr>
            <w:r>
              <w:rPr>
                <w:rFonts w:eastAsia="Times New Roman"/>
                <w:sz w:val="20"/>
                <w:szCs w:val="20"/>
              </w:rPr>
              <w:t>●</w:t>
            </w:r>
          </w:p>
        </w:tc>
        <w:tc>
          <w:tcPr>
            <w:tcW w:w="0" w:type="auto"/>
            <w:hideMark/>
          </w:tcPr>
          <w:p w14:paraId="70AFC6F3" w14:textId="77777777" w:rsidR="00000000" w:rsidRDefault="002F725F">
            <w:pPr>
              <w:jc w:val="both"/>
              <w:rPr>
                <w:rFonts w:eastAsia="Times New Roman"/>
                <w:sz w:val="20"/>
                <w:szCs w:val="20"/>
              </w:rPr>
            </w:pPr>
            <w:r>
              <w:rPr>
                <w:rFonts w:eastAsia="Times New Roman"/>
                <w:sz w:val="20"/>
                <w:szCs w:val="20"/>
              </w:rPr>
              <w:t>a Parent Failure to Close Termination Event.</w:t>
            </w:r>
          </w:p>
        </w:tc>
      </w:tr>
    </w:tbl>
    <w:p w14:paraId="4955CB92"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B6F7C7F" w14:textId="77777777" w:rsidR="00000000" w:rsidRDefault="002F725F">
      <w:pPr>
        <w:pStyle w:val="NormalWeb"/>
        <w:spacing w:before="0" w:beforeAutospacing="0" w:after="0" w:afterAutospacing="0"/>
        <w:jc w:val="center"/>
        <w:divId w:val="1884899746"/>
        <w:rPr>
          <w:sz w:val="20"/>
          <w:szCs w:val="20"/>
        </w:rPr>
      </w:pPr>
      <w:r>
        <w:rPr>
          <w:sz w:val="20"/>
          <w:szCs w:val="20"/>
        </w:rPr>
        <w:t>9</w:t>
      </w:r>
    </w:p>
    <w:p w14:paraId="7F0819E1" w14:textId="77777777" w:rsidR="00000000" w:rsidRDefault="002F725F">
      <w:pPr>
        <w:pStyle w:val="NormalWeb"/>
        <w:spacing w:before="0" w:beforeAutospacing="0" w:after="0" w:afterAutospacing="0"/>
        <w:divId w:val="1619870303"/>
        <w:rPr>
          <w:sz w:val="20"/>
          <w:szCs w:val="20"/>
        </w:rPr>
      </w:pPr>
      <w:r>
        <w:rPr>
          <w:sz w:val="20"/>
          <w:szCs w:val="20"/>
        </w:rPr>
        <w:t> </w:t>
      </w:r>
    </w:p>
    <w:p w14:paraId="74D5D5C7"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A773C0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Parent may terminate the Merger Agreement at any time prior to the Effective Time upon the Parent Termination Events, each as defined in the section entit</w:t>
      </w:r>
      <w:r>
        <w:rPr>
          <w:sz w:val="20"/>
          <w:szCs w:val="20"/>
        </w:rPr>
        <w:t>led “The Merger Agreement</w:t>
      </w:r>
      <w:r>
        <w:rPr>
          <w:sz w:val="20"/>
          <w:szCs w:val="20"/>
        </w:rPr>
        <w:t> </w:t>
      </w:r>
      <w:r>
        <w:rPr>
          <w:sz w:val="20"/>
          <w:szCs w:val="20"/>
        </w:rPr>
        <w:t>—</w:t>
      </w:r>
      <w:r>
        <w:rPr>
          <w:sz w:val="20"/>
          <w:szCs w:val="20"/>
        </w:rPr>
        <w:t> </w:t>
      </w:r>
      <w:r>
        <w:rPr>
          <w:sz w:val="20"/>
          <w:szCs w:val="20"/>
        </w:rPr>
        <w:t>Termination of the Merger Agreement” beginning on page 94.</w:t>
      </w:r>
    </w:p>
    <w:p w14:paraId="5B471224"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508FC5FF" w14:textId="77777777" w:rsidR="00000000" w:rsidRDefault="002F725F">
      <w:pPr>
        <w:pStyle w:val="NormalWeb"/>
        <w:spacing w:before="0" w:beforeAutospacing="0" w:after="0" w:afterAutospacing="0"/>
        <w:jc w:val="both"/>
        <w:divId w:val="415980837"/>
        <w:rPr>
          <w:sz w:val="20"/>
          <w:szCs w:val="20"/>
        </w:rPr>
      </w:pPr>
      <w:r>
        <w:rPr>
          <w:b/>
          <w:bCs/>
          <w:sz w:val="20"/>
          <w:szCs w:val="20"/>
        </w:rPr>
        <w:t>U.S. Federal Income Tax Consequences (Page 70)</w:t>
      </w:r>
    </w:p>
    <w:p w14:paraId="36AB961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FA9AAA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receipt of cash pursuant </w:t>
      </w:r>
      <w:r>
        <w:rPr>
          <w:sz w:val="20"/>
          <w:szCs w:val="20"/>
        </w:rPr>
        <w:t>to the Merger or through the exercise of dissenters’ rights in connection with the Merger will be a taxable transaction for U.S. federal income tax purposes and may also be a taxable transaction under applicable state, local and other tax laws. Special rul</w:t>
      </w:r>
      <w:r>
        <w:rPr>
          <w:sz w:val="20"/>
          <w:szCs w:val="20"/>
        </w:rPr>
        <w:t>es will apply if you are a “U.S. Holder” and the Company was or currently is a passive foreign investment company, or “PFIC.” See “Special Factors—U.S. Federal Income Tax Consequences” beginning on page 70. The tax consequences of the Merger or the exercis</w:t>
      </w:r>
      <w:r>
        <w:rPr>
          <w:sz w:val="20"/>
          <w:szCs w:val="20"/>
        </w:rPr>
        <w:t>e of dissenters’ rights to you will depend upon your personal circumstances. You should consult your tax advisors for a full understanding of the U.S. federal, state, local, foreign and other tax consequences of the Merger to you.</w:t>
      </w:r>
    </w:p>
    <w:p w14:paraId="5B048848"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57ED143C" w14:textId="77777777" w:rsidR="00000000" w:rsidRDefault="002F725F">
      <w:pPr>
        <w:pStyle w:val="NormalWeb"/>
        <w:spacing w:before="0" w:beforeAutospacing="0" w:after="0" w:afterAutospacing="0"/>
        <w:jc w:val="both"/>
        <w:divId w:val="415980837"/>
        <w:rPr>
          <w:sz w:val="20"/>
          <w:szCs w:val="20"/>
        </w:rPr>
      </w:pPr>
      <w:r>
        <w:rPr>
          <w:b/>
          <w:bCs/>
          <w:sz w:val="20"/>
          <w:szCs w:val="20"/>
        </w:rPr>
        <w:t>PRC Income Tax Conseque</w:t>
      </w:r>
      <w:r>
        <w:rPr>
          <w:b/>
          <w:bCs/>
          <w:sz w:val="20"/>
          <w:szCs w:val="20"/>
        </w:rPr>
        <w:t>nces (Page 73)</w:t>
      </w:r>
    </w:p>
    <w:p w14:paraId="3D2E391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150BB1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does not believe that it should be considered a resident enterprise under the PRC Enterprise Income Tax Law (the “EIT Law”) or that the gains recognized on the receipt of cash for the Shares should otherwise be subject to PRC t</w:t>
      </w:r>
      <w:r>
        <w:rPr>
          <w:sz w:val="20"/>
          <w:szCs w:val="20"/>
        </w:rPr>
        <w:t>ax to holders of such Shares that are not PRC residents. However, there is uncertainty regarding whether the PRC tax authorities would deem the Company to be a resident enterprise. If the PRC tax authorities were to determine that the Company should be con</w:t>
      </w:r>
      <w:r>
        <w:rPr>
          <w:sz w:val="20"/>
          <w:szCs w:val="20"/>
        </w:rPr>
        <w:t>sidered a resident enterprise, then gains recognized on the receipt of cash for the Shares pursuant to the Merger by the shareholders who are not PRC residents could be treated as PRC-source income that would be subject to PRC income tax at a rate of 10% i</w:t>
      </w:r>
      <w:r>
        <w:rPr>
          <w:sz w:val="20"/>
          <w:szCs w:val="20"/>
        </w:rPr>
        <w:t>n the case of enterprises or 20% in the case of individuals (subject to applicable tax treaty relief, if any), and, even in the event that the Company is not considered a resident enterprise, gains recognized on the receipt of cash for Shares will be subje</w:t>
      </w:r>
      <w:r>
        <w:rPr>
          <w:sz w:val="20"/>
          <w:szCs w:val="20"/>
        </w:rPr>
        <w:t>ct to PRC tax if the holders of such Shares are PRC residents. The Company does not believe that the Merger is without reasonable commercial purpose for purposes of Bulletin 37 and Bulletin 7, and, as a result, the Company (as purchaser and withholding age</w:t>
      </w:r>
      <w:r>
        <w:rPr>
          <w:sz w:val="20"/>
          <w:szCs w:val="20"/>
        </w:rPr>
        <w:t>nt) will not withhold any PRC tax (under Bulletin 7 and Bulletin 37) from the merger consideration to be paid to holders of Shares. You should consult your own tax advisor for a full understanding of the tax consequences of the Merger to you, including any</w:t>
      </w:r>
      <w:r>
        <w:rPr>
          <w:sz w:val="20"/>
          <w:szCs w:val="20"/>
        </w:rPr>
        <w:t xml:space="preserve"> PRC tax consequences.</w:t>
      </w:r>
    </w:p>
    <w:p w14:paraId="012525E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92B3D7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Please see “Special Factors—PRC Income Tax Consequences” beginning on page 73 for additional information.</w:t>
      </w:r>
    </w:p>
    <w:p w14:paraId="5AE213CA" w14:textId="77777777" w:rsidR="00000000" w:rsidRDefault="002F725F">
      <w:pPr>
        <w:pStyle w:val="NormalWeb"/>
        <w:spacing w:before="0" w:beforeAutospacing="0" w:after="0" w:afterAutospacing="0"/>
        <w:divId w:val="415980837"/>
        <w:rPr>
          <w:sz w:val="20"/>
          <w:szCs w:val="20"/>
        </w:rPr>
      </w:pPr>
      <w:r>
        <w:rPr>
          <w:sz w:val="20"/>
          <w:szCs w:val="20"/>
        </w:rPr>
        <w:t> </w:t>
      </w:r>
    </w:p>
    <w:p w14:paraId="2E1E00A4" w14:textId="77777777" w:rsidR="00000000" w:rsidRDefault="002F725F">
      <w:pPr>
        <w:pStyle w:val="NormalWeb"/>
        <w:spacing w:before="0" w:beforeAutospacing="0" w:after="0" w:afterAutospacing="0"/>
        <w:jc w:val="both"/>
        <w:divId w:val="415980837"/>
        <w:rPr>
          <w:sz w:val="20"/>
          <w:szCs w:val="20"/>
        </w:rPr>
      </w:pPr>
      <w:r>
        <w:rPr>
          <w:b/>
          <w:bCs/>
          <w:sz w:val="20"/>
          <w:szCs w:val="20"/>
        </w:rPr>
        <w:t>Cayman Islands Tax Consequences (Page 74)</w:t>
      </w:r>
    </w:p>
    <w:p w14:paraId="500B640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00A23B5"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xml:space="preserve">The Cayman Islands currently has no form of income, corporate or capital gains </w:t>
      </w:r>
      <w:r>
        <w:rPr>
          <w:sz w:val="20"/>
          <w:szCs w:val="20"/>
        </w:rPr>
        <w:t>tax and no estate duty, inheritance tax or gift tax. No taxes, fees or charges will be payable (either by direct assessment or withholding) to the government or other taxing authority in the Cayman Islands under the laws of the Cayman Islands in respect of</w:t>
      </w:r>
      <w:r>
        <w:rPr>
          <w:sz w:val="20"/>
          <w:szCs w:val="20"/>
        </w:rPr>
        <w:t xml:space="preserve"> the Merger or the receipt of cash for the Shares under the terms of the Merger Agreement. This is subject to the qualification that (i) Cayman Islands stamp duty may be payable if any original transaction documents are brought into or executed in or produ</w:t>
      </w:r>
      <w:r>
        <w:rPr>
          <w:sz w:val="20"/>
          <w:szCs w:val="20"/>
        </w:rPr>
        <w:t>ced before a court in the Cayman Islands (for example, for enforcement); (ii) registration fees will be payable to the Cayman Registrar to register the Plan of Merger and to file the Variation of Share Capital and the Adoption of Amended M&amp;A; and (iii) fee</w:t>
      </w:r>
      <w:r>
        <w:rPr>
          <w:sz w:val="20"/>
          <w:szCs w:val="20"/>
        </w:rPr>
        <w:t>s will be payable to the Cayman Islands Government Gazette Office to publish the notice of the Merger in the Cayman Islands Government Gazette. See “Special Factors—Cayman Islands Tax Consequences.”</w:t>
      </w:r>
    </w:p>
    <w:p w14:paraId="0008C08F"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6ACFCD58" w14:textId="77777777" w:rsidR="00000000" w:rsidRDefault="002F725F">
      <w:pPr>
        <w:pStyle w:val="NormalWeb"/>
        <w:spacing w:before="0" w:beforeAutospacing="0" w:after="0" w:afterAutospacing="0"/>
        <w:jc w:val="both"/>
        <w:divId w:val="415980837"/>
        <w:rPr>
          <w:sz w:val="20"/>
          <w:szCs w:val="20"/>
        </w:rPr>
      </w:pPr>
      <w:r>
        <w:rPr>
          <w:b/>
          <w:bCs/>
          <w:sz w:val="20"/>
          <w:szCs w:val="20"/>
        </w:rPr>
        <w:t>Regulatory Matters (Page 70)</w:t>
      </w:r>
    </w:p>
    <w:p w14:paraId="410586E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C16378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does not bel</w:t>
      </w:r>
      <w:r>
        <w:rPr>
          <w:sz w:val="20"/>
          <w:szCs w:val="20"/>
        </w:rPr>
        <w:t>ieve that any material federal or state regulatory approvals, filings or notices are required in connection with effecting the Merger other than (a) the approvals, filings or notices required under the federal securities laws and applicable rules and regul</w:t>
      </w:r>
      <w:r>
        <w:rPr>
          <w:sz w:val="20"/>
          <w:szCs w:val="20"/>
        </w:rPr>
        <w:t xml:space="preserve">ations of OTC Pink, and (b) the filing of the Plan of Merger (and supporting documentation as specified in the Cayman Islands Companies Act) and the filing of the Variation of Share Capital and the Adoption of Amended M&amp;A with the Cayman Registrar and, in </w:t>
      </w:r>
      <w:r>
        <w:rPr>
          <w:sz w:val="20"/>
          <w:szCs w:val="20"/>
        </w:rPr>
        <w:t>the event the Merger becomes effective, a copy of the Certificate of Merger being given to the shareholders and creditors of the Company and Merger Sub as at the time of the filing of the Plan of Merger and notice of the Merger being published in the Cayma</w:t>
      </w:r>
      <w:r>
        <w:rPr>
          <w:sz w:val="20"/>
          <w:szCs w:val="20"/>
        </w:rPr>
        <w:t>n Islands Government Gazette.</w:t>
      </w:r>
    </w:p>
    <w:p w14:paraId="4B5DBC97"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6618D8AD" w14:textId="77777777" w:rsidR="00000000" w:rsidRDefault="002F725F">
      <w:pPr>
        <w:pStyle w:val="NormalWeb"/>
        <w:spacing w:before="0" w:beforeAutospacing="0" w:after="0" w:afterAutospacing="0"/>
        <w:jc w:val="both"/>
        <w:divId w:val="415980837"/>
        <w:rPr>
          <w:sz w:val="20"/>
          <w:szCs w:val="20"/>
        </w:rPr>
      </w:pPr>
      <w:r>
        <w:rPr>
          <w:b/>
          <w:bCs/>
          <w:sz w:val="20"/>
          <w:szCs w:val="20"/>
        </w:rPr>
        <w:t>Litigation Related to the Merger (Page 70)</w:t>
      </w:r>
    </w:p>
    <w:p w14:paraId="623D4D4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4CB3E6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As of the date of this proxy statement, we are not aware of any lawsuit that challenges the Merger, the Merger Agreement or the Transactions.</w:t>
      </w:r>
    </w:p>
    <w:p w14:paraId="64255DBD"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088A0C95" w14:textId="77777777" w:rsidR="00000000" w:rsidRDefault="002F725F">
      <w:pPr>
        <w:pStyle w:val="NormalWeb"/>
        <w:spacing w:before="0" w:beforeAutospacing="0" w:after="0" w:afterAutospacing="0"/>
        <w:jc w:val="both"/>
        <w:divId w:val="415980837"/>
        <w:rPr>
          <w:sz w:val="20"/>
          <w:szCs w:val="20"/>
        </w:rPr>
      </w:pPr>
      <w:r>
        <w:rPr>
          <w:b/>
          <w:bCs/>
          <w:sz w:val="20"/>
          <w:szCs w:val="20"/>
        </w:rPr>
        <w:t xml:space="preserve">Accounting Treatment of the Merger </w:t>
      </w:r>
      <w:r>
        <w:rPr>
          <w:b/>
          <w:bCs/>
          <w:sz w:val="20"/>
          <w:szCs w:val="20"/>
        </w:rPr>
        <w:t>(Page 70)</w:t>
      </w:r>
    </w:p>
    <w:p w14:paraId="3311595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B9D34B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Merger is expected to be accounted for as a business combination by Parent in accordance with Accounting Standards Codification 805 “Business Combinations,” </w:t>
      </w:r>
      <w:r>
        <w:rPr>
          <w:sz w:val="20"/>
          <w:szCs w:val="20"/>
        </w:rPr>
        <w:t>initially at the fair value of the Company as of the date of the closing of the Merger, which is the date of the acquisition.</w:t>
      </w:r>
    </w:p>
    <w:p w14:paraId="18FB858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43F59DA" w14:textId="77777777" w:rsidR="00000000" w:rsidRDefault="002F725F">
      <w:pPr>
        <w:pStyle w:val="NormalWeb"/>
        <w:spacing w:before="0" w:beforeAutospacing="0" w:after="0" w:afterAutospacing="0"/>
        <w:jc w:val="center"/>
        <w:divId w:val="1122001046"/>
        <w:rPr>
          <w:sz w:val="20"/>
          <w:szCs w:val="20"/>
        </w:rPr>
      </w:pPr>
      <w:r>
        <w:rPr>
          <w:sz w:val="20"/>
          <w:szCs w:val="20"/>
        </w:rPr>
        <w:t>1</w:t>
      </w:r>
      <w:r>
        <w:rPr>
          <w:sz w:val="20"/>
          <w:szCs w:val="20"/>
        </w:rPr>
        <w:t>0</w:t>
      </w:r>
    </w:p>
    <w:p w14:paraId="0D66BBB1" w14:textId="77777777" w:rsidR="00000000" w:rsidRDefault="002F725F">
      <w:pPr>
        <w:pStyle w:val="NormalWeb"/>
        <w:spacing w:before="0" w:beforeAutospacing="0" w:after="0" w:afterAutospacing="0"/>
        <w:divId w:val="299846351"/>
        <w:rPr>
          <w:sz w:val="20"/>
          <w:szCs w:val="20"/>
        </w:rPr>
      </w:pPr>
      <w:r>
        <w:rPr>
          <w:sz w:val="20"/>
          <w:szCs w:val="20"/>
        </w:rPr>
        <w:t> </w:t>
      </w:r>
    </w:p>
    <w:p w14:paraId="393B3152"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2EDFDD39" w14:textId="77777777" w:rsidR="00000000" w:rsidRDefault="002F725F">
      <w:pPr>
        <w:pStyle w:val="NormalWeb"/>
        <w:spacing w:before="0" w:beforeAutospacing="0" w:after="0" w:afterAutospacing="0"/>
        <w:jc w:val="center"/>
        <w:divId w:val="415980837"/>
        <w:rPr>
          <w:sz w:val="20"/>
          <w:szCs w:val="20"/>
        </w:rPr>
      </w:pPr>
      <w:bookmarkStart w:id="21" w:name="gfpea028961701ex99-a1.htmk_002"/>
      <w:bookmarkEnd w:id="21"/>
      <w:r>
        <w:rPr>
          <w:b/>
          <w:bCs/>
          <w:sz w:val="20"/>
          <w:szCs w:val="20"/>
        </w:rPr>
        <w:t>QUESTIONS AND ANSWERS ABOUT THE EXTRAORDINARY GENERAL MEETING AND THE MERGER</w:t>
      </w:r>
    </w:p>
    <w:p w14:paraId="5D36A3A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431369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following questions and answers addres</w:t>
      </w:r>
      <w:r>
        <w:rPr>
          <w:sz w:val="20"/>
          <w:szCs w:val="20"/>
        </w:rPr>
        <w:t>s briefly some questions you may have regarding the extraordinary general meeting and the Merger. These questions and answers may not address all questions that may be important to you as a shareholder of the Company. Please refer to the more detailed info</w:t>
      </w:r>
      <w:r>
        <w:rPr>
          <w:sz w:val="20"/>
          <w:szCs w:val="20"/>
        </w:rPr>
        <w:t>rmation contained elsewhere in this proxy statement, the annexes to this proxy statement and the documents referred to or incorporated by reference in this proxy statement.</w:t>
      </w:r>
    </w:p>
    <w:p w14:paraId="3F08923B"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7634A687" w14:textId="77777777">
        <w:trPr>
          <w:divId w:val="415980837"/>
          <w:tblCellSpacing w:w="0" w:type="dxa"/>
        </w:trPr>
        <w:tc>
          <w:tcPr>
            <w:tcW w:w="6" w:type="dxa"/>
            <w:hideMark/>
          </w:tcPr>
          <w:p w14:paraId="46DEA492" w14:textId="77777777" w:rsidR="00000000" w:rsidRDefault="002F725F">
            <w:pPr>
              <w:rPr>
                <w:sz w:val="20"/>
                <w:szCs w:val="20"/>
              </w:rPr>
            </w:pPr>
          </w:p>
        </w:tc>
        <w:tc>
          <w:tcPr>
            <w:tcW w:w="720" w:type="dxa"/>
            <w:hideMark/>
          </w:tcPr>
          <w:p w14:paraId="665C4549"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7CDAEFF6" w14:textId="77777777" w:rsidR="00000000" w:rsidRDefault="002F725F">
            <w:pPr>
              <w:jc w:val="both"/>
              <w:rPr>
                <w:rFonts w:eastAsia="Times New Roman"/>
                <w:sz w:val="20"/>
                <w:szCs w:val="20"/>
              </w:rPr>
            </w:pPr>
            <w:r>
              <w:rPr>
                <w:rFonts w:eastAsia="Times New Roman"/>
                <w:b/>
                <w:bCs/>
                <w:sz w:val="20"/>
                <w:szCs w:val="20"/>
              </w:rPr>
              <w:t>When and where will the extraordinary general meeting be held?</w:t>
            </w:r>
          </w:p>
        </w:tc>
      </w:tr>
    </w:tbl>
    <w:p w14:paraId="5CE5741D"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8640"/>
      </w:tblGrid>
      <w:tr w:rsidR="00000000" w14:paraId="5905328A" w14:textId="77777777">
        <w:trPr>
          <w:divId w:val="415980837"/>
          <w:tblCellSpacing w:w="0" w:type="dxa"/>
        </w:trPr>
        <w:tc>
          <w:tcPr>
            <w:tcW w:w="720" w:type="dxa"/>
            <w:hideMark/>
          </w:tcPr>
          <w:p w14:paraId="69A46C1A" w14:textId="77777777" w:rsidR="00000000" w:rsidRDefault="002F725F">
            <w:pPr>
              <w:rPr>
                <w:rFonts w:eastAsia="Times New Roman"/>
                <w:sz w:val="20"/>
                <w:szCs w:val="20"/>
              </w:rPr>
            </w:pPr>
            <w:r>
              <w:rPr>
                <w:rFonts w:eastAsia="Times New Roman"/>
                <w:sz w:val="20"/>
                <w:szCs w:val="20"/>
              </w:rPr>
              <w:t>A:</w:t>
            </w:r>
          </w:p>
        </w:tc>
        <w:tc>
          <w:tcPr>
            <w:tcW w:w="0" w:type="auto"/>
            <w:hideMark/>
          </w:tcPr>
          <w:p w14:paraId="63D40D0A" w14:textId="77777777" w:rsidR="00000000" w:rsidRDefault="002F725F">
            <w:pPr>
              <w:jc w:val="both"/>
              <w:rPr>
                <w:rFonts w:eastAsia="Times New Roman"/>
                <w:sz w:val="20"/>
                <w:szCs w:val="20"/>
              </w:rPr>
            </w:pPr>
            <w:r>
              <w:rPr>
                <w:rFonts w:eastAsia="Times New Roman"/>
                <w:sz w:val="20"/>
                <w:szCs w:val="20"/>
              </w:rPr>
              <w:t>The extr</w:t>
            </w:r>
            <w:r>
              <w:rPr>
                <w:rFonts w:eastAsia="Times New Roman"/>
                <w:sz w:val="20"/>
                <w:szCs w:val="20"/>
              </w:rPr>
              <w:t xml:space="preserve">aordinary general meeting will take place on </w:t>
            </w:r>
            <w:r>
              <w:rPr>
                <w:rFonts w:eastAsia="Times New Roman"/>
                <w:sz w:val="20"/>
                <w:szCs w:val="20"/>
                <w:u w:val="single"/>
              </w:rPr>
              <w:t>          </w:t>
            </w:r>
            <w:r>
              <w:rPr>
                <w:rFonts w:eastAsia="Times New Roman"/>
                <w:sz w:val="20"/>
                <w:szCs w:val="20"/>
              </w:rPr>
              <w:t>, at ________a.m. (Beijing time) at _____.</w:t>
            </w:r>
          </w:p>
        </w:tc>
      </w:tr>
    </w:tbl>
    <w:p w14:paraId="3770C647"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8640"/>
      </w:tblGrid>
      <w:tr w:rsidR="00000000" w14:paraId="506F246A" w14:textId="77777777">
        <w:trPr>
          <w:divId w:val="415980837"/>
          <w:tblCellSpacing w:w="0" w:type="dxa"/>
        </w:trPr>
        <w:tc>
          <w:tcPr>
            <w:tcW w:w="720" w:type="dxa"/>
            <w:hideMark/>
          </w:tcPr>
          <w:p w14:paraId="7C736C14"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730636BF" w14:textId="77777777" w:rsidR="00000000" w:rsidRDefault="002F725F">
            <w:pPr>
              <w:jc w:val="both"/>
              <w:rPr>
                <w:rFonts w:eastAsia="Times New Roman"/>
                <w:sz w:val="20"/>
                <w:szCs w:val="20"/>
              </w:rPr>
            </w:pPr>
            <w:r>
              <w:rPr>
                <w:rFonts w:eastAsia="Times New Roman"/>
                <w:b/>
                <w:bCs/>
                <w:sz w:val="20"/>
                <w:szCs w:val="20"/>
              </w:rPr>
              <w:t>What am I being asked to vote on?</w:t>
            </w:r>
          </w:p>
        </w:tc>
      </w:tr>
    </w:tbl>
    <w:p w14:paraId="52D4C70E"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399DE49A" w14:textId="77777777">
        <w:trPr>
          <w:divId w:val="415980837"/>
          <w:tblCellSpacing w:w="0" w:type="dxa"/>
        </w:trPr>
        <w:tc>
          <w:tcPr>
            <w:tcW w:w="6" w:type="dxa"/>
            <w:hideMark/>
          </w:tcPr>
          <w:p w14:paraId="47E5480A" w14:textId="77777777" w:rsidR="00000000" w:rsidRDefault="002F725F">
            <w:pPr>
              <w:rPr>
                <w:sz w:val="20"/>
                <w:szCs w:val="20"/>
              </w:rPr>
            </w:pPr>
          </w:p>
        </w:tc>
        <w:tc>
          <w:tcPr>
            <w:tcW w:w="720" w:type="dxa"/>
            <w:hideMark/>
          </w:tcPr>
          <w:p w14:paraId="42098D50" w14:textId="77777777" w:rsidR="00000000" w:rsidRDefault="002F725F">
            <w:pPr>
              <w:rPr>
                <w:rFonts w:eastAsia="Times New Roman"/>
                <w:sz w:val="20"/>
                <w:szCs w:val="20"/>
              </w:rPr>
            </w:pPr>
            <w:r>
              <w:rPr>
                <w:rFonts w:eastAsia="Times New Roman"/>
                <w:sz w:val="20"/>
                <w:szCs w:val="20"/>
              </w:rPr>
              <w:t>A:</w:t>
            </w:r>
          </w:p>
        </w:tc>
        <w:tc>
          <w:tcPr>
            <w:tcW w:w="0" w:type="auto"/>
            <w:hideMark/>
          </w:tcPr>
          <w:p w14:paraId="037EFC33" w14:textId="77777777" w:rsidR="00000000" w:rsidRDefault="002F725F">
            <w:pPr>
              <w:jc w:val="both"/>
              <w:rPr>
                <w:rFonts w:eastAsia="Times New Roman"/>
                <w:sz w:val="20"/>
                <w:szCs w:val="20"/>
              </w:rPr>
            </w:pPr>
            <w:r>
              <w:rPr>
                <w:rFonts w:eastAsia="Times New Roman"/>
                <w:sz w:val="20"/>
                <w:szCs w:val="20"/>
              </w:rPr>
              <w:t>You will be asked to consider and vote on the following proposals:</w:t>
            </w:r>
          </w:p>
        </w:tc>
      </w:tr>
    </w:tbl>
    <w:p w14:paraId="7957CAFF"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31F4713" w14:textId="77777777">
        <w:trPr>
          <w:divId w:val="415980837"/>
          <w:tblCellSpacing w:w="0" w:type="dxa"/>
        </w:trPr>
        <w:tc>
          <w:tcPr>
            <w:tcW w:w="720" w:type="dxa"/>
            <w:hideMark/>
          </w:tcPr>
          <w:p w14:paraId="38139DC9" w14:textId="77777777" w:rsidR="00000000" w:rsidRDefault="002F725F">
            <w:pPr>
              <w:rPr>
                <w:sz w:val="20"/>
                <w:szCs w:val="20"/>
              </w:rPr>
            </w:pPr>
          </w:p>
        </w:tc>
        <w:tc>
          <w:tcPr>
            <w:tcW w:w="360" w:type="dxa"/>
            <w:hideMark/>
          </w:tcPr>
          <w:p w14:paraId="6398F951" w14:textId="77777777" w:rsidR="00000000" w:rsidRDefault="002F725F">
            <w:pPr>
              <w:rPr>
                <w:rFonts w:eastAsia="Times New Roman"/>
                <w:sz w:val="20"/>
                <w:szCs w:val="20"/>
              </w:rPr>
            </w:pPr>
            <w:r>
              <w:rPr>
                <w:rFonts w:eastAsia="Times New Roman"/>
                <w:sz w:val="20"/>
                <w:szCs w:val="20"/>
              </w:rPr>
              <w:t>●</w:t>
            </w:r>
          </w:p>
        </w:tc>
        <w:tc>
          <w:tcPr>
            <w:tcW w:w="0" w:type="auto"/>
            <w:hideMark/>
          </w:tcPr>
          <w:p w14:paraId="7EA17555" w14:textId="77777777" w:rsidR="00000000" w:rsidRDefault="002F725F">
            <w:pPr>
              <w:jc w:val="both"/>
              <w:rPr>
                <w:rFonts w:eastAsia="Times New Roman"/>
                <w:sz w:val="20"/>
                <w:szCs w:val="20"/>
              </w:rPr>
            </w:pPr>
            <w:r>
              <w:rPr>
                <w:rFonts w:eastAsia="Times New Roman"/>
                <w:sz w:val="20"/>
                <w:szCs w:val="20"/>
              </w:rPr>
              <w:t>as a special resolution, that the Merger Agreement, the Plan of Merger and the consummation of the Transactions, including (i) the Merger; (ii)the Variation of Share Capital; and (iii</w:t>
            </w:r>
            <w:r>
              <w:rPr>
                <w:rFonts w:eastAsia="Times New Roman"/>
                <w:sz w:val="20"/>
                <w:szCs w:val="20"/>
              </w:rPr>
              <w:t>) the amendment and restatement of the existing memorandum and articles of association of the Company by their deletion in their entirety and the substitution in their place of the new memorandum and articles of association at the Effective Time, in the fo</w:t>
            </w:r>
            <w:r>
              <w:rPr>
                <w:rFonts w:eastAsia="Times New Roman"/>
                <w:sz w:val="20"/>
                <w:szCs w:val="20"/>
              </w:rPr>
              <w:t>rm attached as Annex 2 to the Plan of Merger (the “Adoption of Amended M&amp;A”), be authorized and approved;</w:t>
            </w:r>
          </w:p>
        </w:tc>
      </w:tr>
    </w:tbl>
    <w:p w14:paraId="31F66DDC"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0B60E98" w14:textId="77777777">
        <w:trPr>
          <w:divId w:val="415980837"/>
          <w:tblCellSpacing w:w="0" w:type="dxa"/>
        </w:trPr>
        <w:tc>
          <w:tcPr>
            <w:tcW w:w="720" w:type="dxa"/>
            <w:hideMark/>
          </w:tcPr>
          <w:p w14:paraId="55E14F1D" w14:textId="77777777" w:rsidR="00000000" w:rsidRDefault="002F725F">
            <w:pPr>
              <w:rPr>
                <w:sz w:val="20"/>
                <w:szCs w:val="20"/>
              </w:rPr>
            </w:pPr>
          </w:p>
        </w:tc>
        <w:tc>
          <w:tcPr>
            <w:tcW w:w="360" w:type="dxa"/>
            <w:hideMark/>
          </w:tcPr>
          <w:p w14:paraId="3FA4DC3C" w14:textId="77777777" w:rsidR="00000000" w:rsidRDefault="002F725F">
            <w:pPr>
              <w:rPr>
                <w:rFonts w:eastAsia="Times New Roman"/>
                <w:sz w:val="20"/>
                <w:szCs w:val="20"/>
              </w:rPr>
            </w:pPr>
            <w:r>
              <w:rPr>
                <w:rFonts w:eastAsia="Times New Roman"/>
                <w:sz w:val="20"/>
                <w:szCs w:val="20"/>
              </w:rPr>
              <w:t>●</w:t>
            </w:r>
          </w:p>
        </w:tc>
        <w:tc>
          <w:tcPr>
            <w:tcW w:w="0" w:type="auto"/>
            <w:hideMark/>
          </w:tcPr>
          <w:p w14:paraId="32A1B553" w14:textId="77777777" w:rsidR="00000000" w:rsidRDefault="002F725F">
            <w:pPr>
              <w:pStyle w:val="NormalWeb"/>
              <w:spacing w:before="0" w:beforeAutospacing="0" w:after="0" w:afterAutospacing="0"/>
              <w:jc w:val="both"/>
              <w:rPr>
                <w:sz w:val="20"/>
                <w:szCs w:val="20"/>
              </w:rPr>
            </w:pPr>
            <w:r>
              <w:rPr>
                <w:sz w:val="20"/>
                <w:szCs w:val="20"/>
              </w:rPr>
              <w:t>as a special resolution, that each of the members of the Special Committee be authorized to do all things necessary to give effect to the Merger</w:t>
            </w:r>
            <w:r>
              <w:rPr>
                <w:sz w:val="20"/>
                <w:szCs w:val="20"/>
              </w:rPr>
              <w:t xml:space="preserve"> Agreement, the Plan of Merger and the consummation of the Transactions, including the Merger, the Variation of Share Capital, and the Adoption of Amended M&amp;A; and</w:t>
            </w:r>
          </w:p>
        </w:tc>
      </w:tr>
    </w:tbl>
    <w:p w14:paraId="635A7DBC"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7DC7EEF" w14:textId="77777777">
        <w:trPr>
          <w:divId w:val="415980837"/>
          <w:tblCellSpacing w:w="0" w:type="dxa"/>
        </w:trPr>
        <w:tc>
          <w:tcPr>
            <w:tcW w:w="720" w:type="dxa"/>
            <w:hideMark/>
          </w:tcPr>
          <w:p w14:paraId="21968F0F" w14:textId="77777777" w:rsidR="00000000" w:rsidRDefault="002F725F">
            <w:pPr>
              <w:rPr>
                <w:sz w:val="20"/>
                <w:szCs w:val="20"/>
              </w:rPr>
            </w:pPr>
          </w:p>
        </w:tc>
        <w:tc>
          <w:tcPr>
            <w:tcW w:w="360" w:type="dxa"/>
            <w:hideMark/>
          </w:tcPr>
          <w:p w14:paraId="27FAF7C2" w14:textId="77777777" w:rsidR="00000000" w:rsidRDefault="002F725F">
            <w:pPr>
              <w:rPr>
                <w:rFonts w:eastAsia="Times New Roman"/>
                <w:sz w:val="20"/>
                <w:szCs w:val="20"/>
              </w:rPr>
            </w:pPr>
            <w:r>
              <w:rPr>
                <w:rFonts w:eastAsia="Times New Roman"/>
                <w:sz w:val="20"/>
                <w:szCs w:val="20"/>
              </w:rPr>
              <w:t>●</w:t>
            </w:r>
          </w:p>
        </w:tc>
        <w:tc>
          <w:tcPr>
            <w:tcW w:w="0" w:type="auto"/>
            <w:hideMark/>
          </w:tcPr>
          <w:p w14:paraId="61FFA7FD" w14:textId="77777777" w:rsidR="00000000" w:rsidRDefault="002F725F">
            <w:pPr>
              <w:jc w:val="both"/>
              <w:rPr>
                <w:rFonts w:eastAsia="Times New Roman"/>
                <w:sz w:val="20"/>
                <w:szCs w:val="20"/>
              </w:rPr>
            </w:pPr>
            <w:r>
              <w:rPr>
                <w:rFonts w:eastAsia="Times New Roman"/>
                <w:sz w:val="20"/>
                <w:szCs w:val="20"/>
              </w:rPr>
              <w:t>if necessary, as an ordinary resolution, that the extraordinary general meeting be adjourned in order to allow the Company to solicit additional proxies in the event that there are insufficient proxies received at the time of the extraordinary general meet</w:t>
            </w:r>
            <w:r>
              <w:rPr>
                <w:rFonts w:eastAsia="Times New Roman"/>
                <w:sz w:val="20"/>
                <w:szCs w:val="20"/>
              </w:rPr>
              <w:t>ing to pass the special resolutions to be proposed at the extraordinary general meeting.</w:t>
            </w:r>
          </w:p>
        </w:tc>
      </w:tr>
    </w:tbl>
    <w:p w14:paraId="50FE717D"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428BF08C" w14:textId="77777777">
        <w:trPr>
          <w:divId w:val="415980837"/>
          <w:tblCellSpacing w:w="0" w:type="dxa"/>
        </w:trPr>
        <w:tc>
          <w:tcPr>
            <w:tcW w:w="6" w:type="dxa"/>
            <w:hideMark/>
          </w:tcPr>
          <w:p w14:paraId="4C549A02" w14:textId="77777777" w:rsidR="00000000" w:rsidRDefault="002F725F">
            <w:pPr>
              <w:rPr>
                <w:sz w:val="20"/>
                <w:szCs w:val="20"/>
              </w:rPr>
            </w:pPr>
          </w:p>
        </w:tc>
        <w:tc>
          <w:tcPr>
            <w:tcW w:w="720" w:type="dxa"/>
            <w:hideMark/>
          </w:tcPr>
          <w:p w14:paraId="64A51125"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2B8FB127" w14:textId="77777777" w:rsidR="00000000" w:rsidRDefault="002F725F">
            <w:pPr>
              <w:jc w:val="both"/>
              <w:rPr>
                <w:rFonts w:eastAsia="Times New Roman"/>
                <w:sz w:val="20"/>
                <w:szCs w:val="20"/>
              </w:rPr>
            </w:pPr>
            <w:r>
              <w:rPr>
                <w:rFonts w:eastAsia="Times New Roman"/>
                <w:b/>
                <w:bCs/>
                <w:sz w:val="20"/>
                <w:szCs w:val="20"/>
              </w:rPr>
              <w:t>What is the Merger?</w:t>
            </w:r>
          </w:p>
        </w:tc>
      </w:tr>
    </w:tbl>
    <w:p w14:paraId="0D97FA5D"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088010EB" w14:textId="77777777">
        <w:trPr>
          <w:divId w:val="415980837"/>
          <w:tblCellSpacing w:w="0" w:type="dxa"/>
        </w:trPr>
        <w:tc>
          <w:tcPr>
            <w:tcW w:w="6" w:type="dxa"/>
            <w:hideMark/>
          </w:tcPr>
          <w:p w14:paraId="1A6C6A8C" w14:textId="77777777" w:rsidR="00000000" w:rsidRDefault="002F725F">
            <w:pPr>
              <w:rPr>
                <w:sz w:val="20"/>
                <w:szCs w:val="20"/>
              </w:rPr>
            </w:pPr>
          </w:p>
        </w:tc>
        <w:tc>
          <w:tcPr>
            <w:tcW w:w="720" w:type="dxa"/>
            <w:hideMark/>
          </w:tcPr>
          <w:p w14:paraId="4C404F81" w14:textId="77777777" w:rsidR="00000000" w:rsidRDefault="002F725F">
            <w:pPr>
              <w:rPr>
                <w:rFonts w:eastAsia="Times New Roman"/>
                <w:sz w:val="20"/>
                <w:szCs w:val="20"/>
              </w:rPr>
            </w:pPr>
            <w:r>
              <w:rPr>
                <w:rFonts w:eastAsia="Times New Roman"/>
                <w:sz w:val="20"/>
                <w:szCs w:val="20"/>
              </w:rPr>
              <w:t>A:</w:t>
            </w:r>
          </w:p>
        </w:tc>
        <w:tc>
          <w:tcPr>
            <w:tcW w:w="0" w:type="auto"/>
            <w:hideMark/>
          </w:tcPr>
          <w:p w14:paraId="5A36EF1D" w14:textId="77777777" w:rsidR="00000000" w:rsidRDefault="002F725F">
            <w:pPr>
              <w:jc w:val="both"/>
              <w:rPr>
                <w:rFonts w:eastAsia="Times New Roman"/>
                <w:sz w:val="20"/>
                <w:szCs w:val="20"/>
              </w:rPr>
            </w:pPr>
            <w:r>
              <w:rPr>
                <w:rFonts w:eastAsia="Times New Roman"/>
                <w:sz w:val="20"/>
                <w:szCs w:val="20"/>
              </w:rPr>
              <w:t>The Merger is a going private transaction pursuant to which Merger Sub will be merged with and into the Company and cease to exist. O</w:t>
            </w:r>
            <w:r>
              <w:rPr>
                <w:rFonts w:eastAsia="Times New Roman"/>
                <w:sz w:val="20"/>
                <w:szCs w:val="20"/>
              </w:rPr>
              <w:t>nce the Merger Agreement and the Plan of Merger are approved and authorized by the Company’s shareholders and the other closing conditions under the Merger Agreement have been satisfied or waived, Merger Sub will be merged with and into the Company, with t</w:t>
            </w:r>
            <w:r>
              <w:rPr>
                <w:rFonts w:eastAsia="Times New Roman"/>
                <w:sz w:val="20"/>
                <w:szCs w:val="20"/>
              </w:rPr>
              <w:t>he Company continuing as the Surviving Company after the Merger. If the Merger is consummated, the Company will continue its operations as a privately held company beneficially owned by Parent and, as a result of the Merger, the Shares and Company Warrants</w:t>
            </w:r>
            <w:r>
              <w:rPr>
                <w:rFonts w:eastAsia="Times New Roman"/>
                <w:sz w:val="20"/>
                <w:szCs w:val="20"/>
              </w:rPr>
              <w:t xml:space="preserve"> will no longer be listed for quotation on OTC Pink.</w:t>
            </w:r>
          </w:p>
        </w:tc>
      </w:tr>
    </w:tbl>
    <w:p w14:paraId="3415B1A2"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5497AE8C" w14:textId="77777777">
        <w:trPr>
          <w:divId w:val="415980837"/>
          <w:tblCellSpacing w:w="0" w:type="dxa"/>
        </w:trPr>
        <w:tc>
          <w:tcPr>
            <w:tcW w:w="6" w:type="dxa"/>
            <w:hideMark/>
          </w:tcPr>
          <w:p w14:paraId="3F4C5869" w14:textId="77777777" w:rsidR="00000000" w:rsidRDefault="002F725F">
            <w:pPr>
              <w:rPr>
                <w:sz w:val="20"/>
                <w:szCs w:val="20"/>
              </w:rPr>
            </w:pPr>
          </w:p>
        </w:tc>
        <w:tc>
          <w:tcPr>
            <w:tcW w:w="720" w:type="dxa"/>
            <w:hideMark/>
          </w:tcPr>
          <w:p w14:paraId="6EE895B3"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6BC3E0E5" w14:textId="77777777" w:rsidR="00000000" w:rsidRDefault="002F725F">
            <w:pPr>
              <w:jc w:val="both"/>
              <w:rPr>
                <w:rFonts w:eastAsia="Times New Roman"/>
                <w:sz w:val="20"/>
                <w:szCs w:val="20"/>
              </w:rPr>
            </w:pPr>
            <w:r>
              <w:rPr>
                <w:rFonts w:eastAsia="Times New Roman"/>
                <w:b/>
                <w:bCs/>
                <w:sz w:val="20"/>
                <w:szCs w:val="20"/>
              </w:rPr>
              <w:t>When do you expect the Merger to be completed?</w:t>
            </w:r>
          </w:p>
        </w:tc>
      </w:tr>
    </w:tbl>
    <w:p w14:paraId="5A10065A"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132A4470" w14:textId="77777777">
        <w:trPr>
          <w:divId w:val="415980837"/>
          <w:tblCellSpacing w:w="0" w:type="dxa"/>
        </w:trPr>
        <w:tc>
          <w:tcPr>
            <w:tcW w:w="6" w:type="dxa"/>
            <w:hideMark/>
          </w:tcPr>
          <w:p w14:paraId="33D08E33" w14:textId="77777777" w:rsidR="00000000" w:rsidRDefault="002F725F">
            <w:pPr>
              <w:rPr>
                <w:sz w:val="20"/>
                <w:szCs w:val="20"/>
              </w:rPr>
            </w:pPr>
          </w:p>
        </w:tc>
        <w:tc>
          <w:tcPr>
            <w:tcW w:w="720" w:type="dxa"/>
            <w:hideMark/>
          </w:tcPr>
          <w:p w14:paraId="62EC1CC2" w14:textId="77777777" w:rsidR="00000000" w:rsidRDefault="002F725F">
            <w:pPr>
              <w:rPr>
                <w:rFonts w:eastAsia="Times New Roman"/>
                <w:sz w:val="20"/>
                <w:szCs w:val="20"/>
              </w:rPr>
            </w:pPr>
            <w:r>
              <w:rPr>
                <w:rFonts w:eastAsia="Times New Roman"/>
                <w:sz w:val="20"/>
                <w:szCs w:val="20"/>
              </w:rPr>
              <w:t>A:</w:t>
            </w:r>
          </w:p>
        </w:tc>
        <w:tc>
          <w:tcPr>
            <w:tcW w:w="0" w:type="auto"/>
            <w:hideMark/>
          </w:tcPr>
          <w:p w14:paraId="17181D57" w14:textId="77777777" w:rsidR="00000000" w:rsidRDefault="002F725F">
            <w:pPr>
              <w:jc w:val="both"/>
              <w:rPr>
                <w:rFonts w:eastAsia="Times New Roman"/>
                <w:sz w:val="20"/>
                <w:szCs w:val="20"/>
              </w:rPr>
            </w:pPr>
            <w:r>
              <w:rPr>
                <w:rFonts w:eastAsia="Times New Roman"/>
                <w:sz w:val="20"/>
                <w:szCs w:val="20"/>
              </w:rPr>
              <w:t>We are working towards completing the Merger as quickly as possible and currently expect the Merger to close during the third quarter of 2026. In order to complete the Merger, we must obtain shareholder approval of the Merger at the extraordinary general m</w:t>
            </w:r>
            <w:r>
              <w:rPr>
                <w:rFonts w:eastAsia="Times New Roman"/>
                <w:sz w:val="20"/>
                <w:szCs w:val="20"/>
              </w:rPr>
              <w:t>eeting and the other closing conditions under the Merger Agreement must be satisfied or waived in accordance with the Merger Agreement.</w:t>
            </w:r>
          </w:p>
        </w:tc>
      </w:tr>
    </w:tbl>
    <w:p w14:paraId="57902825"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t> </w:t>
      </w:r>
    </w:p>
    <w:p w14:paraId="5060FAC4" w14:textId="77777777" w:rsidR="00000000" w:rsidRDefault="002F725F">
      <w:pPr>
        <w:pStyle w:val="NormalWeb"/>
        <w:spacing w:before="0" w:beforeAutospacing="0" w:after="0" w:afterAutospacing="0"/>
        <w:jc w:val="center"/>
        <w:divId w:val="588000035"/>
        <w:rPr>
          <w:sz w:val="20"/>
          <w:szCs w:val="20"/>
        </w:rPr>
      </w:pPr>
      <w:r>
        <w:rPr>
          <w:sz w:val="20"/>
          <w:szCs w:val="20"/>
        </w:rPr>
        <w:t>1</w:t>
      </w:r>
      <w:r>
        <w:rPr>
          <w:sz w:val="20"/>
          <w:szCs w:val="20"/>
        </w:rPr>
        <w:t>1</w:t>
      </w:r>
    </w:p>
    <w:p w14:paraId="33811D8D" w14:textId="77777777" w:rsidR="00000000" w:rsidRDefault="002F725F">
      <w:pPr>
        <w:pStyle w:val="NormalWeb"/>
        <w:spacing w:before="0" w:beforeAutospacing="0" w:after="0" w:afterAutospacing="0"/>
        <w:divId w:val="2035959798"/>
        <w:rPr>
          <w:sz w:val="20"/>
          <w:szCs w:val="20"/>
        </w:rPr>
      </w:pPr>
      <w:r>
        <w:rPr>
          <w:sz w:val="20"/>
          <w:szCs w:val="20"/>
        </w:rPr>
        <w:t> </w:t>
      </w:r>
    </w:p>
    <w:p w14:paraId="7B5776B9"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8640"/>
      </w:tblGrid>
      <w:tr w:rsidR="00000000" w14:paraId="6C2F8BD1" w14:textId="77777777">
        <w:trPr>
          <w:divId w:val="415980837"/>
          <w:tblCellSpacing w:w="0" w:type="dxa"/>
        </w:trPr>
        <w:tc>
          <w:tcPr>
            <w:tcW w:w="720" w:type="dxa"/>
            <w:hideMark/>
          </w:tcPr>
          <w:p w14:paraId="65728281"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75056CE5" w14:textId="77777777" w:rsidR="00000000" w:rsidRDefault="002F725F">
            <w:pPr>
              <w:jc w:val="both"/>
              <w:rPr>
                <w:rFonts w:eastAsia="Times New Roman"/>
                <w:sz w:val="20"/>
                <w:szCs w:val="20"/>
              </w:rPr>
            </w:pPr>
            <w:r>
              <w:rPr>
                <w:rFonts w:eastAsia="Times New Roman"/>
                <w:b/>
                <w:bCs/>
                <w:sz w:val="20"/>
                <w:szCs w:val="20"/>
              </w:rPr>
              <w:t>What is the Variation of Share Capital?</w:t>
            </w:r>
          </w:p>
        </w:tc>
      </w:tr>
    </w:tbl>
    <w:p w14:paraId="7713D03A"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8640"/>
      </w:tblGrid>
      <w:tr w:rsidR="00000000" w14:paraId="5AF10C80" w14:textId="77777777">
        <w:trPr>
          <w:divId w:val="415980837"/>
          <w:tblCellSpacing w:w="0" w:type="dxa"/>
        </w:trPr>
        <w:tc>
          <w:tcPr>
            <w:tcW w:w="720" w:type="dxa"/>
            <w:hideMark/>
          </w:tcPr>
          <w:p w14:paraId="4E283249" w14:textId="77777777" w:rsidR="00000000" w:rsidRDefault="002F725F">
            <w:pPr>
              <w:rPr>
                <w:rFonts w:eastAsia="Times New Roman"/>
                <w:sz w:val="20"/>
                <w:szCs w:val="20"/>
              </w:rPr>
            </w:pPr>
            <w:r>
              <w:rPr>
                <w:rFonts w:eastAsia="Times New Roman"/>
                <w:sz w:val="20"/>
                <w:szCs w:val="20"/>
              </w:rPr>
              <w:t>A:</w:t>
            </w:r>
          </w:p>
        </w:tc>
        <w:tc>
          <w:tcPr>
            <w:tcW w:w="0" w:type="auto"/>
            <w:hideMark/>
          </w:tcPr>
          <w:p w14:paraId="771E060A" w14:textId="77777777" w:rsidR="00000000" w:rsidRDefault="002F725F">
            <w:pPr>
              <w:pStyle w:val="NormalWeb"/>
              <w:spacing w:before="0" w:beforeAutospacing="0" w:after="0" w:afterAutospacing="0"/>
              <w:jc w:val="both"/>
              <w:rPr>
                <w:sz w:val="20"/>
                <w:szCs w:val="20"/>
              </w:rPr>
            </w:pPr>
            <w:r>
              <w:rPr>
                <w:sz w:val="20"/>
                <w:szCs w:val="20"/>
              </w:rPr>
              <w:t xml:space="preserve">Pursuant to the Merger Agreement and the Plan of Merger, the </w:t>
            </w:r>
            <w:r>
              <w:rPr>
                <w:sz w:val="20"/>
                <w:szCs w:val="20"/>
              </w:rPr>
              <w:t xml:space="preserve">Company’s authorized share capital will be amended, at the Effective Time, from US$50,000 divided into 250,000,000 ordinary shares of a par value of US$0.0002 each to US$50,000 divided into 500,000,000 ordinary shares of a par value of US$0.0001 each (the </w:t>
            </w:r>
            <w:r>
              <w:rPr>
                <w:sz w:val="20"/>
                <w:szCs w:val="20"/>
              </w:rPr>
              <w:t>“Variation of Share Capital”).</w:t>
            </w:r>
          </w:p>
          <w:p w14:paraId="55DAA092" w14:textId="77777777" w:rsidR="00000000" w:rsidRDefault="002F725F">
            <w:pPr>
              <w:pStyle w:val="NormalWeb"/>
              <w:spacing w:before="0" w:beforeAutospacing="0" w:after="0" w:afterAutospacing="0"/>
              <w:jc w:val="both"/>
              <w:rPr>
                <w:sz w:val="20"/>
                <w:szCs w:val="20"/>
              </w:rPr>
            </w:pPr>
            <w:r>
              <w:rPr>
                <w:sz w:val="20"/>
                <w:szCs w:val="20"/>
              </w:rPr>
              <w:t> </w:t>
            </w:r>
          </w:p>
          <w:p w14:paraId="3F4EF374" w14:textId="77777777" w:rsidR="00000000" w:rsidRDefault="002F725F">
            <w:pPr>
              <w:pStyle w:val="NormalWeb"/>
              <w:spacing w:before="0" w:beforeAutospacing="0" w:after="0" w:afterAutospacing="0"/>
              <w:jc w:val="both"/>
              <w:rPr>
                <w:sz w:val="20"/>
                <w:szCs w:val="20"/>
              </w:rPr>
            </w:pPr>
            <w:r>
              <w:rPr>
                <w:sz w:val="20"/>
                <w:szCs w:val="20"/>
              </w:rPr>
              <w:t>The purpose of the Variation of Share Capital is to align the Surviving Company’</w:t>
            </w:r>
            <w:r>
              <w:rPr>
                <w:sz w:val="20"/>
                <w:szCs w:val="20"/>
              </w:rPr>
              <w:t>s authorized share capital to be the same as that of Merger Sub as set forth in the Plan of Merger. The Variation of Share Capital will not affect the merger consideration to be received by the Unaffiliated Security Holders.</w:t>
            </w:r>
          </w:p>
          <w:p w14:paraId="52DE90FE" w14:textId="77777777" w:rsidR="00000000" w:rsidRDefault="002F725F">
            <w:pPr>
              <w:pStyle w:val="NormalWeb"/>
              <w:spacing w:before="0" w:beforeAutospacing="0" w:after="0" w:afterAutospacing="0"/>
              <w:jc w:val="both"/>
              <w:rPr>
                <w:sz w:val="20"/>
                <w:szCs w:val="20"/>
              </w:rPr>
            </w:pPr>
            <w:r>
              <w:rPr>
                <w:sz w:val="20"/>
                <w:szCs w:val="20"/>
              </w:rPr>
              <w:t> </w:t>
            </w:r>
          </w:p>
          <w:p w14:paraId="3F6D30AC" w14:textId="77777777" w:rsidR="00000000" w:rsidRDefault="002F725F">
            <w:pPr>
              <w:pStyle w:val="NormalWeb"/>
              <w:spacing w:before="0" w:beforeAutospacing="0" w:after="0" w:afterAutospacing="0"/>
              <w:jc w:val="both"/>
              <w:rPr>
                <w:sz w:val="20"/>
                <w:szCs w:val="20"/>
              </w:rPr>
            </w:pPr>
            <w:r>
              <w:rPr>
                <w:sz w:val="20"/>
                <w:szCs w:val="20"/>
              </w:rPr>
              <w:t>Under the Cayman Islands Comp</w:t>
            </w:r>
            <w:r>
              <w:rPr>
                <w:sz w:val="20"/>
                <w:szCs w:val="20"/>
              </w:rPr>
              <w:t>anies Act and the Company’s second amended and restated memorandum and articles of association, the Variation of Share Capital as part of the terms of the Plan of Merger must be approved by a special resolution of the shareholders of the Company, which req</w:t>
            </w:r>
            <w:r>
              <w:rPr>
                <w:sz w:val="20"/>
                <w:szCs w:val="20"/>
              </w:rPr>
              <w:t xml:space="preserve">uires not less than two-thirds of the affirmative votes cast by such shareholders as, being entitled to do so, vote in person or, where proxies </w:t>
            </w:r>
            <w:r>
              <w:rPr>
                <w:sz w:val="20"/>
                <w:szCs w:val="20"/>
              </w:rPr>
              <w:lastRenderedPageBreak/>
              <w:t>are allowed, by proxy or, in the case of corporations, by their duly authorised representatives, as a single cla</w:t>
            </w:r>
            <w:r>
              <w:rPr>
                <w:sz w:val="20"/>
                <w:szCs w:val="20"/>
              </w:rPr>
              <w:t>ss at the extraordinary general meeting or any adjournment or postponement thereof.</w:t>
            </w:r>
          </w:p>
        </w:tc>
      </w:tr>
    </w:tbl>
    <w:p w14:paraId="6C79786B"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321C8566" w14:textId="77777777">
        <w:trPr>
          <w:divId w:val="415980837"/>
          <w:tblCellSpacing w:w="0" w:type="dxa"/>
        </w:trPr>
        <w:tc>
          <w:tcPr>
            <w:tcW w:w="6" w:type="dxa"/>
            <w:hideMark/>
          </w:tcPr>
          <w:p w14:paraId="0B0D8C9F" w14:textId="77777777" w:rsidR="00000000" w:rsidRDefault="002F725F">
            <w:pPr>
              <w:rPr>
                <w:sz w:val="20"/>
                <w:szCs w:val="20"/>
              </w:rPr>
            </w:pPr>
          </w:p>
        </w:tc>
        <w:tc>
          <w:tcPr>
            <w:tcW w:w="720" w:type="dxa"/>
            <w:hideMark/>
          </w:tcPr>
          <w:p w14:paraId="21D86B08"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068EDF63" w14:textId="77777777" w:rsidR="00000000" w:rsidRDefault="002F725F">
            <w:pPr>
              <w:jc w:val="both"/>
              <w:rPr>
                <w:rFonts w:eastAsia="Times New Roman"/>
                <w:sz w:val="20"/>
                <w:szCs w:val="20"/>
              </w:rPr>
            </w:pPr>
            <w:r>
              <w:rPr>
                <w:rFonts w:eastAsia="Times New Roman"/>
                <w:b/>
                <w:bCs/>
                <w:sz w:val="20"/>
                <w:szCs w:val="20"/>
              </w:rPr>
              <w:t>How does the Board recommend that I vote on the proposals?</w:t>
            </w:r>
          </w:p>
        </w:tc>
      </w:tr>
    </w:tbl>
    <w:p w14:paraId="0B3668E2"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492E647D" w14:textId="77777777">
        <w:trPr>
          <w:divId w:val="415980837"/>
          <w:tblCellSpacing w:w="0" w:type="dxa"/>
        </w:trPr>
        <w:tc>
          <w:tcPr>
            <w:tcW w:w="6" w:type="dxa"/>
            <w:hideMark/>
          </w:tcPr>
          <w:p w14:paraId="41625CE0" w14:textId="77777777" w:rsidR="00000000" w:rsidRDefault="002F725F">
            <w:pPr>
              <w:rPr>
                <w:sz w:val="20"/>
                <w:szCs w:val="20"/>
              </w:rPr>
            </w:pPr>
          </w:p>
        </w:tc>
        <w:tc>
          <w:tcPr>
            <w:tcW w:w="720" w:type="dxa"/>
            <w:hideMark/>
          </w:tcPr>
          <w:p w14:paraId="7591CEBF" w14:textId="77777777" w:rsidR="00000000" w:rsidRDefault="002F725F">
            <w:pPr>
              <w:rPr>
                <w:rFonts w:eastAsia="Times New Roman"/>
                <w:sz w:val="20"/>
                <w:szCs w:val="20"/>
              </w:rPr>
            </w:pPr>
            <w:r>
              <w:rPr>
                <w:rFonts w:eastAsia="Times New Roman"/>
                <w:sz w:val="20"/>
                <w:szCs w:val="20"/>
              </w:rPr>
              <w:t>A:</w:t>
            </w:r>
          </w:p>
        </w:tc>
        <w:tc>
          <w:tcPr>
            <w:tcW w:w="0" w:type="auto"/>
            <w:hideMark/>
          </w:tcPr>
          <w:p w14:paraId="75B55943" w14:textId="77777777" w:rsidR="00000000" w:rsidRDefault="002F725F">
            <w:pPr>
              <w:jc w:val="both"/>
              <w:rPr>
                <w:rFonts w:eastAsia="Times New Roman"/>
                <w:sz w:val="20"/>
                <w:szCs w:val="20"/>
              </w:rPr>
            </w:pPr>
            <w:r>
              <w:rPr>
                <w:rFonts w:eastAsia="Times New Roman"/>
                <w:sz w:val="20"/>
                <w:szCs w:val="20"/>
              </w:rPr>
              <w:t>After careful consideration, and upon the unanimous recommendation of the Special Committee, the Bo</w:t>
            </w:r>
            <w:r>
              <w:rPr>
                <w:rFonts w:eastAsia="Times New Roman"/>
                <w:sz w:val="20"/>
                <w:szCs w:val="20"/>
              </w:rPr>
              <w:t>ard (other than Ms. Rui (Rachel) Yu who recused herself from the meeting of the Board and Dr. Hui (David) Shao who abstained from voting at the meeting of the Board) recommends you to vote:</w:t>
            </w:r>
          </w:p>
        </w:tc>
      </w:tr>
    </w:tbl>
    <w:p w14:paraId="13D1E0B6"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7EF73C1" w14:textId="77777777">
        <w:trPr>
          <w:divId w:val="415980837"/>
          <w:tblCellSpacing w:w="0" w:type="dxa"/>
        </w:trPr>
        <w:tc>
          <w:tcPr>
            <w:tcW w:w="720" w:type="dxa"/>
            <w:hideMark/>
          </w:tcPr>
          <w:p w14:paraId="75A65CA9" w14:textId="77777777" w:rsidR="00000000" w:rsidRDefault="002F725F">
            <w:pPr>
              <w:rPr>
                <w:sz w:val="20"/>
                <w:szCs w:val="20"/>
              </w:rPr>
            </w:pPr>
          </w:p>
        </w:tc>
        <w:tc>
          <w:tcPr>
            <w:tcW w:w="360" w:type="dxa"/>
            <w:hideMark/>
          </w:tcPr>
          <w:p w14:paraId="0A3DC898" w14:textId="77777777" w:rsidR="00000000" w:rsidRDefault="002F725F">
            <w:pPr>
              <w:rPr>
                <w:rFonts w:eastAsia="Times New Roman"/>
                <w:sz w:val="20"/>
                <w:szCs w:val="20"/>
              </w:rPr>
            </w:pPr>
            <w:r>
              <w:rPr>
                <w:rFonts w:eastAsia="Times New Roman"/>
                <w:sz w:val="20"/>
                <w:szCs w:val="20"/>
              </w:rPr>
              <w:t>●</w:t>
            </w:r>
          </w:p>
        </w:tc>
        <w:tc>
          <w:tcPr>
            <w:tcW w:w="0" w:type="auto"/>
            <w:hideMark/>
          </w:tcPr>
          <w:p w14:paraId="7F4512CE" w14:textId="77777777" w:rsidR="00000000" w:rsidRDefault="002F725F">
            <w:pPr>
              <w:jc w:val="both"/>
              <w:rPr>
                <w:rFonts w:eastAsia="Times New Roman"/>
                <w:sz w:val="20"/>
                <w:szCs w:val="20"/>
              </w:rPr>
            </w:pPr>
            <w:r>
              <w:rPr>
                <w:rFonts w:eastAsia="Times New Roman"/>
                <w:sz w:val="20"/>
                <w:szCs w:val="20"/>
              </w:rPr>
              <w:t>FOR the proposal to authorize and approve the Merger Agreement, the Plan of Merger and the consummation of the Transactions, including the Merger, the Variation of Share Capital, and the Adoption of Amended M&amp;A;</w:t>
            </w:r>
          </w:p>
        </w:tc>
      </w:tr>
    </w:tbl>
    <w:p w14:paraId="583883F6"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450999F" w14:textId="77777777">
        <w:trPr>
          <w:divId w:val="415980837"/>
          <w:tblCellSpacing w:w="0" w:type="dxa"/>
        </w:trPr>
        <w:tc>
          <w:tcPr>
            <w:tcW w:w="720" w:type="dxa"/>
            <w:hideMark/>
          </w:tcPr>
          <w:p w14:paraId="0B2B4DD6" w14:textId="77777777" w:rsidR="00000000" w:rsidRDefault="002F725F">
            <w:pPr>
              <w:rPr>
                <w:sz w:val="20"/>
                <w:szCs w:val="20"/>
              </w:rPr>
            </w:pPr>
          </w:p>
        </w:tc>
        <w:tc>
          <w:tcPr>
            <w:tcW w:w="360" w:type="dxa"/>
            <w:hideMark/>
          </w:tcPr>
          <w:p w14:paraId="1755B993" w14:textId="77777777" w:rsidR="00000000" w:rsidRDefault="002F725F">
            <w:pPr>
              <w:rPr>
                <w:rFonts w:eastAsia="Times New Roman"/>
                <w:sz w:val="20"/>
                <w:szCs w:val="20"/>
              </w:rPr>
            </w:pPr>
            <w:r>
              <w:rPr>
                <w:rFonts w:eastAsia="Times New Roman"/>
                <w:sz w:val="20"/>
                <w:szCs w:val="20"/>
              </w:rPr>
              <w:t>●</w:t>
            </w:r>
          </w:p>
        </w:tc>
        <w:tc>
          <w:tcPr>
            <w:tcW w:w="0" w:type="auto"/>
            <w:hideMark/>
          </w:tcPr>
          <w:p w14:paraId="4EBD0409" w14:textId="77777777" w:rsidR="00000000" w:rsidRDefault="002F725F">
            <w:pPr>
              <w:jc w:val="both"/>
              <w:rPr>
                <w:rFonts w:eastAsia="Times New Roman"/>
                <w:sz w:val="20"/>
                <w:szCs w:val="20"/>
              </w:rPr>
            </w:pPr>
            <w:r>
              <w:rPr>
                <w:rFonts w:eastAsia="Times New Roman"/>
                <w:sz w:val="20"/>
                <w:szCs w:val="20"/>
              </w:rPr>
              <w:t xml:space="preserve">FOR the proposal to authorize each of </w:t>
            </w:r>
            <w:r>
              <w:rPr>
                <w:rFonts w:eastAsia="Times New Roman"/>
                <w:sz w:val="20"/>
                <w:szCs w:val="20"/>
              </w:rPr>
              <w:t>the members of the Special Committee to do all things necessary to give effect to the Merger Agreement, the Plan of Merger and the consummation of the Transactions, including the Merger, the Variation of Share Capital, and the Adoption of Amended M&amp;A; and</w:t>
            </w:r>
          </w:p>
        </w:tc>
      </w:tr>
    </w:tbl>
    <w:p w14:paraId="6322461F"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FE02EC5" w14:textId="77777777">
        <w:trPr>
          <w:divId w:val="415980837"/>
          <w:tblCellSpacing w:w="0" w:type="dxa"/>
        </w:trPr>
        <w:tc>
          <w:tcPr>
            <w:tcW w:w="720" w:type="dxa"/>
            <w:hideMark/>
          </w:tcPr>
          <w:p w14:paraId="34E8F98A" w14:textId="77777777" w:rsidR="00000000" w:rsidRDefault="002F725F">
            <w:pPr>
              <w:rPr>
                <w:sz w:val="20"/>
                <w:szCs w:val="20"/>
              </w:rPr>
            </w:pPr>
          </w:p>
        </w:tc>
        <w:tc>
          <w:tcPr>
            <w:tcW w:w="360" w:type="dxa"/>
            <w:hideMark/>
          </w:tcPr>
          <w:p w14:paraId="68B9FAA6" w14:textId="77777777" w:rsidR="00000000" w:rsidRDefault="002F725F">
            <w:pPr>
              <w:rPr>
                <w:rFonts w:eastAsia="Times New Roman"/>
                <w:sz w:val="20"/>
                <w:szCs w:val="20"/>
              </w:rPr>
            </w:pPr>
            <w:r>
              <w:rPr>
                <w:rFonts w:eastAsia="Times New Roman"/>
                <w:sz w:val="20"/>
                <w:szCs w:val="20"/>
              </w:rPr>
              <w:t>●</w:t>
            </w:r>
          </w:p>
        </w:tc>
        <w:tc>
          <w:tcPr>
            <w:tcW w:w="0" w:type="auto"/>
            <w:hideMark/>
          </w:tcPr>
          <w:p w14:paraId="41D19223" w14:textId="77777777" w:rsidR="00000000" w:rsidRDefault="002F725F">
            <w:pPr>
              <w:jc w:val="both"/>
              <w:rPr>
                <w:rFonts w:eastAsia="Times New Roman"/>
                <w:sz w:val="20"/>
                <w:szCs w:val="20"/>
              </w:rPr>
            </w:pPr>
            <w:r>
              <w:rPr>
                <w:rFonts w:eastAsia="Times New Roman"/>
                <w:sz w:val="20"/>
                <w:szCs w:val="20"/>
              </w:rPr>
              <w:t>FOR the proposal to adjourn the extraordinary general meeting in order to allow the Company to solicit additional proxies in the event that there are insufficient proxies received at the time of the extraordinary general meeting to pass the special r</w:t>
            </w:r>
            <w:r>
              <w:rPr>
                <w:rFonts w:eastAsia="Times New Roman"/>
                <w:sz w:val="20"/>
                <w:szCs w:val="20"/>
              </w:rPr>
              <w:t>esolutions to be proposed at the extraordinary general meeting.</w:t>
            </w:r>
          </w:p>
        </w:tc>
      </w:tr>
    </w:tbl>
    <w:p w14:paraId="766EFE2D"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1CDCD438" w14:textId="77777777">
        <w:trPr>
          <w:divId w:val="415980837"/>
          <w:tblCellSpacing w:w="0" w:type="dxa"/>
        </w:trPr>
        <w:tc>
          <w:tcPr>
            <w:tcW w:w="6" w:type="dxa"/>
            <w:hideMark/>
          </w:tcPr>
          <w:p w14:paraId="1B19F08C" w14:textId="77777777" w:rsidR="00000000" w:rsidRDefault="002F725F">
            <w:pPr>
              <w:rPr>
                <w:sz w:val="20"/>
                <w:szCs w:val="20"/>
              </w:rPr>
            </w:pPr>
          </w:p>
        </w:tc>
        <w:tc>
          <w:tcPr>
            <w:tcW w:w="720" w:type="dxa"/>
            <w:hideMark/>
          </w:tcPr>
          <w:p w14:paraId="4D2DE96D"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7560C7C5" w14:textId="77777777" w:rsidR="00000000" w:rsidRDefault="002F725F">
            <w:pPr>
              <w:jc w:val="both"/>
              <w:rPr>
                <w:rFonts w:eastAsia="Times New Roman"/>
                <w:sz w:val="20"/>
                <w:szCs w:val="20"/>
              </w:rPr>
            </w:pPr>
            <w:r>
              <w:rPr>
                <w:rFonts w:eastAsia="Times New Roman"/>
                <w:b/>
                <w:bCs/>
                <w:sz w:val="20"/>
                <w:szCs w:val="20"/>
              </w:rPr>
              <w:t>What vote of the Company’s shareholders is required to authorize and approve the Merger Agreement and the Plan of Merger?</w:t>
            </w:r>
          </w:p>
        </w:tc>
      </w:tr>
    </w:tbl>
    <w:p w14:paraId="5EC6215D"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3303A452" w14:textId="77777777">
        <w:trPr>
          <w:divId w:val="415980837"/>
          <w:tblCellSpacing w:w="0" w:type="dxa"/>
        </w:trPr>
        <w:tc>
          <w:tcPr>
            <w:tcW w:w="6" w:type="dxa"/>
            <w:hideMark/>
          </w:tcPr>
          <w:p w14:paraId="71FACF63" w14:textId="77777777" w:rsidR="00000000" w:rsidRDefault="002F725F">
            <w:pPr>
              <w:rPr>
                <w:sz w:val="20"/>
                <w:szCs w:val="20"/>
              </w:rPr>
            </w:pPr>
          </w:p>
        </w:tc>
        <w:tc>
          <w:tcPr>
            <w:tcW w:w="720" w:type="dxa"/>
            <w:hideMark/>
          </w:tcPr>
          <w:p w14:paraId="3DF30AAB" w14:textId="77777777" w:rsidR="00000000" w:rsidRDefault="002F725F">
            <w:pPr>
              <w:rPr>
                <w:rFonts w:eastAsia="Times New Roman"/>
                <w:sz w:val="20"/>
                <w:szCs w:val="20"/>
              </w:rPr>
            </w:pPr>
            <w:r>
              <w:rPr>
                <w:rFonts w:eastAsia="Times New Roman"/>
                <w:sz w:val="20"/>
                <w:szCs w:val="20"/>
              </w:rPr>
              <w:t>A:</w:t>
            </w:r>
          </w:p>
        </w:tc>
        <w:tc>
          <w:tcPr>
            <w:tcW w:w="0" w:type="auto"/>
            <w:hideMark/>
          </w:tcPr>
          <w:p w14:paraId="2FED05C8" w14:textId="77777777" w:rsidR="00000000" w:rsidRDefault="002F725F">
            <w:pPr>
              <w:jc w:val="both"/>
              <w:rPr>
                <w:rFonts w:eastAsia="Times New Roman"/>
                <w:sz w:val="20"/>
                <w:szCs w:val="20"/>
              </w:rPr>
            </w:pPr>
            <w:r>
              <w:rPr>
                <w:rFonts w:eastAsia="Times New Roman"/>
                <w:sz w:val="20"/>
                <w:szCs w:val="20"/>
              </w:rPr>
              <w:t>An affirmative vote of holders of Shares representing at least two-thirds of the votes cast by such shareholders as, being entitled to do so, vote in person or, where proxies are allowed, by proxy or, in the case of corporations, by their duly authorised r</w:t>
            </w:r>
            <w:r>
              <w:rPr>
                <w:rFonts w:eastAsia="Times New Roman"/>
                <w:sz w:val="20"/>
                <w:szCs w:val="20"/>
              </w:rPr>
              <w:t>epresentatives, as a single class at the extraordinary general meeting or any adjournment or postponement thereof is required to authorize and approve the Merger Agreement, the Plan of Merger, and the consummation of the Transactions.</w:t>
            </w:r>
          </w:p>
        </w:tc>
      </w:tr>
    </w:tbl>
    <w:p w14:paraId="2DC3AF63"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p w14:paraId="472C3B63" w14:textId="77777777" w:rsidR="00000000" w:rsidRDefault="002F725F">
      <w:pPr>
        <w:pStyle w:val="NormalWeb"/>
        <w:spacing w:before="0" w:beforeAutospacing="0" w:after="0" w:afterAutospacing="0"/>
        <w:jc w:val="center"/>
        <w:divId w:val="356547044"/>
        <w:rPr>
          <w:sz w:val="20"/>
          <w:szCs w:val="20"/>
        </w:rPr>
      </w:pPr>
      <w:r>
        <w:rPr>
          <w:sz w:val="20"/>
          <w:szCs w:val="20"/>
        </w:rPr>
        <w:t>1</w:t>
      </w:r>
      <w:r>
        <w:rPr>
          <w:sz w:val="20"/>
          <w:szCs w:val="20"/>
        </w:rPr>
        <w:t>2</w:t>
      </w:r>
    </w:p>
    <w:p w14:paraId="06EF1751" w14:textId="77777777" w:rsidR="00000000" w:rsidRDefault="002F725F">
      <w:pPr>
        <w:pStyle w:val="NormalWeb"/>
        <w:spacing w:before="0" w:beforeAutospacing="0" w:after="0" w:afterAutospacing="0"/>
        <w:divId w:val="1365667216"/>
        <w:rPr>
          <w:sz w:val="20"/>
          <w:szCs w:val="20"/>
        </w:rPr>
      </w:pPr>
      <w:r>
        <w:rPr>
          <w:sz w:val="20"/>
          <w:szCs w:val="20"/>
        </w:rPr>
        <w:t> </w:t>
      </w:r>
    </w:p>
    <w:p w14:paraId="1D5E2371"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596C9F12" w14:textId="77777777">
        <w:trPr>
          <w:divId w:val="415980837"/>
          <w:tblCellSpacing w:w="0" w:type="dxa"/>
        </w:trPr>
        <w:tc>
          <w:tcPr>
            <w:tcW w:w="6" w:type="dxa"/>
            <w:hideMark/>
          </w:tcPr>
          <w:p w14:paraId="3F82758D" w14:textId="77777777" w:rsidR="00000000" w:rsidRDefault="002F725F">
            <w:pPr>
              <w:rPr>
                <w:sz w:val="20"/>
                <w:szCs w:val="20"/>
              </w:rPr>
            </w:pPr>
          </w:p>
        </w:tc>
        <w:tc>
          <w:tcPr>
            <w:tcW w:w="720" w:type="dxa"/>
            <w:hideMark/>
          </w:tcPr>
          <w:p w14:paraId="0AE4715A" w14:textId="77777777" w:rsidR="00000000" w:rsidRDefault="002F725F">
            <w:pPr>
              <w:rPr>
                <w:rFonts w:eastAsia="Times New Roman"/>
                <w:sz w:val="20"/>
                <w:szCs w:val="20"/>
              </w:rPr>
            </w:pPr>
          </w:p>
        </w:tc>
        <w:tc>
          <w:tcPr>
            <w:tcW w:w="0" w:type="auto"/>
            <w:hideMark/>
          </w:tcPr>
          <w:p w14:paraId="78DD35FA" w14:textId="77777777" w:rsidR="00000000" w:rsidRDefault="002F725F">
            <w:pPr>
              <w:jc w:val="both"/>
              <w:rPr>
                <w:rFonts w:eastAsia="Times New Roman"/>
                <w:sz w:val="20"/>
                <w:szCs w:val="20"/>
              </w:rPr>
            </w:pPr>
            <w:r>
              <w:rPr>
                <w:rFonts w:eastAsia="Times New Roman"/>
                <w:sz w:val="20"/>
                <w:szCs w:val="20"/>
              </w:rPr>
              <w:t>As of 5 p</w:t>
            </w:r>
            <w:r>
              <w:rPr>
                <w:rFonts w:eastAsia="Times New Roman"/>
                <w:sz w:val="20"/>
                <w:szCs w:val="20"/>
              </w:rPr>
              <w:t>.m. Cayman Islands time on the Share Record Date, 41,212,693 Shares are expected to be issued and outstanding and entitled to vote at the extraordinary general meeting.</w:t>
            </w:r>
          </w:p>
        </w:tc>
      </w:tr>
    </w:tbl>
    <w:p w14:paraId="371F5B11"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p w14:paraId="48F579BC" w14:textId="77777777" w:rsidR="00000000" w:rsidRDefault="002F725F">
      <w:pPr>
        <w:pStyle w:val="NormalWeb"/>
        <w:spacing w:before="0" w:beforeAutospacing="0" w:after="0" w:afterAutospacing="0"/>
        <w:ind w:left="720"/>
        <w:jc w:val="both"/>
        <w:divId w:val="415980837"/>
        <w:rPr>
          <w:sz w:val="20"/>
          <w:szCs w:val="20"/>
        </w:rPr>
      </w:pPr>
      <w:r>
        <w:rPr>
          <w:sz w:val="20"/>
          <w:szCs w:val="20"/>
        </w:rPr>
        <w:t>Pursuant to the Support Agreement, the Rollover Shareholders will vote all of the Sh</w:t>
      </w:r>
      <w:r>
        <w:rPr>
          <w:sz w:val="20"/>
          <w:szCs w:val="20"/>
        </w:rPr>
        <w:t>ares beneficially owned by them in favor of the authorization and approval of the Merger Agreement, the Plan of Merger and the consummation of the Transactions, which, as of the date of this proxy statement, collectively represent approximately 53.35% of t</w:t>
      </w:r>
      <w:r>
        <w:rPr>
          <w:sz w:val="20"/>
          <w:szCs w:val="20"/>
        </w:rPr>
        <w:t>he total voting rights in the Company.</w:t>
      </w:r>
    </w:p>
    <w:p w14:paraId="0C4C03FB"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086AB0F8" w14:textId="77777777">
        <w:trPr>
          <w:divId w:val="415980837"/>
          <w:tblCellSpacing w:w="0" w:type="dxa"/>
        </w:trPr>
        <w:tc>
          <w:tcPr>
            <w:tcW w:w="6" w:type="dxa"/>
            <w:hideMark/>
          </w:tcPr>
          <w:p w14:paraId="5B417020" w14:textId="77777777" w:rsidR="00000000" w:rsidRDefault="002F725F">
            <w:pPr>
              <w:rPr>
                <w:sz w:val="20"/>
                <w:szCs w:val="20"/>
              </w:rPr>
            </w:pPr>
          </w:p>
        </w:tc>
        <w:tc>
          <w:tcPr>
            <w:tcW w:w="720" w:type="dxa"/>
            <w:hideMark/>
          </w:tcPr>
          <w:p w14:paraId="78776173"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16E27337" w14:textId="77777777" w:rsidR="00000000" w:rsidRDefault="002F725F">
            <w:pPr>
              <w:jc w:val="both"/>
              <w:rPr>
                <w:rFonts w:eastAsia="Times New Roman"/>
                <w:sz w:val="20"/>
                <w:szCs w:val="20"/>
              </w:rPr>
            </w:pPr>
            <w:r>
              <w:rPr>
                <w:rFonts w:eastAsia="Times New Roman"/>
                <w:b/>
                <w:bCs/>
                <w:sz w:val="20"/>
                <w:szCs w:val="20"/>
              </w:rPr>
              <w:t xml:space="preserve">What vote of the Company’s shareholders is required to approve the proposal to adjourn the extraordinary </w:t>
            </w:r>
            <w:r>
              <w:rPr>
                <w:rFonts w:eastAsia="Times New Roman"/>
                <w:b/>
                <w:bCs/>
                <w:sz w:val="20"/>
                <w:szCs w:val="20"/>
              </w:rPr>
              <w:t>general meeting, if necessary, to solicit additional proxies?</w:t>
            </w:r>
          </w:p>
        </w:tc>
      </w:tr>
    </w:tbl>
    <w:p w14:paraId="0013BF1D"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8640"/>
      </w:tblGrid>
      <w:tr w:rsidR="00000000" w14:paraId="19F7E5FA" w14:textId="77777777">
        <w:trPr>
          <w:divId w:val="415980837"/>
          <w:tblCellSpacing w:w="0" w:type="dxa"/>
        </w:trPr>
        <w:tc>
          <w:tcPr>
            <w:tcW w:w="720" w:type="dxa"/>
            <w:hideMark/>
          </w:tcPr>
          <w:p w14:paraId="109764AD" w14:textId="77777777" w:rsidR="00000000" w:rsidRDefault="002F725F">
            <w:pPr>
              <w:rPr>
                <w:rFonts w:eastAsia="Times New Roman"/>
                <w:sz w:val="20"/>
                <w:szCs w:val="20"/>
              </w:rPr>
            </w:pPr>
            <w:r>
              <w:rPr>
                <w:rFonts w:eastAsia="Times New Roman"/>
                <w:sz w:val="20"/>
                <w:szCs w:val="20"/>
              </w:rPr>
              <w:t>A:</w:t>
            </w:r>
          </w:p>
        </w:tc>
        <w:tc>
          <w:tcPr>
            <w:tcW w:w="0" w:type="auto"/>
            <w:hideMark/>
          </w:tcPr>
          <w:p w14:paraId="1AFDE99D" w14:textId="77777777" w:rsidR="00000000" w:rsidRDefault="002F725F">
            <w:pPr>
              <w:jc w:val="both"/>
              <w:rPr>
                <w:rFonts w:eastAsia="Times New Roman"/>
                <w:sz w:val="20"/>
                <w:szCs w:val="20"/>
              </w:rPr>
            </w:pPr>
            <w:r>
              <w:rPr>
                <w:rFonts w:eastAsia="Times New Roman"/>
                <w:sz w:val="20"/>
                <w:szCs w:val="20"/>
              </w:rPr>
              <w:t>An affirmative vote of holders of Shares representing a simple majority of the votes cast by such shareholders as, being entitled to do so, vote in person or, where proxies are allowed, by</w:t>
            </w:r>
            <w:r>
              <w:rPr>
                <w:rFonts w:eastAsia="Times New Roman"/>
                <w:sz w:val="20"/>
                <w:szCs w:val="20"/>
              </w:rPr>
              <w:t xml:space="preserve"> proxy or, in the case of corporations, by their duly authorised representatives, at the extraordinary general meeting is required.</w:t>
            </w:r>
          </w:p>
        </w:tc>
      </w:tr>
    </w:tbl>
    <w:p w14:paraId="563E6316"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00CFEA20" w14:textId="77777777">
        <w:trPr>
          <w:divId w:val="415980837"/>
          <w:tblCellSpacing w:w="0" w:type="dxa"/>
        </w:trPr>
        <w:tc>
          <w:tcPr>
            <w:tcW w:w="6" w:type="dxa"/>
            <w:hideMark/>
          </w:tcPr>
          <w:p w14:paraId="326C36D5" w14:textId="77777777" w:rsidR="00000000" w:rsidRDefault="002F725F">
            <w:pPr>
              <w:rPr>
                <w:sz w:val="20"/>
                <w:szCs w:val="20"/>
              </w:rPr>
            </w:pPr>
          </w:p>
        </w:tc>
        <w:tc>
          <w:tcPr>
            <w:tcW w:w="720" w:type="dxa"/>
            <w:hideMark/>
          </w:tcPr>
          <w:p w14:paraId="7C805C2C"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635CF92C" w14:textId="77777777" w:rsidR="00000000" w:rsidRDefault="002F725F">
            <w:pPr>
              <w:jc w:val="both"/>
              <w:rPr>
                <w:rFonts w:eastAsia="Times New Roman"/>
                <w:sz w:val="20"/>
                <w:szCs w:val="20"/>
              </w:rPr>
            </w:pPr>
            <w:r>
              <w:rPr>
                <w:rFonts w:eastAsia="Times New Roman"/>
                <w:b/>
                <w:bCs/>
                <w:sz w:val="20"/>
                <w:szCs w:val="20"/>
              </w:rPr>
              <w:t>Who is entitled to vote at the extraordinary general meeting?</w:t>
            </w:r>
          </w:p>
        </w:tc>
      </w:tr>
    </w:tbl>
    <w:p w14:paraId="435578A2"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8640"/>
      </w:tblGrid>
      <w:tr w:rsidR="00000000" w14:paraId="212B7669" w14:textId="77777777">
        <w:trPr>
          <w:divId w:val="415980837"/>
          <w:tblCellSpacing w:w="0" w:type="dxa"/>
        </w:trPr>
        <w:tc>
          <w:tcPr>
            <w:tcW w:w="720" w:type="dxa"/>
            <w:hideMark/>
          </w:tcPr>
          <w:p w14:paraId="4101C2BB" w14:textId="77777777" w:rsidR="00000000" w:rsidRDefault="002F725F">
            <w:pPr>
              <w:rPr>
                <w:rFonts w:eastAsia="Times New Roman"/>
                <w:sz w:val="20"/>
                <w:szCs w:val="20"/>
              </w:rPr>
            </w:pPr>
            <w:r>
              <w:rPr>
                <w:rFonts w:eastAsia="Times New Roman"/>
                <w:sz w:val="20"/>
                <w:szCs w:val="20"/>
              </w:rPr>
              <w:t>A:</w:t>
            </w:r>
          </w:p>
        </w:tc>
        <w:tc>
          <w:tcPr>
            <w:tcW w:w="0" w:type="auto"/>
            <w:hideMark/>
          </w:tcPr>
          <w:p w14:paraId="7B986A1B" w14:textId="77777777" w:rsidR="00000000" w:rsidRDefault="002F725F">
            <w:pPr>
              <w:jc w:val="both"/>
              <w:rPr>
                <w:rFonts w:eastAsia="Times New Roman"/>
                <w:sz w:val="20"/>
                <w:szCs w:val="20"/>
              </w:rPr>
            </w:pPr>
            <w:r>
              <w:rPr>
                <w:rFonts w:eastAsia="Times New Roman"/>
                <w:sz w:val="20"/>
                <w:szCs w:val="20"/>
              </w:rPr>
              <w:t>The Share Record Date is</w:t>
            </w:r>
            <w:r>
              <w:rPr>
                <w:rFonts w:eastAsia="Times New Roman"/>
                <w:sz w:val="20"/>
                <w:szCs w:val="20"/>
                <w:u w:val="single"/>
              </w:rPr>
              <w:t>                        </w:t>
            </w:r>
            <w:r>
              <w:rPr>
                <w:rFonts w:eastAsia="Times New Roman"/>
                <w:sz w:val="20"/>
                <w:szCs w:val="20"/>
              </w:rPr>
              <w:t>.</w:t>
            </w:r>
            <w:r>
              <w:rPr>
                <w:rFonts w:eastAsia="Times New Roman"/>
                <w:sz w:val="20"/>
                <w:szCs w:val="20"/>
              </w:rPr>
              <w:t xml:space="preserve"> Only shareholders entered in the register of members of the Company as of 5 p.m. Cayman Islands time on the Share Record Date or their proxy holders are entitled to vote at the extraordinary general meeting or any adjournment thereof.</w:t>
            </w:r>
          </w:p>
        </w:tc>
      </w:tr>
    </w:tbl>
    <w:p w14:paraId="1B6A6380"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422E4E41" w14:textId="77777777">
        <w:trPr>
          <w:divId w:val="415980837"/>
          <w:tblCellSpacing w:w="0" w:type="dxa"/>
        </w:trPr>
        <w:tc>
          <w:tcPr>
            <w:tcW w:w="6" w:type="dxa"/>
            <w:hideMark/>
          </w:tcPr>
          <w:p w14:paraId="5B77F8AB" w14:textId="77777777" w:rsidR="00000000" w:rsidRDefault="002F725F">
            <w:pPr>
              <w:rPr>
                <w:sz w:val="20"/>
                <w:szCs w:val="20"/>
              </w:rPr>
            </w:pPr>
          </w:p>
        </w:tc>
        <w:tc>
          <w:tcPr>
            <w:tcW w:w="720" w:type="dxa"/>
            <w:hideMark/>
          </w:tcPr>
          <w:p w14:paraId="248BA9CA"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1CFD72EA" w14:textId="77777777" w:rsidR="00000000" w:rsidRDefault="002F725F">
            <w:pPr>
              <w:jc w:val="both"/>
              <w:rPr>
                <w:rFonts w:eastAsia="Times New Roman"/>
                <w:sz w:val="20"/>
                <w:szCs w:val="20"/>
              </w:rPr>
            </w:pPr>
            <w:r>
              <w:rPr>
                <w:rFonts w:eastAsia="Times New Roman"/>
                <w:b/>
                <w:bCs/>
                <w:sz w:val="20"/>
                <w:szCs w:val="20"/>
              </w:rPr>
              <w:t>What constitu</w:t>
            </w:r>
            <w:r>
              <w:rPr>
                <w:rFonts w:eastAsia="Times New Roman"/>
                <w:b/>
                <w:bCs/>
                <w:sz w:val="20"/>
                <w:szCs w:val="20"/>
              </w:rPr>
              <w:t>tes a quorum for the extraordinary general meeting?</w:t>
            </w:r>
          </w:p>
        </w:tc>
      </w:tr>
    </w:tbl>
    <w:p w14:paraId="057CE5E3"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09E6DE23" w14:textId="77777777">
        <w:trPr>
          <w:divId w:val="415980837"/>
          <w:tblCellSpacing w:w="0" w:type="dxa"/>
        </w:trPr>
        <w:tc>
          <w:tcPr>
            <w:tcW w:w="6" w:type="dxa"/>
            <w:hideMark/>
          </w:tcPr>
          <w:p w14:paraId="238BF9E0" w14:textId="77777777" w:rsidR="00000000" w:rsidRDefault="002F725F">
            <w:pPr>
              <w:rPr>
                <w:sz w:val="20"/>
                <w:szCs w:val="20"/>
              </w:rPr>
            </w:pPr>
          </w:p>
        </w:tc>
        <w:tc>
          <w:tcPr>
            <w:tcW w:w="720" w:type="dxa"/>
            <w:hideMark/>
          </w:tcPr>
          <w:p w14:paraId="4BFDD9FF" w14:textId="77777777" w:rsidR="00000000" w:rsidRDefault="002F725F">
            <w:pPr>
              <w:rPr>
                <w:rFonts w:eastAsia="Times New Roman"/>
                <w:sz w:val="20"/>
                <w:szCs w:val="20"/>
              </w:rPr>
            </w:pPr>
            <w:r>
              <w:rPr>
                <w:rFonts w:eastAsia="Times New Roman"/>
                <w:sz w:val="20"/>
                <w:szCs w:val="20"/>
              </w:rPr>
              <w:t>A:</w:t>
            </w:r>
          </w:p>
        </w:tc>
        <w:tc>
          <w:tcPr>
            <w:tcW w:w="0" w:type="auto"/>
            <w:hideMark/>
          </w:tcPr>
          <w:p w14:paraId="64A0DA62" w14:textId="77777777" w:rsidR="00000000" w:rsidRDefault="002F725F">
            <w:pPr>
              <w:jc w:val="both"/>
              <w:rPr>
                <w:rFonts w:eastAsia="Times New Roman"/>
                <w:sz w:val="20"/>
                <w:szCs w:val="20"/>
              </w:rPr>
            </w:pPr>
            <w:r>
              <w:rPr>
                <w:rFonts w:eastAsia="Times New Roman"/>
                <w:sz w:val="20"/>
                <w:szCs w:val="20"/>
              </w:rPr>
              <w:t>The presence of one or more shareholders (if being individuals present in person or by proxy, or if being a corporation or other non-natural person by its duly authorized representative or proxy) holding Shares which carry in aggregate not less than one-th</w:t>
            </w:r>
            <w:r>
              <w:rPr>
                <w:rFonts w:eastAsia="Times New Roman"/>
                <w:sz w:val="20"/>
                <w:szCs w:val="20"/>
              </w:rPr>
              <w:t>ird of all votes attaching to all Shares in issue and entitled to vote at the extraordinary general meeting, present at the meeting, will constitute a quorum for the extraordinary general meeting.</w:t>
            </w:r>
          </w:p>
        </w:tc>
      </w:tr>
    </w:tbl>
    <w:p w14:paraId="78E493D7"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02625A2D" w14:textId="77777777">
        <w:trPr>
          <w:divId w:val="415980837"/>
          <w:tblCellSpacing w:w="0" w:type="dxa"/>
        </w:trPr>
        <w:tc>
          <w:tcPr>
            <w:tcW w:w="6" w:type="dxa"/>
            <w:hideMark/>
          </w:tcPr>
          <w:p w14:paraId="7408A8F8" w14:textId="77777777" w:rsidR="00000000" w:rsidRDefault="002F725F">
            <w:pPr>
              <w:rPr>
                <w:sz w:val="20"/>
                <w:szCs w:val="20"/>
              </w:rPr>
            </w:pPr>
          </w:p>
        </w:tc>
        <w:tc>
          <w:tcPr>
            <w:tcW w:w="720" w:type="dxa"/>
            <w:hideMark/>
          </w:tcPr>
          <w:p w14:paraId="0B473AB1"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46A350DF" w14:textId="77777777" w:rsidR="00000000" w:rsidRDefault="002F725F">
            <w:pPr>
              <w:jc w:val="both"/>
              <w:rPr>
                <w:rFonts w:eastAsia="Times New Roman"/>
                <w:sz w:val="20"/>
                <w:szCs w:val="20"/>
              </w:rPr>
            </w:pPr>
            <w:r>
              <w:rPr>
                <w:rFonts w:eastAsia="Times New Roman"/>
                <w:b/>
                <w:bCs/>
                <w:sz w:val="20"/>
                <w:szCs w:val="20"/>
              </w:rPr>
              <w:t>How do I vote if my Shares are registered in my name</w:t>
            </w:r>
            <w:r>
              <w:rPr>
                <w:rFonts w:eastAsia="Times New Roman"/>
                <w:b/>
                <w:bCs/>
                <w:sz w:val="20"/>
                <w:szCs w:val="20"/>
              </w:rPr>
              <w:t>?</w:t>
            </w:r>
          </w:p>
        </w:tc>
      </w:tr>
    </w:tbl>
    <w:p w14:paraId="122A17B0"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8640"/>
      </w:tblGrid>
      <w:tr w:rsidR="00000000" w14:paraId="750D7E51" w14:textId="77777777">
        <w:trPr>
          <w:divId w:val="415980837"/>
          <w:tblCellSpacing w:w="0" w:type="dxa"/>
        </w:trPr>
        <w:tc>
          <w:tcPr>
            <w:tcW w:w="720" w:type="dxa"/>
            <w:hideMark/>
          </w:tcPr>
          <w:p w14:paraId="73DB7C46" w14:textId="77777777" w:rsidR="00000000" w:rsidRDefault="002F725F">
            <w:pPr>
              <w:rPr>
                <w:rFonts w:eastAsia="Times New Roman"/>
                <w:sz w:val="20"/>
                <w:szCs w:val="20"/>
              </w:rPr>
            </w:pPr>
            <w:r>
              <w:rPr>
                <w:rFonts w:eastAsia="Times New Roman"/>
                <w:sz w:val="20"/>
                <w:szCs w:val="20"/>
              </w:rPr>
              <w:t>A:</w:t>
            </w:r>
          </w:p>
        </w:tc>
        <w:tc>
          <w:tcPr>
            <w:tcW w:w="0" w:type="auto"/>
            <w:hideMark/>
          </w:tcPr>
          <w:p w14:paraId="463B8942" w14:textId="77777777" w:rsidR="00000000" w:rsidRDefault="002F725F">
            <w:pPr>
              <w:jc w:val="both"/>
              <w:rPr>
                <w:rFonts w:eastAsia="Times New Roman"/>
                <w:sz w:val="20"/>
                <w:szCs w:val="20"/>
              </w:rPr>
            </w:pPr>
            <w:r>
              <w:rPr>
                <w:rFonts w:eastAsia="Times New Roman"/>
                <w:sz w:val="20"/>
                <w:szCs w:val="20"/>
              </w:rPr>
              <w:t>If Shares are registered in your name in the register of members maintained by the Company as of 5 p.m. Cayman Islands time on the Share Record Date, you should simply indicate on your proxy card how you want to vote, and sign and mail your proxy c</w:t>
            </w:r>
            <w:r>
              <w:rPr>
                <w:rFonts w:eastAsia="Times New Roman"/>
                <w:sz w:val="20"/>
                <w:szCs w:val="20"/>
              </w:rPr>
              <w:t xml:space="preserve">ard in the accompanying return envelope as soon as possible so that it is received by the Company no later than </w:t>
            </w:r>
            <w:r>
              <w:rPr>
                <w:rFonts w:eastAsia="Times New Roman"/>
                <w:sz w:val="20"/>
                <w:szCs w:val="20"/>
                <w:u w:val="single"/>
              </w:rPr>
              <w:t>                    </w:t>
            </w:r>
            <w:r>
              <w:rPr>
                <w:rFonts w:eastAsia="Times New Roman"/>
                <w:sz w:val="20"/>
                <w:szCs w:val="20"/>
              </w:rPr>
              <w:t xml:space="preserve"> a.m. (Beijing time), </w:t>
            </w:r>
            <w:r>
              <w:rPr>
                <w:rFonts w:eastAsia="Times New Roman"/>
                <w:sz w:val="20"/>
                <w:szCs w:val="20"/>
                <w:u w:val="single"/>
              </w:rPr>
              <w:t>                    </w:t>
            </w:r>
            <w:r>
              <w:rPr>
                <w:rFonts w:eastAsia="Times New Roman"/>
                <w:sz w:val="20"/>
                <w:szCs w:val="20"/>
              </w:rPr>
              <w:t xml:space="preserve">, being 48 hours before the time appointed for the extraordinary general meeting, </w:t>
            </w:r>
            <w:r>
              <w:rPr>
                <w:rFonts w:eastAsia="Times New Roman"/>
                <w:sz w:val="20"/>
                <w:szCs w:val="20"/>
              </w:rPr>
              <w:t>which is the deadline to lodge your proxy card for it to be valid, so that your Shares may be represented and voted at the extraordinary general meeting. Alternatively, you can attend the extraordinary general meeting and vote in person. If your Shares are</w:t>
            </w:r>
            <w:r>
              <w:rPr>
                <w:rFonts w:eastAsia="Times New Roman"/>
                <w:sz w:val="20"/>
                <w:szCs w:val="20"/>
              </w:rPr>
              <w:t xml:space="preserve"> held by your broker, bank or other nominee, please see below for additional information.</w:t>
            </w:r>
          </w:p>
        </w:tc>
      </w:tr>
    </w:tbl>
    <w:p w14:paraId="21B3E55C"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p w14:paraId="0D72BEAF" w14:textId="77777777" w:rsidR="00000000" w:rsidRDefault="002F725F">
      <w:pPr>
        <w:pStyle w:val="NormalWeb"/>
        <w:spacing w:before="0" w:beforeAutospacing="0" w:after="0" w:afterAutospacing="0"/>
        <w:jc w:val="center"/>
        <w:divId w:val="1407724319"/>
        <w:rPr>
          <w:sz w:val="20"/>
          <w:szCs w:val="20"/>
        </w:rPr>
      </w:pPr>
      <w:r>
        <w:rPr>
          <w:sz w:val="20"/>
          <w:szCs w:val="20"/>
        </w:rPr>
        <w:t>1</w:t>
      </w:r>
      <w:r>
        <w:rPr>
          <w:sz w:val="20"/>
          <w:szCs w:val="20"/>
        </w:rPr>
        <w:t>3</w:t>
      </w:r>
    </w:p>
    <w:p w14:paraId="060A0543" w14:textId="77777777" w:rsidR="00000000" w:rsidRDefault="002F725F">
      <w:pPr>
        <w:pStyle w:val="NormalWeb"/>
        <w:spacing w:before="0" w:beforeAutospacing="0" w:after="0" w:afterAutospacing="0"/>
        <w:divId w:val="1807501339"/>
        <w:rPr>
          <w:sz w:val="20"/>
          <w:szCs w:val="20"/>
        </w:rPr>
      </w:pPr>
      <w:r>
        <w:rPr>
          <w:sz w:val="20"/>
          <w:szCs w:val="20"/>
        </w:rPr>
        <w:t> </w:t>
      </w:r>
    </w:p>
    <w:p w14:paraId="49788BF8"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7BF7064D" w14:textId="77777777">
        <w:trPr>
          <w:divId w:val="415980837"/>
          <w:tblCellSpacing w:w="0" w:type="dxa"/>
        </w:trPr>
        <w:tc>
          <w:tcPr>
            <w:tcW w:w="6" w:type="dxa"/>
            <w:hideMark/>
          </w:tcPr>
          <w:p w14:paraId="309E7E83" w14:textId="77777777" w:rsidR="00000000" w:rsidRDefault="002F725F">
            <w:pPr>
              <w:rPr>
                <w:sz w:val="20"/>
                <w:szCs w:val="20"/>
              </w:rPr>
            </w:pPr>
          </w:p>
        </w:tc>
        <w:tc>
          <w:tcPr>
            <w:tcW w:w="720" w:type="dxa"/>
            <w:hideMark/>
          </w:tcPr>
          <w:p w14:paraId="4B684420"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7A0A65F9" w14:textId="77777777" w:rsidR="00000000" w:rsidRDefault="002F725F">
            <w:pPr>
              <w:jc w:val="both"/>
              <w:rPr>
                <w:rFonts w:eastAsia="Times New Roman"/>
                <w:sz w:val="20"/>
                <w:szCs w:val="20"/>
              </w:rPr>
            </w:pPr>
            <w:r>
              <w:rPr>
                <w:rFonts w:eastAsia="Times New Roman"/>
                <w:b/>
                <w:bCs/>
                <w:sz w:val="20"/>
                <w:szCs w:val="20"/>
              </w:rPr>
              <w:t>If my Shares are held in a brokerage, bank or other securities account, will my broker, bank or other securities intermediary vote my Shares on my behalf?</w:t>
            </w:r>
          </w:p>
        </w:tc>
      </w:tr>
    </w:tbl>
    <w:p w14:paraId="4EB9BA1F"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22CFF63C" w14:textId="77777777">
        <w:trPr>
          <w:divId w:val="415980837"/>
          <w:tblCellSpacing w:w="0" w:type="dxa"/>
        </w:trPr>
        <w:tc>
          <w:tcPr>
            <w:tcW w:w="6" w:type="dxa"/>
            <w:hideMark/>
          </w:tcPr>
          <w:p w14:paraId="462624BB" w14:textId="77777777" w:rsidR="00000000" w:rsidRDefault="002F725F">
            <w:pPr>
              <w:rPr>
                <w:sz w:val="20"/>
                <w:szCs w:val="20"/>
              </w:rPr>
            </w:pPr>
          </w:p>
        </w:tc>
        <w:tc>
          <w:tcPr>
            <w:tcW w:w="720" w:type="dxa"/>
            <w:hideMark/>
          </w:tcPr>
          <w:p w14:paraId="405C023C" w14:textId="77777777" w:rsidR="00000000" w:rsidRDefault="002F725F">
            <w:pPr>
              <w:rPr>
                <w:rFonts w:eastAsia="Times New Roman"/>
                <w:sz w:val="20"/>
                <w:szCs w:val="20"/>
              </w:rPr>
            </w:pPr>
            <w:r>
              <w:rPr>
                <w:rFonts w:eastAsia="Times New Roman"/>
                <w:sz w:val="20"/>
                <w:szCs w:val="20"/>
              </w:rPr>
              <w:t>A:</w:t>
            </w:r>
          </w:p>
        </w:tc>
        <w:tc>
          <w:tcPr>
            <w:tcW w:w="0" w:type="auto"/>
            <w:hideMark/>
          </w:tcPr>
          <w:p w14:paraId="24CE8BA5" w14:textId="77777777" w:rsidR="00000000" w:rsidRDefault="002F725F">
            <w:pPr>
              <w:jc w:val="both"/>
              <w:rPr>
                <w:rFonts w:eastAsia="Times New Roman"/>
                <w:sz w:val="20"/>
                <w:szCs w:val="20"/>
              </w:rPr>
            </w:pPr>
            <w:r>
              <w:rPr>
                <w:rFonts w:eastAsia="Times New Roman"/>
                <w:sz w:val="20"/>
                <w:szCs w:val="20"/>
              </w:rPr>
              <w:t>Your broker, bank or other securities intermediary will only vote your Shares on your behalf o</w:t>
            </w:r>
            <w:r>
              <w:rPr>
                <w:rFonts w:eastAsia="Times New Roman"/>
                <w:sz w:val="20"/>
                <w:szCs w:val="20"/>
              </w:rPr>
              <w:t>r give voting instruction with respect to Shares on your behalf if you instruct it how to vote. Therefore, it is important that you promptly follow the directions provided by your broker, bank or other securities intermediary regarding how to instruct it t</w:t>
            </w:r>
            <w:r>
              <w:rPr>
                <w:rFonts w:eastAsia="Times New Roman"/>
                <w:sz w:val="20"/>
                <w:szCs w:val="20"/>
              </w:rPr>
              <w:t>o vote your Shares. If you do not instruct your broker, bank or other securities intermediary how to vote your Shares that it holds, those Shares will not be voted.</w:t>
            </w:r>
          </w:p>
        </w:tc>
      </w:tr>
    </w:tbl>
    <w:p w14:paraId="1F26259B"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3186A4CF" w14:textId="77777777">
        <w:trPr>
          <w:divId w:val="415980837"/>
          <w:tblCellSpacing w:w="0" w:type="dxa"/>
        </w:trPr>
        <w:tc>
          <w:tcPr>
            <w:tcW w:w="6" w:type="dxa"/>
            <w:hideMark/>
          </w:tcPr>
          <w:p w14:paraId="157D5B91" w14:textId="77777777" w:rsidR="00000000" w:rsidRDefault="002F725F">
            <w:pPr>
              <w:rPr>
                <w:sz w:val="20"/>
                <w:szCs w:val="20"/>
              </w:rPr>
            </w:pPr>
          </w:p>
        </w:tc>
        <w:tc>
          <w:tcPr>
            <w:tcW w:w="720" w:type="dxa"/>
            <w:hideMark/>
          </w:tcPr>
          <w:p w14:paraId="052E7C42"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63619464" w14:textId="77777777" w:rsidR="00000000" w:rsidRDefault="002F725F">
            <w:pPr>
              <w:jc w:val="both"/>
              <w:rPr>
                <w:rFonts w:eastAsia="Times New Roman"/>
                <w:sz w:val="20"/>
                <w:szCs w:val="20"/>
              </w:rPr>
            </w:pPr>
            <w:r>
              <w:rPr>
                <w:rFonts w:eastAsia="Times New Roman"/>
                <w:b/>
                <w:bCs/>
                <w:sz w:val="20"/>
                <w:szCs w:val="20"/>
              </w:rPr>
              <w:t>What will happen if I abstain from voting or fail to vote on the proposal to authori</w:t>
            </w:r>
            <w:r>
              <w:rPr>
                <w:rFonts w:eastAsia="Times New Roman"/>
                <w:b/>
                <w:bCs/>
                <w:sz w:val="20"/>
                <w:szCs w:val="20"/>
              </w:rPr>
              <w:t>ze and approve the Merger Agreement?</w:t>
            </w:r>
          </w:p>
        </w:tc>
      </w:tr>
    </w:tbl>
    <w:p w14:paraId="156D62EE"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6D235F86" w14:textId="77777777">
        <w:trPr>
          <w:divId w:val="415980837"/>
          <w:tblCellSpacing w:w="0" w:type="dxa"/>
        </w:trPr>
        <w:tc>
          <w:tcPr>
            <w:tcW w:w="6" w:type="dxa"/>
            <w:hideMark/>
          </w:tcPr>
          <w:p w14:paraId="2079141D" w14:textId="77777777" w:rsidR="00000000" w:rsidRDefault="002F725F">
            <w:pPr>
              <w:rPr>
                <w:sz w:val="20"/>
                <w:szCs w:val="20"/>
              </w:rPr>
            </w:pPr>
          </w:p>
        </w:tc>
        <w:tc>
          <w:tcPr>
            <w:tcW w:w="720" w:type="dxa"/>
            <w:hideMark/>
          </w:tcPr>
          <w:p w14:paraId="6005533B" w14:textId="77777777" w:rsidR="00000000" w:rsidRDefault="002F725F">
            <w:pPr>
              <w:rPr>
                <w:rFonts w:eastAsia="Times New Roman"/>
                <w:sz w:val="20"/>
                <w:szCs w:val="20"/>
              </w:rPr>
            </w:pPr>
            <w:r>
              <w:rPr>
                <w:rFonts w:eastAsia="Times New Roman"/>
                <w:sz w:val="20"/>
                <w:szCs w:val="20"/>
              </w:rPr>
              <w:t>A:</w:t>
            </w:r>
          </w:p>
        </w:tc>
        <w:tc>
          <w:tcPr>
            <w:tcW w:w="0" w:type="auto"/>
            <w:hideMark/>
          </w:tcPr>
          <w:p w14:paraId="4756EF33" w14:textId="77777777" w:rsidR="00000000" w:rsidRDefault="002F725F">
            <w:pPr>
              <w:jc w:val="both"/>
              <w:rPr>
                <w:rFonts w:eastAsia="Times New Roman"/>
                <w:sz w:val="20"/>
                <w:szCs w:val="20"/>
              </w:rPr>
            </w:pPr>
            <w:r>
              <w:rPr>
                <w:rFonts w:eastAsia="Times New Roman"/>
                <w:sz w:val="20"/>
                <w:szCs w:val="20"/>
              </w:rPr>
              <w:t>If you abstain from voting, fail to cast your vote in person, fail to complete and return your proxy card in accordance with the instructions set forth on the proxy card, or fail to give voting instructions to yo</w:t>
            </w:r>
            <w:r>
              <w:rPr>
                <w:rFonts w:eastAsia="Times New Roman"/>
                <w:sz w:val="20"/>
                <w:szCs w:val="20"/>
              </w:rPr>
              <w:t xml:space="preserve">ur broker, bank, or other securities intermediary, your vote will not be counted; provided that if you are a registered holder of Shares and submit a signed proxy card without indicating how you wish to vote, the Shares represented by your proxy card will </w:t>
            </w:r>
            <w:r>
              <w:rPr>
                <w:rFonts w:eastAsia="Times New Roman"/>
                <w:sz w:val="20"/>
                <w:szCs w:val="20"/>
              </w:rPr>
              <w:t>be voted FOR each of the proposals to be voted at the extraordinary meeting, unless you appoint a person other than the chairman of the meeting as proxy, in which case the Shares represented by your proxy will be voted (or not submitted for voting) as your</w:t>
            </w:r>
            <w:r>
              <w:rPr>
                <w:rFonts w:eastAsia="Times New Roman"/>
                <w:sz w:val="20"/>
                <w:szCs w:val="20"/>
              </w:rPr>
              <w:t xml:space="preserve"> proxy determines.</w:t>
            </w:r>
          </w:p>
        </w:tc>
      </w:tr>
    </w:tbl>
    <w:p w14:paraId="01149C62" w14:textId="77777777" w:rsidR="00000000" w:rsidRDefault="002F725F">
      <w:pPr>
        <w:pStyle w:val="NormalWeb"/>
        <w:spacing w:before="0" w:beforeAutospacing="0" w:after="0" w:afterAutospacing="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7B3842CE" w14:textId="77777777">
        <w:trPr>
          <w:divId w:val="415980837"/>
          <w:tblCellSpacing w:w="0" w:type="dxa"/>
        </w:trPr>
        <w:tc>
          <w:tcPr>
            <w:tcW w:w="6" w:type="dxa"/>
            <w:hideMark/>
          </w:tcPr>
          <w:p w14:paraId="0EC00318" w14:textId="77777777" w:rsidR="00000000" w:rsidRDefault="002F725F">
            <w:pPr>
              <w:rPr>
                <w:sz w:val="20"/>
                <w:szCs w:val="20"/>
              </w:rPr>
            </w:pPr>
          </w:p>
        </w:tc>
        <w:tc>
          <w:tcPr>
            <w:tcW w:w="720" w:type="dxa"/>
            <w:hideMark/>
          </w:tcPr>
          <w:p w14:paraId="774358A1"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6DAC0492" w14:textId="77777777" w:rsidR="00000000" w:rsidRDefault="002F725F">
            <w:pPr>
              <w:jc w:val="both"/>
              <w:rPr>
                <w:rFonts w:eastAsia="Times New Roman"/>
                <w:sz w:val="20"/>
                <w:szCs w:val="20"/>
              </w:rPr>
            </w:pPr>
            <w:r>
              <w:rPr>
                <w:rFonts w:eastAsia="Times New Roman"/>
                <w:b/>
                <w:bCs/>
                <w:sz w:val="20"/>
                <w:szCs w:val="20"/>
              </w:rPr>
              <w:t>May I change my vote?</w:t>
            </w:r>
          </w:p>
        </w:tc>
      </w:tr>
    </w:tbl>
    <w:p w14:paraId="3867DD16" w14:textId="77777777" w:rsidR="00000000" w:rsidRDefault="002F725F">
      <w:pPr>
        <w:pStyle w:val="NormalWeb"/>
        <w:spacing w:before="0" w:beforeAutospacing="0" w:after="0" w:afterAutospacing="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74E943FD" w14:textId="77777777">
        <w:trPr>
          <w:divId w:val="415980837"/>
          <w:tblCellSpacing w:w="0" w:type="dxa"/>
        </w:trPr>
        <w:tc>
          <w:tcPr>
            <w:tcW w:w="6" w:type="dxa"/>
            <w:hideMark/>
          </w:tcPr>
          <w:p w14:paraId="03995F66" w14:textId="77777777" w:rsidR="00000000" w:rsidRDefault="002F725F">
            <w:pPr>
              <w:rPr>
                <w:sz w:val="20"/>
                <w:szCs w:val="20"/>
              </w:rPr>
            </w:pPr>
          </w:p>
        </w:tc>
        <w:tc>
          <w:tcPr>
            <w:tcW w:w="720" w:type="dxa"/>
            <w:hideMark/>
          </w:tcPr>
          <w:p w14:paraId="2DED8DB1" w14:textId="77777777" w:rsidR="00000000" w:rsidRDefault="002F725F">
            <w:pPr>
              <w:rPr>
                <w:rFonts w:eastAsia="Times New Roman"/>
                <w:sz w:val="20"/>
                <w:szCs w:val="20"/>
              </w:rPr>
            </w:pPr>
            <w:r>
              <w:rPr>
                <w:rFonts w:eastAsia="Times New Roman"/>
                <w:sz w:val="20"/>
                <w:szCs w:val="20"/>
              </w:rPr>
              <w:t>A:</w:t>
            </w:r>
          </w:p>
        </w:tc>
        <w:tc>
          <w:tcPr>
            <w:tcW w:w="0" w:type="auto"/>
            <w:hideMark/>
          </w:tcPr>
          <w:p w14:paraId="0D619DA4" w14:textId="77777777" w:rsidR="00000000" w:rsidRDefault="002F725F">
            <w:pPr>
              <w:jc w:val="both"/>
              <w:rPr>
                <w:rFonts w:eastAsia="Times New Roman"/>
                <w:sz w:val="20"/>
                <w:szCs w:val="20"/>
              </w:rPr>
            </w:pPr>
            <w:r>
              <w:rPr>
                <w:rFonts w:eastAsia="Times New Roman"/>
                <w:sz w:val="20"/>
                <w:szCs w:val="20"/>
              </w:rPr>
              <w:t>Yes. If you are a holder of Shares, you may change your vote in one of the following three ways:</w:t>
            </w:r>
          </w:p>
        </w:tc>
      </w:tr>
    </w:tbl>
    <w:p w14:paraId="33E22F95"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2A5964E" w14:textId="77777777">
        <w:trPr>
          <w:divId w:val="415980837"/>
          <w:tblCellSpacing w:w="0" w:type="dxa"/>
        </w:trPr>
        <w:tc>
          <w:tcPr>
            <w:tcW w:w="720" w:type="dxa"/>
            <w:hideMark/>
          </w:tcPr>
          <w:p w14:paraId="0748258C" w14:textId="77777777" w:rsidR="00000000" w:rsidRDefault="002F725F">
            <w:pPr>
              <w:rPr>
                <w:sz w:val="20"/>
                <w:szCs w:val="20"/>
              </w:rPr>
            </w:pPr>
          </w:p>
        </w:tc>
        <w:tc>
          <w:tcPr>
            <w:tcW w:w="360" w:type="dxa"/>
            <w:hideMark/>
          </w:tcPr>
          <w:p w14:paraId="75D52B19" w14:textId="77777777" w:rsidR="00000000" w:rsidRDefault="002F725F">
            <w:pPr>
              <w:rPr>
                <w:rFonts w:eastAsia="Times New Roman"/>
                <w:sz w:val="20"/>
                <w:szCs w:val="20"/>
              </w:rPr>
            </w:pPr>
            <w:r>
              <w:rPr>
                <w:rFonts w:eastAsia="Times New Roman"/>
                <w:sz w:val="20"/>
                <w:szCs w:val="20"/>
              </w:rPr>
              <w:t>●</w:t>
            </w:r>
          </w:p>
        </w:tc>
        <w:tc>
          <w:tcPr>
            <w:tcW w:w="0" w:type="auto"/>
            <w:hideMark/>
          </w:tcPr>
          <w:p w14:paraId="0DE3439D" w14:textId="77777777" w:rsidR="00000000" w:rsidRDefault="002F725F">
            <w:pPr>
              <w:jc w:val="both"/>
              <w:rPr>
                <w:rFonts w:eastAsia="Times New Roman"/>
                <w:sz w:val="20"/>
                <w:szCs w:val="20"/>
              </w:rPr>
            </w:pPr>
            <w:r>
              <w:rPr>
                <w:rFonts w:eastAsia="Times New Roman"/>
                <w:sz w:val="20"/>
                <w:szCs w:val="20"/>
              </w:rPr>
              <w:t>First, you may revoke a proxy by written notice of revocation given to the chairman of the extraordinary general meeting at least two hours before the commencement of the extraordinary general meeting. Any written notice revoking a proxy should also be sen</w:t>
            </w:r>
            <w:r>
              <w:rPr>
                <w:rFonts w:eastAsia="Times New Roman"/>
                <w:sz w:val="20"/>
                <w:szCs w:val="20"/>
              </w:rPr>
              <w:t>t to Continental Stock Transfer, 1 State Street - SC1, New York, NY 10004, at least two hours before the commencement of the extraordinary general meeting.</w:t>
            </w:r>
          </w:p>
        </w:tc>
      </w:tr>
    </w:tbl>
    <w:p w14:paraId="058417FD"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B1A994D" w14:textId="77777777">
        <w:trPr>
          <w:divId w:val="415980837"/>
          <w:tblCellSpacing w:w="0" w:type="dxa"/>
        </w:trPr>
        <w:tc>
          <w:tcPr>
            <w:tcW w:w="720" w:type="dxa"/>
            <w:hideMark/>
          </w:tcPr>
          <w:p w14:paraId="3798FCBC" w14:textId="77777777" w:rsidR="00000000" w:rsidRDefault="002F725F">
            <w:pPr>
              <w:rPr>
                <w:rFonts w:eastAsia="Times New Roman"/>
                <w:sz w:val="20"/>
                <w:szCs w:val="20"/>
              </w:rPr>
            </w:pPr>
            <w:r>
              <w:rPr>
                <w:rFonts w:eastAsia="Times New Roman"/>
                <w:sz w:val="20"/>
                <w:szCs w:val="20"/>
              </w:rPr>
              <w:lastRenderedPageBreak/>
              <w:t> </w:t>
            </w:r>
          </w:p>
        </w:tc>
        <w:tc>
          <w:tcPr>
            <w:tcW w:w="360" w:type="dxa"/>
            <w:hideMark/>
          </w:tcPr>
          <w:p w14:paraId="03247824" w14:textId="77777777" w:rsidR="00000000" w:rsidRDefault="002F725F">
            <w:pPr>
              <w:rPr>
                <w:rFonts w:eastAsia="Times New Roman"/>
                <w:sz w:val="20"/>
                <w:szCs w:val="20"/>
              </w:rPr>
            </w:pPr>
            <w:r>
              <w:rPr>
                <w:rFonts w:eastAsia="Times New Roman"/>
                <w:sz w:val="20"/>
                <w:szCs w:val="20"/>
              </w:rPr>
              <w:t>●</w:t>
            </w:r>
          </w:p>
        </w:tc>
        <w:tc>
          <w:tcPr>
            <w:tcW w:w="0" w:type="auto"/>
            <w:hideMark/>
          </w:tcPr>
          <w:p w14:paraId="2921A744" w14:textId="77777777" w:rsidR="00000000" w:rsidRDefault="002F725F">
            <w:pPr>
              <w:jc w:val="both"/>
              <w:rPr>
                <w:rFonts w:eastAsia="Times New Roman"/>
                <w:sz w:val="20"/>
                <w:szCs w:val="20"/>
              </w:rPr>
            </w:pPr>
            <w:r>
              <w:rPr>
                <w:rFonts w:eastAsia="Times New Roman"/>
                <w:sz w:val="20"/>
                <w:szCs w:val="20"/>
              </w:rPr>
              <w:t>Second, you may complete, date and submit a new proxy card bearing a later date than the prox</w:t>
            </w:r>
            <w:r>
              <w:rPr>
                <w:rFonts w:eastAsia="Times New Roman"/>
                <w:sz w:val="20"/>
                <w:szCs w:val="20"/>
              </w:rPr>
              <w:t>y card sought to be revoked to the Company so that it is received by the Company no later than</w:t>
            </w:r>
            <w:r>
              <w:rPr>
                <w:rFonts w:eastAsia="Times New Roman"/>
                <w:sz w:val="20"/>
                <w:szCs w:val="20"/>
                <w:u w:val="single"/>
              </w:rPr>
              <w:t>                    </w:t>
            </w:r>
            <w:r>
              <w:rPr>
                <w:rFonts w:eastAsia="Times New Roman"/>
                <w:sz w:val="20"/>
                <w:szCs w:val="20"/>
              </w:rPr>
              <w:t>a.m. (Beijing time) on </w:t>
            </w:r>
            <w:r>
              <w:rPr>
                <w:rFonts w:eastAsia="Times New Roman"/>
                <w:sz w:val="20"/>
                <w:szCs w:val="20"/>
                <w:u w:val="single"/>
              </w:rPr>
              <w:t>                        </w:t>
            </w:r>
            <w:r>
              <w:rPr>
                <w:rFonts w:eastAsia="Times New Roman"/>
                <w:sz w:val="20"/>
                <w:szCs w:val="20"/>
              </w:rPr>
              <w:t>, being 48 hours before the time appointed for the extraordinary general meeting which is the d</w:t>
            </w:r>
            <w:r>
              <w:rPr>
                <w:rFonts w:eastAsia="Times New Roman"/>
                <w:sz w:val="20"/>
                <w:szCs w:val="20"/>
              </w:rPr>
              <w:t>eadline to lodge your proxy card.</w:t>
            </w:r>
          </w:p>
        </w:tc>
      </w:tr>
    </w:tbl>
    <w:p w14:paraId="1677CEEE"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62BD951" w14:textId="77777777">
        <w:trPr>
          <w:divId w:val="415980837"/>
          <w:tblCellSpacing w:w="0" w:type="dxa"/>
        </w:trPr>
        <w:tc>
          <w:tcPr>
            <w:tcW w:w="720" w:type="dxa"/>
            <w:hideMark/>
          </w:tcPr>
          <w:p w14:paraId="0D4A3D88" w14:textId="77777777" w:rsidR="00000000" w:rsidRDefault="002F725F">
            <w:pPr>
              <w:rPr>
                <w:sz w:val="20"/>
                <w:szCs w:val="20"/>
              </w:rPr>
            </w:pPr>
          </w:p>
        </w:tc>
        <w:tc>
          <w:tcPr>
            <w:tcW w:w="360" w:type="dxa"/>
            <w:hideMark/>
          </w:tcPr>
          <w:p w14:paraId="74273F4E" w14:textId="77777777" w:rsidR="00000000" w:rsidRDefault="002F725F">
            <w:pPr>
              <w:rPr>
                <w:rFonts w:eastAsia="Times New Roman"/>
                <w:sz w:val="20"/>
                <w:szCs w:val="20"/>
              </w:rPr>
            </w:pPr>
            <w:r>
              <w:rPr>
                <w:rFonts w:eastAsia="Times New Roman"/>
                <w:sz w:val="20"/>
                <w:szCs w:val="20"/>
              </w:rPr>
              <w:t>●</w:t>
            </w:r>
          </w:p>
        </w:tc>
        <w:tc>
          <w:tcPr>
            <w:tcW w:w="0" w:type="auto"/>
            <w:hideMark/>
          </w:tcPr>
          <w:p w14:paraId="20B47652" w14:textId="77777777" w:rsidR="00000000" w:rsidRDefault="002F725F">
            <w:pPr>
              <w:jc w:val="both"/>
              <w:rPr>
                <w:rFonts w:eastAsia="Times New Roman"/>
                <w:sz w:val="20"/>
                <w:szCs w:val="20"/>
              </w:rPr>
            </w:pPr>
            <w:r>
              <w:rPr>
                <w:rFonts w:eastAsia="Times New Roman"/>
                <w:sz w:val="20"/>
                <w:szCs w:val="20"/>
              </w:rPr>
              <w:t xml:space="preserve">Third, you may attend the extraordinary general meeting and vote in person. Attendance, by itself, will </w:t>
            </w:r>
            <w:r>
              <w:rPr>
                <w:rFonts w:eastAsia="Times New Roman"/>
                <w:sz w:val="20"/>
                <w:szCs w:val="20"/>
              </w:rPr>
              <w:t>not revoke a proxy. It will only be revoked if the shareholder actually votes at the extraordinary general meeting.</w:t>
            </w:r>
          </w:p>
        </w:tc>
      </w:tr>
    </w:tbl>
    <w:p w14:paraId="1B3CD4BD" w14:textId="77777777" w:rsidR="00000000" w:rsidRDefault="002F725F">
      <w:pPr>
        <w:pStyle w:val="NormalWeb"/>
        <w:spacing w:before="0" w:beforeAutospacing="0" w:after="0" w:afterAutospacing="0"/>
        <w:ind w:left="720"/>
        <w:jc w:val="both"/>
        <w:divId w:val="415980837"/>
        <w:rPr>
          <w:sz w:val="20"/>
          <w:szCs w:val="20"/>
        </w:rPr>
      </w:pPr>
      <w:r>
        <w:rPr>
          <w:sz w:val="20"/>
          <w:szCs w:val="20"/>
        </w:rPr>
        <w:t> </w:t>
      </w:r>
    </w:p>
    <w:p w14:paraId="07BA281C" w14:textId="77777777" w:rsidR="00000000" w:rsidRDefault="002F725F">
      <w:pPr>
        <w:pStyle w:val="NormalWeb"/>
        <w:spacing w:before="0" w:beforeAutospacing="0" w:after="0" w:afterAutospacing="0"/>
        <w:ind w:left="720"/>
        <w:jc w:val="both"/>
        <w:divId w:val="415980837"/>
        <w:rPr>
          <w:sz w:val="20"/>
          <w:szCs w:val="20"/>
        </w:rPr>
      </w:pPr>
      <w:r>
        <w:rPr>
          <w:sz w:val="20"/>
          <w:szCs w:val="20"/>
        </w:rPr>
        <w:t>If you hold your Shares through a broker, bank or other securities intermediary and you have instructed your broker, bank or other securi</w:t>
      </w:r>
      <w:r>
        <w:rPr>
          <w:sz w:val="20"/>
          <w:szCs w:val="20"/>
        </w:rPr>
        <w:t>ties intermediary to vote your Shares, you must follow directions received from the broker, bank or other securities intermediary to change your instructions.</w:t>
      </w:r>
    </w:p>
    <w:p w14:paraId="0BA17EA9"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0A9B9610" w14:textId="77777777">
        <w:trPr>
          <w:divId w:val="415980837"/>
          <w:tblCellSpacing w:w="0" w:type="dxa"/>
        </w:trPr>
        <w:tc>
          <w:tcPr>
            <w:tcW w:w="6" w:type="dxa"/>
            <w:hideMark/>
          </w:tcPr>
          <w:p w14:paraId="4D84CD9E" w14:textId="77777777" w:rsidR="00000000" w:rsidRDefault="002F725F">
            <w:pPr>
              <w:rPr>
                <w:sz w:val="20"/>
                <w:szCs w:val="20"/>
              </w:rPr>
            </w:pPr>
          </w:p>
        </w:tc>
        <w:tc>
          <w:tcPr>
            <w:tcW w:w="720" w:type="dxa"/>
            <w:hideMark/>
          </w:tcPr>
          <w:p w14:paraId="7AD11763"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427B2DDF" w14:textId="77777777" w:rsidR="00000000" w:rsidRDefault="002F725F">
            <w:pPr>
              <w:jc w:val="both"/>
              <w:rPr>
                <w:rFonts w:eastAsia="Times New Roman"/>
                <w:sz w:val="20"/>
                <w:szCs w:val="20"/>
              </w:rPr>
            </w:pPr>
            <w:r>
              <w:rPr>
                <w:rFonts w:eastAsia="Times New Roman"/>
                <w:b/>
                <w:bCs/>
                <w:sz w:val="20"/>
                <w:szCs w:val="20"/>
              </w:rPr>
              <w:t>What should I do if I receive more than one set of voting materials?</w:t>
            </w:r>
          </w:p>
        </w:tc>
      </w:tr>
    </w:tbl>
    <w:p w14:paraId="0DD89352" w14:textId="77777777" w:rsidR="00000000" w:rsidRDefault="002F725F">
      <w:pPr>
        <w:pStyle w:val="NormalWeb"/>
        <w:spacing w:before="0" w:beforeAutospacing="0" w:after="0" w:afterAutospacing="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31FA018E" w14:textId="77777777">
        <w:trPr>
          <w:divId w:val="415980837"/>
          <w:tblCellSpacing w:w="0" w:type="dxa"/>
        </w:trPr>
        <w:tc>
          <w:tcPr>
            <w:tcW w:w="6" w:type="dxa"/>
            <w:hideMark/>
          </w:tcPr>
          <w:p w14:paraId="48986A69" w14:textId="77777777" w:rsidR="00000000" w:rsidRDefault="002F725F">
            <w:pPr>
              <w:rPr>
                <w:sz w:val="20"/>
                <w:szCs w:val="20"/>
              </w:rPr>
            </w:pPr>
          </w:p>
        </w:tc>
        <w:tc>
          <w:tcPr>
            <w:tcW w:w="720" w:type="dxa"/>
            <w:hideMark/>
          </w:tcPr>
          <w:p w14:paraId="1A370BC6" w14:textId="77777777" w:rsidR="00000000" w:rsidRDefault="002F725F">
            <w:pPr>
              <w:rPr>
                <w:rFonts w:eastAsia="Times New Roman"/>
                <w:sz w:val="20"/>
                <w:szCs w:val="20"/>
              </w:rPr>
            </w:pPr>
            <w:r>
              <w:rPr>
                <w:rFonts w:eastAsia="Times New Roman"/>
                <w:sz w:val="20"/>
                <w:szCs w:val="20"/>
              </w:rPr>
              <w:t>A:</w:t>
            </w:r>
          </w:p>
        </w:tc>
        <w:tc>
          <w:tcPr>
            <w:tcW w:w="0" w:type="auto"/>
            <w:hideMark/>
          </w:tcPr>
          <w:p w14:paraId="4CCB654C" w14:textId="77777777" w:rsidR="00000000" w:rsidRDefault="002F725F">
            <w:pPr>
              <w:jc w:val="both"/>
              <w:rPr>
                <w:rFonts w:eastAsia="Times New Roman"/>
                <w:sz w:val="20"/>
                <w:szCs w:val="20"/>
              </w:rPr>
            </w:pPr>
            <w:r>
              <w:rPr>
                <w:rFonts w:eastAsia="Times New Roman"/>
                <w:sz w:val="20"/>
                <w:szCs w:val="20"/>
              </w:rPr>
              <w:t>You may receive more than one set of voting materials, including multiple copies of this proxy statement or multiple proxy or voting instruction cards. For example, if you hold your Shares in more than one brokerage, bank or other nominee account, you will</w:t>
            </w:r>
            <w:r>
              <w:rPr>
                <w:rFonts w:eastAsia="Times New Roman"/>
                <w:sz w:val="20"/>
                <w:szCs w:val="20"/>
              </w:rPr>
              <w:t xml:space="preserve"> receive a separate voting instruction card for each brokerage, bank or other nominee account in which you hold Shares. If you are a holder of record and your Shares are registered in more than one name, you will receive more than one proxy or voting instr</w:t>
            </w:r>
            <w:r>
              <w:rPr>
                <w:rFonts w:eastAsia="Times New Roman"/>
                <w:sz w:val="20"/>
                <w:szCs w:val="20"/>
              </w:rPr>
              <w:t>uction or voting instruction card. Please submit each proxy card that you receive.</w:t>
            </w:r>
          </w:p>
        </w:tc>
      </w:tr>
    </w:tbl>
    <w:p w14:paraId="5F1A8278"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p w14:paraId="170C264A" w14:textId="77777777" w:rsidR="00000000" w:rsidRDefault="002F725F">
      <w:pPr>
        <w:pStyle w:val="NormalWeb"/>
        <w:spacing w:before="0" w:beforeAutospacing="0" w:after="0" w:afterAutospacing="0"/>
        <w:jc w:val="center"/>
        <w:divId w:val="1069884741"/>
        <w:rPr>
          <w:sz w:val="20"/>
          <w:szCs w:val="20"/>
        </w:rPr>
      </w:pPr>
      <w:r>
        <w:rPr>
          <w:sz w:val="20"/>
          <w:szCs w:val="20"/>
        </w:rPr>
        <w:t>1</w:t>
      </w:r>
      <w:r>
        <w:rPr>
          <w:sz w:val="20"/>
          <w:szCs w:val="20"/>
        </w:rPr>
        <w:t>4</w:t>
      </w:r>
    </w:p>
    <w:p w14:paraId="48259F8D" w14:textId="77777777" w:rsidR="00000000" w:rsidRDefault="002F725F">
      <w:pPr>
        <w:pStyle w:val="NormalWeb"/>
        <w:spacing w:before="0" w:beforeAutospacing="0" w:after="0" w:afterAutospacing="0"/>
        <w:divId w:val="1237210295"/>
        <w:rPr>
          <w:sz w:val="20"/>
          <w:szCs w:val="20"/>
        </w:rPr>
      </w:pPr>
      <w:r>
        <w:rPr>
          <w:sz w:val="20"/>
          <w:szCs w:val="20"/>
        </w:rPr>
        <w:t> </w:t>
      </w:r>
    </w:p>
    <w:p w14:paraId="6666C6AD"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54EEA932" w14:textId="77777777">
        <w:trPr>
          <w:divId w:val="415980837"/>
          <w:tblCellSpacing w:w="0" w:type="dxa"/>
        </w:trPr>
        <w:tc>
          <w:tcPr>
            <w:tcW w:w="6" w:type="dxa"/>
            <w:hideMark/>
          </w:tcPr>
          <w:p w14:paraId="0FE0CE9D" w14:textId="77777777" w:rsidR="00000000" w:rsidRDefault="002F725F">
            <w:pPr>
              <w:rPr>
                <w:sz w:val="20"/>
                <w:szCs w:val="20"/>
              </w:rPr>
            </w:pPr>
          </w:p>
        </w:tc>
        <w:tc>
          <w:tcPr>
            <w:tcW w:w="720" w:type="dxa"/>
            <w:hideMark/>
          </w:tcPr>
          <w:p w14:paraId="3E6328DD"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7D23793A" w14:textId="77777777" w:rsidR="00000000" w:rsidRDefault="002F725F">
            <w:pPr>
              <w:jc w:val="both"/>
              <w:rPr>
                <w:rFonts w:eastAsia="Times New Roman"/>
                <w:sz w:val="20"/>
                <w:szCs w:val="20"/>
              </w:rPr>
            </w:pPr>
            <w:r>
              <w:rPr>
                <w:rFonts w:eastAsia="Times New Roman"/>
                <w:b/>
                <w:bCs/>
                <w:sz w:val="20"/>
                <w:szCs w:val="20"/>
              </w:rPr>
              <w:t>If I am a holder of certificated Shares, should I send in my Share certificates now?</w:t>
            </w:r>
          </w:p>
        </w:tc>
      </w:tr>
    </w:tbl>
    <w:p w14:paraId="62DDB835"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1ED40BC6" w14:textId="77777777">
        <w:trPr>
          <w:divId w:val="415980837"/>
          <w:tblCellSpacing w:w="0" w:type="dxa"/>
        </w:trPr>
        <w:tc>
          <w:tcPr>
            <w:tcW w:w="6" w:type="dxa"/>
            <w:hideMark/>
          </w:tcPr>
          <w:p w14:paraId="6EF0A94F" w14:textId="77777777" w:rsidR="00000000" w:rsidRDefault="002F725F">
            <w:pPr>
              <w:rPr>
                <w:sz w:val="20"/>
                <w:szCs w:val="20"/>
              </w:rPr>
            </w:pPr>
          </w:p>
        </w:tc>
        <w:tc>
          <w:tcPr>
            <w:tcW w:w="720" w:type="dxa"/>
            <w:hideMark/>
          </w:tcPr>
          <w:p w14:paraId="219C36A9" w14:textId="77777777" w:rsidR="00000000" w:rsidRDefault="002F725F">
            <w:pPr>
              <w:rPr>
                <w:rFonts w:eastAsia="Times New Roman"/>
                <w:sz w:val="20"/>
                <w:szCs w:val="20"/>
              </w:rPr>
            </w:pPr>
            <w:r>
              <w:rPr>
                <w:rFonts w:eastAsia="Times New Roman"/>
                <w:sz w:val="20"/>
                <w:szCs w:val="20"/>
              </w:rPr>
              <w:t>A:</w:t>
            </w:r>
          </w:p>
        </w:tc>
        <w:tc>
          <w:tcPr>
            <w:tcW w:w="0" w:type="auto"/>
            <w:hideMark/>
          </w:tcPr>
          <w:p w14:paraId="00E9A7B9" w14:textId="77777777" w:rsidR="00000000" w:rsidRDefault="002F725F">
            <w:pPr>
              <w:jc w:val="both"/>
              <w:rPr>
                <w:rFonts w:eastAsia="Times New Roman"/>
                <w:sz w:val="20"/>
                <w:szCs w:val="20"/>
              </w:rPr>
            </w:pPr>
            <w:r>
              <w:rPr>
                <w:rFonts w:eastAsia="Times New Roman"/>
                <w:sz w:val="20"/>
                <w:szCs w:val="20"/>
              </w:rPr>
              <w:t>No, please do not send in your share certificates now. After the Me</w:t>
            </w:r>
            <w:r>
              <w:rPr>
                <w:rFonts w:eastAsia="Times New Roman"/>
                <w:sz w:val="20"/>
                <w:szCs w:val="20"/>
              </w:rPr>
              <w:t>rger is completed, holders of certificated Shares will be sent a form of letter of transmittal with detailed written instructions for exchanging your share certificates for the Per Share Merger Consideration.</w:t>
            </w:r>
          </w:p>
        </w:tc>
      </w:tr>
    </w:tbl>
    <w:p w14:paraId="47D45ACF"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p w14:paraId="38AC9F2A" w14:textId="77777777" w:rsidR="00000000" w:rsidRDefault="002F725F">
      <w:pPr>
        <w:pStyle w:val="NormalWeb"/>
        <w:spacing w:before="0" w:beforeAutospacing="0" w:after="0" w:afterAutospacing="0"/>
        <w:ind w:left="720"/>
        <w:jc w:val="both"/>
        <w:divId w:val="415980837"/>
        <w:rPr>
          <w:sz w:val="20"/>
          <w:szCs w:val="20"/>
        </w:rPr>
      </w:pPr>
      <w:r>
        <w:rPr>
          <w:sz w:val="20"/>
          <w:szCs w:val="20"/>
        </w:rPr>
        <w:t>All holders of uncertificated Shares whose S</w:t>
      </w:r>
      <w:r>
        <w:rPr>
          <w:sz w:val="20"/>
          <w:szCs w:val="20"/>
        </w:rPr>
        <w:t>hares are held in book-entry will automatically receive their net merger consideration shortly after the Merger is completed without any further action required on the part of such holders.</w:t>
      </w:r>
    </w:p>
    <w:p w14:paraId="5162D5E3"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7A696B70" w14:textId="77777777">
        <w:trPr>
          <w:divId w:val="415980837"/>
          <w:tblCellSpacing w:w="0" w:type="dxa"/>
        </w:trPr>
        <w:tc>
          <w:tcPr>
            <w:tcW w:w="6" w:type="dxa"/>
            <w:hideMark/>
          </w:tcPr>
          <w:p w14:paraId="57B4582E" w14:textId="77777777" w:rsidR="00000000" w:rsidRDefault="002F725F">
            <w:pPr>
              <w:rPr>
                <w:sz w:val="20"/>
                <w:szCs w:val="20"/>
              </w:rPr>
            </w:pPr>
          </w:p>
        </w:tc>
        <w:tc>
          <w:tcPr>
            <w:tcW w:w="720" w:type="dxa"/>
            <w:hideMark/>
          </w:tcPr>
          <w:p w14:paraId="3CA7BA12"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099A2AD2" w14:textId="77777777" w:rsidR="00000000" w:rsidRDefault="002F725F">
            <w:pPr>
              <w:jc w:val="both"/>
              <w:rPr>
                <w:rFonts w:eastAsia="Times New Roman"/>
                <w:sz w:val="20"/>
                <w:szCs w:val="20"/>
              </w:rPr>
            </w:pPr>
            <w:r>
              <w:rPr>
                <w:rFonts w:eastAsia="Times New Roman"/>
                <w:b/>
                <w:bCs/>
                <w:sz w:val="20"/>
                <w:szCs w:val="20"/>
              </w:rPr>
              <w:t>Am I entitled to dissenters’ rights?</w:t>
            </w:r>
          </w:p>
        </w:tc>
      </w:tr>
    </w:tbl>
    <w:p w14:paraId="394BADE3"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3BB4B990" w14:textId="77777777">
        <w:trPr>
          <w:divId w:val="415980837"/>
          <w:tblCellSpacing w:w="0" w:type="dxa"/>
        </w:trPr>
        <w:tc>
          <w:tcPr>
            <w:tcW w:w="6" w:type="dxa"/>
            <w:hideMark/>
          </w:tcPr>
          <w:p w14:paraId="275A9D3B" w14:textId="77777777" w:rsidR="00000000" w:rsidRDefault="002F725F">
            <w:pPr>
              <w:rPr>
                <w:sz w:val="20"/>
                <w:szCs w:val="20"/>
              </w:rPr>
            </w:pPr>
          </w:p>
        </w:tc>
        <w:tc>
          <w:tcPr>
            <w:tcW w:w="720" w:type="dxa"/>
            <w:hideMark/>
          </w:tcPr>
          <w:p w14:paraId="5A4EAA03" w14:textId="77777777" w:rsidR="00000000" w:rsidRDefault="002F725F">
            <w:pPr>
              <w:rPr>
                <w:rFonts w:eastAsia="Times New Roman"/>
                <w:sz w:val="20"/>
                <w:szCs w:val="20"/>
              </w:rPr>
            </w:pPr>
            <w:r>
              <w:rPr>
                <w:rFonts w:eastAsia="Times New Roman"/>
                <w:sz w:val="20"/>
                <w:szCs w:val="20"/>
              </w:rPr>
              <w:t>A:</w:t>
            </w:r>
          </w:p>
        </w:tc>
        <w:tc>
          <w:tcPr>
            <w:tcW w:w="0" w:type="auto"/>
            <w:hideMark/>
          </w:tcPr>
          <w:p w14:paraId="16DD1D2B" w14:textId="77777777" w:rsidR="00000000" w:rsidRDefault="002F725F">
            <w:pPr>
              <w:jc w:val="both"/>
              <w:rPr>
                <w:rFonts w:eastAsia="Times New Roman"/>
                <w:sz w:val="20"/>
                <w:szCs w:val="20"/>
              </w:rPr>
            </w:pPr>
            <w:r>
              <w:rPr>
                <w:rFonts w:eastAsia="Times New Roman"/>
                <w:sz w:val="20"/>
                <w:szCs w:val="20"/>
              </w:rPr>
              <w:t>Registered shareholders who have validly exercised and have not effectively withdrawn or lost their rights to dissent from the Merger will have the right to receive payment of the fair value of their Shares as determined by the Grand Court of the Cayman Is</w:t>
            </w:r>
            <w:r>
              <w:rPr>
                <w:rFonts w:eastAsia="Times New Roman"/>
                <w:sz w:val="20"/>
                <w:szCs w:val="20"/>
              </w:rPr>
              <w:t>lands in accordance with Section 238 of the Cayman Islands Companies Act, subject to Section 239 of the Cayman Islands Companies Act, if the Merger is consummated, but only if they deliver to the Company, before the vote to authorize and approve the Merger</w:t>
            </w:r>
            <w:r>
              <w:rPr>
                <w:rFonts w:eastAsia="Times New Roman"/>
                <w:sz w:val="20"/>
                <w:szCs w:val="20"/>
              </w:rPr>
              <w:t xml:space="preserve"> is taken at the extraordinary general meeting, a written objection to the Merger and subsequently comply with all procedures and requirements of Section 238 of the Cayman Islands Companies Act for the exercise of dissenters’ rights. A copy of Section 238 </w:t>
            </w:r>
            <w:r>
              <w:rPr>
                <w:rFonts w:eastAsia="Times New Roman"/>
                <w:sz w:val="20"/>
                <w:szCs w:val="20"/>
              </w:rPr>
              <w:t>is attached as Annex D to this proxy statement. The fair value of each of their Shares as determined by the Grand Court of the Cayman Islands under the Cayman Islands Companies Act could be more than, the same as, or less than the Per Share Merger Consider</w:t>
            </w:r>
            <w:r>
              <w:rPr>
                <w:rFonts w:eastAsia="Times New Roman"/>
                <w:sz w:val="20"/>
                <w:szCs w:val="20"/>
              </w:rPr>
              <w:t>ation they would receive pursuant to the Merger Agreement if they do not exercise their rights to dissent with respect to their Shares.</w:t>
            </w:r>
          </w:p>
        </w:tc>
      </w:tr>
    </w:tbl>
    <w:p w14:paraId="1F3F92F8"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p w14:paraId="64F5FCC6" w14:textId="77777777" w:rsidR="00000000" w:rsidRDefault="002F725F">
      <w:pPr>
        <w:pStyle w:val="NormalWeb"/>
        <w:spacing w:before="0" w:beforeAutospacing="0" w:after="0" w:afterAutospacing="0"/>
        <w:ind w:left="720"/>
        <w:jc w:val="both"/>
        <w:divId w:val="415980837"/>
        <w:rPr>
          <w:sz w:val="20"/>
          <w:szCs w:val="20"/>
        </w:rPr>
      </w:pPr>
      <w:r>
        <w:rPr>
          <w:sz w:val="20"/>
          <w:szCs w:val="20"/>
        </w:rPr>
        <w:t>We encourage you to read the section of this proxy statement entitled “Dissenters’ Rights” beginning on page 98 as we</w:t>
      </w:r>
      <w:r>
        <w:rPr>
          <w:sz w:val="20"/>
          <w:szCs w:val="20"/>
        </w:rPr>
        <w:t xml:space="preserve">ll as “Annex D—Cayman Islands Companies Act—Section 238” to this proxy statement carefully. This proxy statement is not to be construed or taken as legal advice on Cayman Islands law. </w:t>
      </w:r>
      <w:r>
        <w:rPr>
          <w:sz w:val="20"/>
          <w:szCs w:val="20"/>
        </w:rPr>
        <w:lastRenderedPageBreak/>
        <w:t>Registered shareholders who wish to exercise any rights under Section 23</w:t>
      </w:r>
      <w:r>
        <w:rPr>
          <w:sz w:val="20"/>
          <w:szCs w:val="20"/>
        </w:rPr>
        <w:t>8 of the Cayman Islands Companies Act, or otherwise, should obtain their own copy of the complete Cayman Islands Companies Act and seek legal advice from a law firm authorized to practice Cayman Islands law without delay.</w:t>
      </w:r>
    </w:p>
    <w:p w14:paraId="4BEF191C"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6B5A85B0" w14:textId="77777777">
        <w:trPr>
          <w:divId w:val="415980837"/>
          <w:tblCellSpacing w:w="0" w:type="dxa"/>
        </w:trPr>
        <w:tc>
          <w:tcPr>
            <w:tcW w:w="6" w:type="dxa"/>
            <w:hideMark/>
          </w:tcPr>
          <w:p w14:paraId="2EA33791" w14:textId="77777777" w:rsidR="00000000" w:rsidRDefault="002F725F">
            <w:pPr>
              <w:rPr>
                <w:sz w:val="20"/>
                <w:szCs w:val="20"/>
              </w:rPr>
            </w:pPr>
          </w:p>
        </w:tc>
        <w:tc>
          <w:tcPr>
            <w:tcW w:w="720" w:type="dxa"/>
            <w:hideMark/>
          </w:tcPr>
          <w:p w14:paraId="46977AD6"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3C503052" w14:textId="77777777" w:rsidR="00000000" w:rsidRDefault="002F725F">
            <w:pPr>
              <w:jc w:val="both"/>
              <w:rPr>
                <w:rFonts w:eastAsia="Times New Roman"/>
                <w:sz w:val="20"/>
                <w:szCs w:val="20"/>
              </w:rPr>
            </w:pPr>
            <w:r>
              <w:rPr>
                <w:rFonts w:eastAsia="Times New Roman"/>
                <w:b/>
                <w:bCs/>
                <w:sz w:val="20"/>
                <w:szCs w:val="20"/>
              </w:rPr>
              <w:t>What do I need to do now?</w:t>
            </w:r>
          </w:p>
        </w:tc>
      </w:tr>
    </w:tbl>
    <w:p w14:paraId="0AC7B138"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62C24075" w14:textId="77777777">
        <w:trPr>
          <w:divId w:val="415980837"/>
          <w:tblCellSpacing w:w="0" w:type="dxa"/>
        </w:trPr>
        <w:tc>
          <w:tcPr>
            <w:tcW w:w="6" w:type="dxa"/>
            <w:hideMark/>
          </w:tcPr>
          <w:p w14:paraId="29E6639F" w14:textId="77777777" w:rsidR="00000000" w:rsidRDefault="002F725F">
            <w:pPr>
              <w:rPr>
                <w:sz w:val="20"/>
                <w:szCs w:val="20"/>
              </w:rPr>
            </w:pPr>
          </w:p>
        </w:tc>
        <w:tc>
          <w:tcPr>
            <w:tcW w:w="720" w:type="dxa"/>
            <w:hideMark/>
          </w:tcPr>
          <w:p w14:paraId="0688A009" w14:textId="77777777" w:rsidR="00000000" w:rsidRDefault="002F725F">
            <w:pPr>
              <w:rPr>
                <w:rFonts w:eastAsia="Times New Roman"/>
                <w:sz w:val="20"/>
                <w:szCs w:val="20"/>
              </w:rPr>
            </w:pPr>
            <w:r>
              <w:rPr>
                <w:rFonts w:eastAsia="Times New Roman"/>
                <w:sz w:val="20"/>
                <w:szCs w:val="20"/>
              </w:rPr>
              <w:t>A:</w:t>
            </w:r>
          </w:p>
        </w:tc>
        <w:tc>
          <w:tcPr>
            <w:tcW w:w="0" w:type="auto"/>
            <w:hideMark/>
          </w:tcPr>
          <w:p w14:paraId="42702182" w14:textId="77777777" w:rsidR="00000000" w:rsidRDefault="002F725F">
            <w:pPr>
              <w:jc w:val="both"/>
              <w:rPr>
                <w:rFonts w:eastAsia="Times New Roman"/>
                <w:sz w:val="20"/>
                <w:szCs w:val="20"/>
              </w:rPr>
            </w:pPr>
            <w:r>
              <w:rPr>
                <w:rFonts w:eastAsia="Times New Roman"/>
                <w:sz w:val="20"/>
                <w:szCs w:val="20"/>
              </w:rPr>
              <w:t xml:space="preserve">We urge you to read this proxy statement carefully, including its annexes, exhibits, attachments and the </w:t>
            </w:r>
            <w:r>
              <w:rPr>
                <w:rFonts w:eastAsia="Times New Roman"/>
                <w:sz w:val="20"/>
                <w:szCs w:val="20"/>
              </w:rPr>
              <w:t>other documents referred to or incorporated by reference herein and to consider how the Merger affects you as a shareholder. After you have done so, please vote as soon as possible.</w:t>
            </w:r>
          </w:p>
        </w:tc>
      </w:tr>
    </w:tbl>
    <w:p w14:paraId="512FA63D" w14:textId="77777777" w:rsidR="00000000" w:rsidRDefault="002F725F">
      <w:pPr>
        <w:pStyle w:val="NormalWeb"/>
        <w:spacing w:before="0" w:beforeAutospacing="0" w:after="0" w:afterAutospacing="0"/>
        <w:ind w:left="720" w:hanging="72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2234FFBB" w14:textId="77777777">
        <w:trPr>
          <w:divId w:val="415980837"/>
          <w:tblCellSpacing w:w="0" w:type="dxa"/>
        </w:trPr>
        <w:tc>
          <w:tcPr>
            <w:tcW w:w="6" w:type="dxa"/>
            <w:hideMark/>
          </w:tcPr>
          <w:p w14:paraId="2C0954EB" w14:textId="77777777" w:rsidR="00000000" w:rsidRDefault="002F725F">
            <w:pPr>
              <w:rPr>
                <w:sz w:val="20"/>
                <w:szCs w:val="20"/>
              </w:rPr>
            </w:pPr>
          </w:p>
        </w:tc>
        <w:tc>
          <w:tcPr>
            <w:tcW w:w="720" w:type="dxa"/>
            <w:hideMark/>
          </w:tcPr>
          <w:p w14:paraId="7D0B7E47"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3CF871DD" w14:textId="77777777" w:rsidR="00000000" w:rsidRDefault="002F725F">
            <w:pPr>
              <w:jc w:val="both"/>
              <w:rPr>
                <w:rFonts w:eastAsia="Times New Roman"/>
                <w:sz w:val="20"/>
                <w:szCs w:val="20"/>
              </w:rPr>
            </w:pPr>
            <w:r>
              <w:rPr>
                <w:rFonts w:eastAsia="Times New Roman"/>
                <w:b/>
                <w:bCs/>
                <w:sz w:val="20"/>
                <w:szCs w:val="20"/>
              </w:rPr>
              <w:t>Will any proxy solicitors be used in connection with the extraordin</w:t>
            </w:r>
            <w:r>
              <w:rPr>
                <w:rFonts w:eastAsia="Times New Roman"/>
                <w:b/>
                <w:bCs/>
                <w:sz w:val="20"/>
                <w:szCs w:val="20"/>
              </w:rPr>
              <w:t>ary general meeting?</w:t>
            </w:r>
          </w:p>
        </w:tc>
      </w:tr>
    </w:tbl>
    <w:p w14:paraId="6643779B"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3732625E" w14:textId="77777777">
        <w:trPr>
          <w:divId w:val="415980837"/>
          <w:tblCellSpacing w:w="0" w:type="dxa"/>
        </w:trPr>
        <w:tc>
          <w:tcPr>
            <w:tcW w:w="6" w:type="dxa"/>
            <w:hideMark/>
          </w:tcPr>
          <w:p w14:paraId="45506ADF" w14:textId="77777777" w:rsidR="00000000" w:rsidRDefault="002F725F">
            <w:pPr>
              <w:rPr>
                <w:sz w:val="20"/>
                <w:szCs w:val="20"/>
              </w:rPr>
            </w:pPr>
          </w:p>
        </w:tc>
        <w:tc>
          <w:tcPr>
            <w:tcW w:w="720" w:type="dxa"/>
            <w:hideMark/>
          </w:tcPr>
          <w:p w14:paraId="3920C6A0" w14:textId="77777777" w:rsidR="00000000" w:rsidRDefault="002F725F">
            <w:pPr>
              <w:rPr>
                <w:rFonts w:eastAsia="Times New Roman"/>
                <w:sz w:val="20"/>
                <w:szCs w:val="20"/>
              </w:rPr>
            </w:pPr>
            <w:r>
              <w:rPr>
                <w:rFonts w:eastAsia="Times New Roman"/>
                <w:sz w:val="20"/>
                <w:szCs w:val="20"/>
              </w:rPr>
              <w:t>A:</w:t>
            </w:r>
          </w:p>
        </w:tc>
        <w:tc>
          <w:tcPr>
            <w:tcW w:w="0" w:type="auto"/>
            <w:hideMark/>
          </w:tcPr>
          <w:p w14:paraId="3970CB41" w14:textId="77777777" w:rsidR="00000000" w:rsidRDefault="002F725F">
            <w:pPr>
              <w:jc w:val="both"/>
              <w:rPr>
                <w:rFonts w:eastAsia="Times New Roman"/>
                <w:sz w:val="20"/>
                <w:szCs w:val="20"/>
              </w:rPr>
            </w:pPr>
            <w:r>
              <w:rPr>
                <w:rFonts w:eastAsia="Times New Roman"/>
                <w:sz w:val="20"/>
                <w:szCs w:val="20"/>
              </w:rPr>
              <w:t>No.</w:t>
            </w:r>
          </w:p>
        </w:tc>
      </w:tr>
    </w:tbl>
    <w:p w14:paraId="22F47D40" w14:textId="77777777" w:rsidR="00000000" w:rsidRDefault="002F725F">
      <w:pPr>
        <w:pStyle w:val="NormalWeb"/>
        <w:spacing w:before="0" w:beforeAutospacing="0" w:after="0" w:afterAutospacing="0"/>
        <w:jc w:val="both"/>
        <w:divId w:val="415980837"/>
        <w:rPr>
          <w:sz w:val="20"/>
          <w:szCs w:val="20"/>
        </w:rPr>
      </w:pPr>
      <w:r>
        <w:rPr>
          <w:b/>
          <w:bCs/>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1CCEBCAC" w14:textId="77777777">
        <w:trPr>
          <w:divId w:val="415980837"/>
          <w:tblCellSpacing w:w="0" w:type="dxa"/>
        </w:trPr>
        <w:tc>
          <w:tcPr>
            <w:tcW w:w="6" w:type="dxa"/>
            <w:hideMark/>
          </w:tcPr>
          <w:p w14:paraId="1875D692" w14:textId="77777777" w:rsidR="00000000" w:rsidRDefault="002F725F">
            <w:pPr>
              <w:rPr>
                <w:sz w:val="20"/>
                <w:szCs w:val="20"/>
              </w:rPr>
            </w:pPr>
          </w:p>
        </w:tc>
        <w:tc>
          <w:tcPr>
            <w:tcW w:w="720" w:type="dxa"/>
            <w:hideMark/>
          </w:tcPr>
          <w:p w14:paraId="7BB55C1A" w14:textId="77777777" w:rsidR="00000000" w:rsidRDefault="002F725F">
            <w:pPr>
              <w:rPr>
                <w:rFonts w:eastAsia="Times New Roman"/>
                <w:sz w:val="20"/>
                <w:szCs w:val="20"/>
              </w:rPr>
            </w:pPr>
            <w:r>
              <w:rPr>
                <w:rFonts w:eastAsia="Times New Roman"/>
                <w:b/>
                <w:bCs/>
                <w:sz w:val="20"/>
                <w:szCs w:val="20"/>
              </w:rPr>
              <w:t>Q:</w:t>
            </w:r>
          </w:p>
        </w:tc>
        <w:tc>
          <w:tcPr>
            <w:tcW w:w="0" w:type="auto"/>
            <w:hideMark/>
          </w:tcPr>
          <w:p w14:paraId="779B5311" w14:textId="77777777" w:rsidR="00000000" w:rsidRDefault="002F725F">
            <w:pPr>
              <w:jc w:val="both"/>
              <w:rPr>
                <w:rFonts w:eastAsia="Times New Roman"/>
                <w:sz w:val="20"/>
                <w:szCs w:val="20"/>
              </w:rPr>
            </w:pPr>
            <w:r>
              <w:rPr>
                <w:rFonts w:eastAsia="Times New Roman"/>
                <w:b/>
                <w:bCs/>
                <w:sz w:val="20"/>
                <w:szCs w:val="20"/>
              </w:rPr>
              <w:t>Who can help answer my questions?</w:t>
            </w:r>
          </w:p>
        </w:tc>
      </w:tr>
    </w:tbl>
    <w:p w14:paraId="4228D1F3" w14:textId="77777777" w:rsidR="00000000" w:rsidRDefault="002F725F">
      <w:pPr>
        <w:pStyle w:val="NormalWeb"/>
        <w:spacing w:before="0" w:beforeAutospacing="0" w:after="0" w:afterAutospacing="0"/>
        <w:ind w:left="720" w:hanging="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798A8192" w14:textId="77777777">
        <w:trPr>
          <w:divId w:val="415980837"/>
          <w:tblCellSpacing w:w="0" w:type="dxa"/>
        </w:trPr>
        <w:tc>
          <w:tcPr>
            <w:tcW w:w="6" w:type="dxa"/>
            <w:hideMark/>
          </w:tcPr>
          <w:p w14:paraId="330B2B59" w14:textId="77777777" w:rsidR="00000000" w:rsidRDefault="002F725F">
            <w:pPr>
              <w:rPr>
                <w:sz w:val="20"/>
                <w:szCs w:val="20"/>
              </w:rPr>
            </w:pPr>
          </w:p>
        </w:tc>
        <w:tc>
          <w:tcPr>
            <w:tcW w:w="720" w:type="dxa"/>
            <w:hideMark/>
          </w:tcPr>
          <w:p w14:paraId="4E8AC787" w14:textId="77777777" w:rsidR="00000000" w:rsidRDefault="002F725F">
            <w:pPr>
              <w:rPr>
                <w:rFonts w:eastAsia="Times New Roman"/>
                <w:sz w:val="20"/>
                <w:szCs w:val="20"/>
              </w:rPr>
            </w:pPr>
            <w:r>
              <w:rPr>
                <w:rFonts w:eastAsia="Times New Roman"/>
                <w:sz w:val="20"/>
                <w:szCs w:val="20"/>
              </w:rPr>
              <w:t>A:</w:t>
            </w:r>
          </w:p>
        </w:tc>
        <w:tc>
          <w:tcPr>
            <w:tcW w:w="0" w:type="auto"/>
            <w:hideMark/>
          </w:tcPr>
          <w:p w14:paraId="3D1569D9" w14:textId="77777777" w:rsidR="00000000" w:rsidRDefault="002F725F">
            <w:pPr>
              <w:jc w:val="both"/>
              <w:rPr>
                <w:rFonts w:eastAsia="Times New Roman"/>
                <w:sz w:val="20"/>
                <w:szCs w:val="20"/>
              </w:rPr>
            </w:pPr>
            <w:r>
              <w:rPr>
                <w:rFonts w:eastAsia="Times New Roman"/>
                <w:sz w:val="20"/>
                <w:szCs w:val="20"/>
              </w:rPr>
              <w:t>If you have any questions about the Merger or if you need additional copies of this proxy statement or the accompanying proxy card, you should contact our Investor Relations Department by phone at +86 (10) 8920-2086 or by email at ir@lakeshorebio.com.</w:t>
            </w:r>
          </w:p>
        </w:tc>
      </w:tr>
    </w:tbl>
    <w:p w14:paraId="5199B2C7" w14:textId="77777777" w:rsidR="00000000" w:rsidRDefault="002F725F">
      <w:pPr>
        <w:pStyle w:val="NormalWeb"/>
        <w:spacing w:before="0" w:beforeAutospacing="0" w:after="0" w:afterAutospacing="0"/>
        <w:ind w:firstLine="720"/>
        <w:jc w:val="both"/>
        <w:divId w:val="415980837"/>
        <w:rPr>
          <w:sz w:val="20"/>
          <w:szCs w:val="20"/>
        </w:rPr>
      </w:pPr>
      <w:r>
        <w:rPr>
          <w:i/>
          <w:iCs/>
          <w:sz w:val="20"/>
          <w:szCs w:val="20"/>
        </w:rPr>
        <w:t> </w:t>
      </w:r>
    </w:p>
    <w:p w14:paraId="106C5623" w14:textId="77777777" w:rsidR="00000000" w:rsidRDefault="002F725F">
      <w:pPr>
        <w:pStyle w:val="NormalWeb"/>
        <w:spacing w:before="0" w:beforeAutospacing="0" w:after="0" w:afterAutospacing="0"/>
        <w:ind w:firstLine="720"/>
        <w:jc w:val="both"/>
        <w:divId w:val="415980837"/>
        <w:rPr>
          <w:sz w:val="20"/>
          <w:szCs w:val="20"/>
        </w:rPr>
      </w:pPr>
      <w:r>
        <w:rPr>
          <w:i/>
          <w:iCs/>
          <w:sz w:val="20"/>
          <w:szCs w:val="20"/>
        </w:rPr>
        <w:t>I</w:t>
      </w:r>
      <w:r>
        <w:rPr>
          <w:i/>
          <w:iCs/>
          <w:sz w:val="20"/>
          <w:szCs w:val="20"/>
        </w:rPr>
        <w:t>n order for you to receive timely delivery of any additional copy of this proxy statement or the accompanying proxy card in advance of the extraordinary general meeting, you must make your request no later than ten days prior to the date of the extraordina</w:t>
      </w:r>
      <w:r>
        <w:rPr>
          <w:i/>
          <w:iCs/>
          <w:sz w:val="20"/>
          <w:szCs w:val="20"/>
        </w:rPr>
        <w:t>ry general meeting.</w:t>
      </w:r>
    </w:p>
    <w:p w14:paraId="2731280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3D94792" w14:textId="77777777" w:rsidR="00000000" w:rsidRDefault="002F725F">
      <w:pPr>
        <w:pStyle w:val="NormalWeb"/>
        <w:spacing w:before="0" w:beforeAutospacing="0" w:after="0" w:afterAutospacing="0"/>
        <w:jc w:val="center"/>
        <w:divId w:val="103812992"/>
        <w:rPr>
          <w:sz w:val="20"/>
          <w:szCs w:val="20"/>
        </w:rPr>
      </w:pPr>
      <w:r>
        <w:rPr>
          <w:sz w:val="20"/>
          <w:szCs w:val="20"/>
        </w:rPr>
        <w:t>1</w:t>
      </w:r>
      <w:r>
        <w:rPr>
          <w:sz w:val="20"/>
          <w:szCs w:val="20"/>
        </w:rPr>
        <w:t>5</w:t>
      </w:r>
    </w:p>
    <w:p w14:paraId="619B7A43" w14:textId="77777777" w:rsidR="00000000" w:rsidRDefault="002F725F">
      <w:pPr>
        <w:pStyle w:val="NormalWeb"/>
        <w:spacing w:before="0" w:beforeAutospacing="0" w:after="0" w:afterAutospacing="0"/>
        <w:divId w:val="453983317"/>
        <w:rPr>
          <w:sz w:val="20"/>
          <w:szCs w:val="20"/>
        </w:rPr>
      </w:pPr>
      <w:r>
        <w:rPr>
          <w:sz w:val="20"/>
          <w:szCs w:val="20"/>
        </w:rPr>
        <w:t> </w:t>
      </w:r>
    </w:p>
    <w:p w14:paraId="24AE4E75"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4E04AA7B" w14:textId="77777777" w:rsidR="00000000" w:rsidRDefault="002F725F">
      <w:pPr>
        <w:pStyle w:val="NormalWeb"/>
        <w:spacing w:before="0" w:beforeAutospacing="0" w:after="0" w:afterAutospacing="0"/>
        <w:jc w:val="center"/>
        <w:divId w:val="415980837"/>
        <w:rPr>
          <w:sz w:val="20"/>
          <w:szCs w:val="20"/>
        </w:rPr>
      </w:pPr>
      <w:bookmarkStart w:id="22" w:name="gfpea028961701ex99-a1.htmk_003"/>
      <w:bookmarkEnd w:id="22"/>
      <w:r>
        <w:rPr>
          <w:b/>
          <w:bCs/>
          <w:sz w:val="20"/>
          <w:szCs w:val="20"/>
        </w:rPr>
        <w:t>SPECIAL FACTORS</w:t>
      </w:r>
    </w:p>
    <w:p w14:paraId="240D1191"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2467BC32" w14:textId="77777777" w:rsidR="00000000" w:rsidRDefault="002F725F">
      <w:pPr>
        <w:pStyle w:val="NormalWeb"/>
        <w:spacing w:before="0" w:beforeAutospacing="0" w:after="0" w:afterAutospacing="0"/>
        <w:jc w:val="both"/>
        <w:divId w:val="415980837"/>
        <w:rPr>
          <w:sz w:val="20"/>
          <w:szCs w:val="20"/>
        </w:rPr>
      </w:pPr>
      <w:r>
        <w:rPr>
          <w:b/>
          <w:bCs/>
          <w:sz w:val="20"/>
          <w:szCs w:val="20"/>
        </w:rPr>
        <w:t>Background of the Merger</w:t>
      </w:r>
    </w:p>
    <w:p w14:paraId="3AAB9FCF" w14:textId="77777777" w:rsidR="00000000" w:rsidRDefault="002F725F">
      <w:pPr>
        <w:pStyle w:val="NormalWeb"/>
        <w:spacing w:before="0" w:beforeAutospacing="0" w:after="0" w:afterAutospacing="0"/>
        <w:ind w:firstLine="720"/>
        <w:jc w:val="both"/>
        <w:divId w:val="415980837"/>
        <w:rPr>
          <w:sz w:val="20"/>
          <w:szCs w:val="20"/>
        </w:rPr>
      </w:pPr>
      <w:r>
        <w:rPr>
          <w:i/>
          <w:iCs/>
          <w:sz w:val="20"/>
          <w:szCs w:val="20"/>
        </w:rPr>
        <w:t> </w:t>
      </w:r>
    </w:p>
    <w:p w14:paraId="651E9347" w14:textId="77777777" w:rsidR="00000000" w:rsidRDefault="002F725F">
      <w:pPr>
        <w:pStyle w:val="NormalWeb"/>
        <w:spacing w:before="0" w:beforeAutospacing="0" w:after="0" w:afterAutospacing="0"/>
        <w:ind w:firstLine="720"/>
        <w:jc w:val="both"/>
        <w:divId w:val="415980837"/>
        <w:rPr>
          <w:sz w:val="20"/>
          <w:szCs w:val="20"/>
        </w:rPr>
      </w:pPr>
      <w:r>
        <w:rPr>
          <w:i/>
          <w:iCs/>
          <w:sz w:val="20"/>
          <w:szCs w:val="20"/>
        </w:rPr>
        <w:t xml:space="preserve">Most of the events leading to the execution of the Merger Agreement described in this “Background of the Merger” occurred in the PRC. As a </w:t>
      </w:r>
      <w:r>
        <w:rPr>
          <w:sz w:val="20"/>
          <w:szCs w:val="20"/>
        </w:rPr>
        <w:t>result</w:t>
      </w:r>
      <w:r>
        <w:rPr>
          <w:i/>
          <w:iCs/>
          <w:sz w:val="20"/>
          <w:szCs w:val="20"/>
        </w:rPr>
        <w:t>, all dates and times referenced in t</w:t>
      </w:r>
      <w:r>
        <w:rPr>
          <w:i/>
          <w:iCs/>
          <w:sz w:val="20"/>
          <w:szCs w:val="20"/>
        </w:rPr>
        <w:t>his Background of the Merger refer to Beijing Time.</w:t>
      </w:r>
    </w:p>
    <w:p w14:paraId="6104E4C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3C9AC4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Board and senior management of the Company periodically review the Company’</w:t>
      </w:r>
      <w:r>
        <w:rPr>
          <w:sz w:val="20"/>
          <w:szCs w:val="20"/>
        </w:rPr>
        <w:t>s long-term strategic plans with the goal of maximizing shareholder value. As part of this ongoing process, the Board and senior management have, from time to time, considered strategic alternatives that may be available to the Company.</w:t>
      </w:r>
    </w:p>
    <w:p w14:paraId="3AE27DD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E02E32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Sponsor, as a</w:t>
      </w:r>
      <w:r>
        <w:rPr>
          <w:sz w:val="20"/>
          <w:szCs w:val="20"/>
        </w:rPr>
        <w:t xml:space="preserve"> shareholder of the Company, periodically reviewed the Company’s business operations, the general conditions of the Chinese economy, the Company’s industrial sector and generally assessed strategic alternatives.</w:t>
      </w:r>
    </w:p>
    <w:p w14:paraId="6FD1D3B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FB31CC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July 21, 2025, representatives of the S</w:t>
      </w:r>
      <w:r>
        <w:rPr>
          <w:sz w:val="20"/>
          <w:szCs w:val="20"/>
        </w:rPr>
        <w:t>ponsor approached White &amp; Case LLP (“White &amp; Case”) and consulted with White &amp; Case on general process of a potential going private transaction.</w:t>
      </w:r>
    </w:p>
    <w:p w14:paraId="75647C5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B04468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Between July 21, 2025 and August 1, 2025, representatives of the Sponsor and White &amp; Case had several telepho</w:t>
      </w:r>
      <w:r>
        <w:rPr>
          <w:sz w:val="20"/>
          <w:szCs w:val="20"/>
        </w:rPr>
        <w:t>nic and in-person discussions, including the feasibility of a going private transaction, the requisite regulatory approvals and other legal requirements of a going private transaction in general.</w:t>
      </w:r>
    </w:p>
    <w:p w14:paraId="5E130A0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B75807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August 1, 2025, the Sponsor formally engaged White &amp; Ca</w:t>
      </w:r>
      <w:r>
        <w:rPr>
          <w:sz w:val="20"/>
          <w:szCs w:val="20"/>
        </w:rPr>
        <w:t>se as its U.S. legal counsel in connection with its proposed transaction.</w:t>
      </w:r>
    </w:p>
    <w:p w14:paraId="05CE5D1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8D587CE"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Between August 1, 2025 and August 18, 2025, representatives of White &amp; Case and the Sponsor had several discussions with respect to the potential going private transaction, includi</w:t>
      </w:r>
      <w:r>
        <w:rPr>
          <w:sz w:val="20"/>
          <w:szCs w:val="20"/>
        </w:rPr>
        <w:t>ng expectations relating to transaction costs, timing and structures associated with typical going private transactions, as well as shareholders and regulatory approvals that may be required in such a transaction involving the Company, to facilitate the Sp</w:t>
      </w:r>
      <w:r>
        <w:rPr>
          <w:sz w:val="20"/>
          <w:szCs w:val="20"/>
        </w:rPr>
        <w:t>onsor’s evaluation of the merits of proceeding with such a transaction.</w:t>
      </w:r>
    </w:p>
    <w:p w14:paraId="12C7C4E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4D8937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August 18, 2025, Oceanpine Investment and the Sponsor (collectively, “Oceanpine”) submitted a preliminary non-binding proposal letter (the “Original Proposal”) to the Board, propo</w:t>
      </w:r>
      <w:r>
        <w:rPr>
          <w:sz w:val="20"/>
          <w:szCs w:val="20"/>
        </w:rPr>
        <w:t>sing to acquire all outstanding Shares of the Company that are not already beneficially owned by them in a going-private transaction for US$0.86 per Share with its available cash on hand (as may be revised from time to time, the “Proposed Transaction”).</w:t>
      </w:r>
    </w:p>
    <w:p w14:paraId="539D86F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D4F393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the Company issued a press release announcing its receipt of the Original Proposal and furnished the press release as an exhibit to its current report on Form 6-K with the SEC.</w:t>
      </w:r>
    </w:p>
    <w:p w14:paraId="43531FD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6F956A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August 19, 2025, representatives of the Company co</w:t>
      </w:r>
      <w:r>
        <w:rPr>
          <w:sz w:val="20"/>
          <w:szCs w:val="20"/>
        </w:rPr>
        <w:t>nvened a telephonic meeting with representatives of the Sponsor and White &amp; Case to discuss the Original Proposal. During the meeting, the attending parties discussed, among other things, the rationale behind the Sponsor’s intention to privatize the Compan</w:t>
      </w:r>
      <w:r>
        <w:rPr>
          <w:sz w:val="20"/>
          <w:szCs w:val="20"/>
        </w:rPr>
        <w:t>y, the funding arrangement of the Proposed Transaction, the proposed transaction structure and the anticipated transaction timeline.</w:t>
      </w:r>
    </w:p>
    <w:p w14:paraId="067EB69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6306C5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the same date, representatives of Crystal Peak reached out to representatives of the Sponsor by email and expressed it</w:t>
      </w:r>
      <w:r>
        <w:rPr>
          <w:sz w:val="20"/>
          <w:szCs w:val="20"/>
        </w:rPr>
        <w:t>s interest in participating in the Proposed Transaction.</w:t>
      </w:r>
    </w:p>
    <w:p w14:paraId="4ABA28F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2C35FC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August 20, 2025, representatives of Apex Prospect Limited (“Apex”) reached out to representatives of the Sponsor by email and expressed its interest in participating in the Proposed Transaction.</w:t>
      </w:r>
    </w:p>
    <w:p w14:paraId="7C3D53E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7C8376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August 21, 2025, representatives of the Sponsor convened a meeting via video conference with representatives of Apex to discuss the Proposed Transaction.</w:t>
      </w:r>
    </w:p>
    <w:p w14:paraId="37035C7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70005F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the same date, representatives of the Sponsor convened a meeting via video conference with </w:t>
      </w:r>
      <w:r>
        <w:rPr>
          <w:sz w:val="20"/>
          <w:szCs w:val="20"/>
        </w:rPr>
        <w:t>representatives of Crystal Peak to discuss the Proposed Transaction.</w:t>
      </w:r>
    </w:p>
    <w:p w14:paraId="76F1DDC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7D5D73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Later on the same date, the </w:t>
      </w:r>
      <w:r>
        <w:rPr>
          <w:sz w:val="20"/>
          <w:szCs w:val="20"/>
        </w:rPr>
        <w:t>Sponsor, upon internal discussions, decided to form a consortium with Crystal Peak to pursue the Proposed Transaction and not to admit Apex as a consortium member. The Sponsor then instructed White &amp; Case to send a draft consortium agreement to Crystal Pea</w:t>
      </w:r>
      <w:r>
        <w:rPr>
          <w:sz w:val="20"/>
          <w:szCs w:val="20"/>
        </w:rPr>
        <w:t>k for consideration. Thereafter, representatives of Crystal Peak, the Sponsor and White &amp; Case negotiated on the terms and conditions of the consortium agreement.</w:t>
      </w:r>
    </w:p>
    <w:p w14:paraId="21AEFEA0"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16B1432" w14:textId="77777777" w:rsidR="00000000" w:rsidRDefault="002F725F">
      <w:pPr>
        <w:pStyle w:val="NormalWeb"/>
        <w:spacing w:before="0" w:beforeAutospacing="0" w:after="0" w:afterAutospacing="0"/>
        <w:jc w:val="center"/>
        <w:divId w:val="328946271"/>
        <w:rPr>
          <w:sz w:val="20"/>
          <w:szCs w:val="20"/>
        </w:rPr>
      </w:pPr>
      <w:r>
        <w:rPr>
          <w:sz w:val="20"/>
          <w:szCs w:val="20"/>
        </w:rPr>
        <w:t>1</w:t>
      </w:r>
      <w:r>
        <w:rPr>
          <w:sz w:val="20"/>
          <w:szCs w:val="20"/>
        </w:rPr>
        <w:t>6</w:t>
      </w:r>
    </w:p>
    <w:p w14:paraId="13F2945D" w14:textId="77777777" w:rsidR="00000000" w:rsidRDefault="002F725F">
      <w:pPr>
        <w:pStyle w:val="NormalWeb"/>
        <w:spacing w:before="0" w:beforeAutospacing="0" w:after="0" w:afterAutospacing="0"/>
        <w:divId w:val="841046258"/>
        <w:rPr>
          <w:sz w:val="20"/>
          <w:szCs w:val="20"/>
        </w:rPr>
      </w:pPr>
      <w:r>
        <w:rPr>
          <w:sz w:val="20"/>
          <w:szCs w:val="20"/>
        </w:rPr>
        <w:t> </w:t>
      </w:r>
    </w:p>
    <w:p w14:paraId="5C32713A"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62E95D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August 22, 2025, representatives of Adjuvant Capital approached representatives o</w:t>
      </w:r>
      <w:r>
        <w:rPr>
          <w:sz w:val="20"/>
          <w:szCs w:val="20"/>
        </w:rPr>
        <w:t>f the Sponsor by email and expressed its interest in participating in the Proposed Transaction.</w:t>
      </w:r>
    </w:p>
    <w:p w14:paraId="14361AF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AB442E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August 26, 2025, Oceanpine and Crystal Peak entered into a consortium agreement (the “Consortium Agreement”), pursuant to which each of them has agreed, am</w:t>
      </w:r>
      <w:r>
        <w:rPr>
          <w:sz w:val="20"/>
          <w:szCs w:val="20"/>
        </w:rPr>
        <w:t>ong other things, that (i) the Sponsor, as the lead investor, shall act in good faith to engage in discussions with the Special Committee regarding the Proposed Transaction, negotiate and finalize the definitive documentation in connection with the Propose</w:t>
      </w:r>
      <w:r>
        <w:rPr>
          <w:sz w:val="20"/>
          <w:szCs w:val="20"/>
        </w:rPr>
        <w:t xml:space="preserve">d Transaction; (ii) they would cooperate in engaging advisors; (iii) they would cooperate in entry into definitive documentation with respect to the Proposed Transaction; (iv) for a period ending on the earlier of (A) the date which is 24 months after the </w:t>
      </w:r>
      <w:r>
        <w:rPr>
          <w:sz w:val="20"/>
          <w:szCs w:val="20"/>
        </w:rPr>
        <w:t>date of the Consortium Agreement, which may be extended as jointly agreed by the parties thereto in writing and (B) the termination of the Consortium Agreement pursuant to its terms thereof, each of the parties thereto would work exclusively with each othe</w:t>
      </w:r>
      <w:r>
        <w:rPr>
          <w:sz w:val="20"/>
          <w:szCs w:val="20"/>
        </w:rPr>
        <w:t>r to implement the Proposed Transaction, including to evaluate the Company and its business, prepare, negotiate and finalize the definitive documentation, vote, or cause to be voted, at every shareholder meeting all of its equity securities held or otherwi</w:t>
      </w:r>
      <w:r>
        <w:rPr>
          <w:sz w:val="20"/>
          <w:szCs w:val="20"/>
        </w:rPr>
        <w:t xml:space="preserve">se beneficially owned by it or its affiliates in the Company (x) against </w:t>
      </w:r>
      <w:r>
        <w:rPr>
          <w:sz w:val="20"/>
          <w:szCs w:val="20"/>
        </w:rPr>
        <w:lastRenderedPageBreak/>
        <w:t>any alternative transaction or matter that would facilitate an alternative transaction and (y) in favor of the Proposed Transaction, and not to acquire or dispose of the Shares, subje</w:t>
      </w:r>
      <w:r>
        <w:rPr>
          <w:sz w:val="20"/>
          <w:szCs w:val="20"/>
        </w:rPr>
        <w:t>ct to certain exceptions; and (v) subject to certain conditions including entry into definitive documentation with respect to the Proposed Transaction, each of the parties thereto would contribute (or cause their affiliates to contribute) respective applic</w:t>
      </w:r>
      <w:r>
        <w:rPr>
          <w:sz w:val="20"/>
          <w:szCs w:val="20"/>
        </w:rPr>
        <w:t>able cash or Shares to a new company to be formed by the consortium in exchange for its newly issued equity interests.</w:t>
      </w:r>
    </w:p>
    <w:p w14:paraId="7076757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B85849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Oceanpine and Crystal Peak submitted a revised preliminary non-binding proposal letter (the “August 26, 2025 Pr</w:t>
      </w:r>
      <w:r>
        <w:rPr>
          <w:sz w:val="20"/>
          <w:szCs w:val="20"/>
        </w:rPr>
        <w:t xml:space="preserve">oposal,” and together with the Original Proposal, collectively, the “August 2025 Proposal”) to the Board, proposing to acquire all outstanding Shares of the Company that are not already beneficially owned by them in a going private transaction for US$0.86 </w:t>
      </w:r>
      <w:r>
        <w:rPr>
          <w:sz w:val="20"/>
          <w:szCs w:val="20"/>
        </w:rPr>
        <w:t>per Share in cash. In the August 26, 2025 Proposal, the consortium led by the Sponsor (such consortium, as may be expanded from time to time, the “Consortium”) noted that they intended to finance the Proposed Transaction with a combination of rollover equi</w:t>
      </w:r>
      <w:r>
        <w:rPr>
          <w:sz w:val="20"/>
          <w:szCs w:val="20"/>
        </w:rPr>
        <w:t xml:space="preserve">ty in the Company from the members of the Consortium, and cash contributions provided by the Sponsor or its affiliates. The August 26, 2025 Proposal also stated that they had agreed to work exclusively with each other in pursuing the Proposed Transaction, </w:t>
      </w:r>
      <w:r>
        <w:rPr>
          <w:sz w:val="20"/>
          <w:szCs w:val="20"/>
        </w:rPr>
        <w:t>and that they owned in aggregate approximately 52.10% of all the issued and outstanding Shares, representing the same percentage of the aggregate voting power of the Company.</w:t>
      </w:r>
    </w:p>
    <w:p w14:paraId="1C3C626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398098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August 27, 2025, Huaqin Xue, Crystal Holdings, Crystal Peak, Dave Liguang Ch</w:t>
      </w:r>
      <w:r>
        <w:rPr>
          <w:sz w:val="20"/>
          <w:szCs w:val="20"/>
        </w:rPr>
        <w:t>enn and Oceanpine jointly filed an amendment to the Schedule 13D with the SEC in connection with the August 2025 Proposal and the entry into of the Consortium Agreement.</w:t>
      </w:r>
    </w:p>
    <w:p w14:paraId="0AB30A9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1A913D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the same date, representatives of the Sponsor and White &amp; Case convened a meeting</w:t>
      </w:r>
      <w:r>
        <w:rPr>
          <w:sz w:val="20"/>
          <w:szCs w:val="20"/>
        </w:rPr>
        <w:t xml:space="preserve"> via video conference with representatives of Adjuvant Capital to discuss their intentions and interests in participating in the Proposed Transaction.</w:t>
      </w:r>
    </w:p>
    <w:p w14:paraId="1E6A538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0124B2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August 28, 2025, the Board convened a meeting via video conference to discuss the August 2025 Propos</w:t>
      </w:r>
      <w:r>
        <w:rPr>
          <w:sz w:val="20"/>
          <w:szCs w:val="20"/>
        </w:rPr>
        <w:t>al. During the meeting, the attending directors discussed the various qualifications of the directors of the Company to serve on a special committee of the Board to evaluate the August 2025 Proposal. After the discussion, the Board determined that it was i</w:t>
      </w:r>
      <w:r>
        <w:rPr>
          <w:sz w:val="20"/>
          <w:szCs w:val="20"/>
        </w:rPr>
        <w:t>n the best interests of the Company and its shareholders to establish a special committee of independent directors (the “Special Committee”), each of whom is not connected with the Consortium, and thus passed a resolution establishing the Special Committee</w:t>
      </w:r>
      <w:r>
        <w:rPr>
          <w:sz w:val="20"/>
          <w:szCs w:val="20"/>
        </w:rPr>
        <w:t xml:space="preserve"> to consider the August 2025 Proposal, consisting of independent directors Mr. Jutao (Adam) Zhao, Mr. Linnan (Thomas) Xue, and Mr. Chunyang Shao, with Mr. Jutao (Adam) Zhao serving as the chairperson of the Special Committee.</w:t>
      </w:r>
    </w:p>
    <w:p w14:paraId="08D95E4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60368B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Later on the same date, the </w:t>
      </w:r>
      <w:r>
        <w:rPr>
          <w:sz w:val="20"/>
          <w:szCs w:val="20"/>
        </w:rPr>
        <w:t>Company issued a press release announcing its receipt of the August 2025 Proposal and the establishment of the Special Committee, and furnished the press release as an exhibit to its current report on Form 6-K with the SEC.</w:t>
      </w:r>
    </w:p>
    <w:p w14:paraId="1BD43B6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7F77D8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From late-August to early-Sept</w:t>
      </w:r>
      <w:r>
        <w:rPr>
          <w:sz w:val="20"/>
          <w:szCs w:val="20"/>
        </w:rPr>
        <w:t xml:space="preserve">ember 2025, the Special Committee considered proposals from and conducted interviews with multiple investment banks and law firms that had expressed interest in being considered for the roles of the financial advisor, the U.S. legal counsel and the Cayman </w:t>
      </w:r>
      <w:r>
        <w:rPr>
          <w:sz w:val="20"/>
          <w:szCs w:val="20"/>
        </w:rPr>
        <w:t>Islands legal counsel to the Special Committee, respectively. After due consideration of the qualifications, experience, reputation and other characteristics of each potential financial advisor candidate and each potential legal counsel candidate, the Spec</w:t>
      </w:r>
      <w:r>
        <w:rPr>
          <w:sz w:val="20"/>
          <w:szCs w:val="20"/>
        </w:rPr>
        <w:t>ial Committee retained Duff &amp; Phelps as its financial advisor, Gibson, Dunn &amp;Crutcher LLP (“Gibson Dunn”) as its U.S. legal counsel, and Maples and Calder (Hong Kong) LLP (“Maples”) as its Cayman Islands legal counsel, to assist the Special Committee in ev</w:t>
      </w:r>
      <w:r>
        <w:rPr>
          <w:sz w:val="20"/>
          <w:szCs w:val="20"/>
        </w:rPr>
        <w:t>aluating and negotiating the Proposed Transaction or any alternative transaction.</w:t>
      </w:r>
    </w:p>
    <w:p w14:paraId="2C96F30B"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35F6A86A" w14:textId="77777777" w:rsidR="00000000" w:rsidRDefault="002F725F">
      <w:pPr>
        <w:pStyle w:val="NormalWeb"/>
        <w:spacing w:before="0" w:beforeAutospacing="0" w:after="0" w:afterAutospacing="0"/>
        <w:jc w:val="center"/>
        <w:divId w:val="1308587499"/>
        <w:rPr>
          <w:sz w:val="20"/>
          <w:szCs w:val="20"/>
        </w:rPr>
      </w:pPr>
      <w:r>
        <w:rPr>
          <w:sz w:val="20"/>
          <w:szCs w:val="20"/>
        </w:rPr>
        <w:t>1</w:t>
      </w:r>
      <w:r>
        <w:rPr>
          <w:sz w:val="20"/>
          <w:szCs w:val="20"/>
        </w:rPr>
        <w:t>7</w:t>
      </w:r>
    </w:p>
    <w:p w14:paraId="52A7C5EB" w14:textId="77777777" w:rsidR="00000000" w:rsidRDefault="002F725F">
      <w:pPr>
        <w:pStyle w:val="NormalWeb"/>
        <w:spacing w:before="0" w:beforeAutospacing="0" w:after="0" w:afterAutospacing="0"/>
        <w:divId w:val="1353334174"/>
        <w:rPr>
          <w:sz w:val="20"/>
          <w:szCs w:val="20"/>
        </w:rPr>
      </w:pPr>
      <w:r>
        <w:rPr>
          <w:sz w:val="20"/>
          <w:szCs w:val="20"/>
        </w:rPr>
        <w:t> </w:t>
      </w:r>
    </w:p>
    <w:p w14:paraId="0960B94B"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EB11B7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September 4, 2025, the Company received an email, purportedly from “minority shareholders” of the Company, addressed to the members of the Special Committee regar</w:t>
      </w:r>
      <w:r>
        <w:rPr>
          <w:sz w:val="20"/>
          <w:szCs w:val="20"/>
        </w:rPr>
        <w:t>ding their fiduciary duties in connection with the August 2025 Proposal, which was promptly relayed to the Special Committee on the same date.</w:t>
      </w:r>
    </w:p>
    <w:p w14:paraId="4B772D99"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p w14:paraId="361D151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September 5, 2025, at the </w:t>
      </w:r>
      <w:r>
        <w:rPr>
          <w:sz w:val="20"/>
          <w:szCs w:val="20"/>
        </w:rPr>
        <w:t>direction of the Special Committee, the Company responded to the email received on September 4, 2025 from the purported “minority shareholders,” acknowledging receipt and confirming that the Special Committee would properly discharge its fiduciary duties.</w:t>
      </w:r>
    </w:p>
    <w:p w14:paraId="14BF947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4AE482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September 8, 2025, the Special Committee convened a meeting via video conference with representatives of Gibson Dunn and Duff &amp; Phelps. Duff &amp; Phelps briefed the members of the Special Committee on its work plan for financial due diligence and valuati</w:t>
      </w:r>
      <w:r>
        <w:rPr>
          <w:sz w:val="20"/>
          <w:szCs w:val="20"/>
        </w:rPr>
        <w:t xml:space="preserve">on analysis in connection with its evaluation of the August 2025 Proposal. The Special Committee asked various questions regarding Duff &amp; Phelps’s work plan, to which Duff&amp; Phelps responded. Based on the discussion, the Special Committee authorized Duff &amp; </w:t>
      </w:r>
      <w:r>
        <w:rPr>
          <w:sz w:val="20"/>
          <w:szCs w:val="20"/>
        </w:rPr>
        <w:t xml:space="preserve">Phelps to conduct financial due diligence on the Company. After all representatives of Duff &amp; Phelps exited the meeting, Gibson Dunn made a presentation to the Special Committee members regarding certain terms of the August 2025 Proposal and practices and </w:t>
      </w:r>
      <w:r>
        <w:rPr>
          <w:sz w:val="20"/>
          <w:szCs w:val="20"/>
        </w:rPr>
        <w:t>processes involved in a going private transaction, including the Special Committee members’ fiduciary duties to the Company and its shareholders. Members of the Special Committee asked various questions on these topics, to which representatives of Gibson D</w:t>
      </w:r>
      <w:r>
        <w:rPr>
          <w:sz w:val="20"/>
          <w:szCs w:val="20"/>
        </w:rPr>
        <w:t>unn responded. Members of the Special Committee confirmed that none of them has any conflict of interest with respect to the Proposed Transaction, including with respect to the members of the Consortium, and committed that each of them would act in the bes</w:t>
      </w:r>
      <w:r>
        <w:rPr>
          <w:sz w:val="20"/>
          <w:szCs w:val="20"/>
        </w:rPr>
        <w:t xml:space="preserve">t interests of the Company and the Unaffiliated Security Holders in connection with their evaluation of the Proposed Transaction. The Special Committee further discussed with Gibson Dunn the action items for the upcoming week, including the preparation of </w:t>
      </w:r>
      <w:r>
        <w:rPr>
          <w:sz w:val="20"/>
          <w:szCs w:val="20"/>
        </w:rPr>
        <w:t>the Special Committee charter and communications with White &amp; Case.</w:t>
      </w:r>
    </w:p>
    <w:p w14:paraId="7D13EF1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0C8322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September 10, 2025, the Company issued a press release announcing the Special Committee’s retention of Duff &amp; Phelps as its financial advisor, Gibson Dunn as its U.S. legal counsel, a</w:t>
      </w:r>
      <w:r>
        <w:rPr>
          <w:sz w:val="20"/>
          <w:szCs w:val="20"/>
        </w:rPr>
        <w:t>nd Maples as its Cayman Islands legal counsel, and furnished the press release as an exhibit to its current report on Form 6-K with the SEC.</w:t>
      </w:r>
    </w:p>
    <w:p w14:paraId="1B38D21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DE19B7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Between September 10, 2025 and the signing of the Original Merger Agreement, members of the Consortium internally</w:t>
      </w:r>
      <w:r>
        <w:rPr>
          <w:sz w:val="20"/>
          <w:szCs w:val="20"/>
        </w:rPr>
        <w:t xml:space="preserve"> exchanged comments on the drafts of the Original Merger Agreement and the Original Limited Guarantee, the Original Support Agreement and the Original Equity Commitment Letter (collectively, the “Original Ancillary Agreements”) and had several telephonic m</w:t>
      </w:r>
      <w:r>
        <w:rPr>
          <w:sz w:val="20"/>
          <w:szCs w:val="20"/>
        </w:rPr>
        <w:t>eetings with White &amp; Case to discuss the proposed changes.</w:t>
      </w:r>
    </w:p>
    <w:p w14:paraId="0316366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630F92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September 11, 2025, White &amp; Case sent an initial draft of the Original Merger Agreement, the Original Support Agreement and the Original Equity Commitment Letter to Gibson Dunn.</w:t>
      </w:r>
    </w:p>
    <w:p w14:paraId="1FD27BA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8DE682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w:t>
      </w:r>
      <w:r>
        <w:rPr>
          <w:sz w:val="20"/>
          <w:szCs w:val="20"/>
        </w:rPr>
        <w:t xml:space="preserve"> same date, Gibson Dunn shared with White &amp; Case an initial draft of the confidentiality agreement among the Special Committee, the Company, Oceanpine and Crystal Peak.</w:t>
      </w:r>
    </w:p>
    <w:p w14:paraId="374EC7D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4549A0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the Company received a staff determination letter from the Na</w:t>
      </w:r>
      <w:r>
        <w:rPr>
          <w:sz w:val="20"/>
          <w:szCs w:val="20"/>
        </w:rPr>
        <w:t>sdaq Stock Market LLC (“NASDAQ”) informing the Company of NASDAQ’s decision to delist its securities from The Nasdaq Capital Market (the “NASDAQ Letter”).</w:t>
      </w:r>
    </w:p>
    <w:p w14:paraId="1CA6F1F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B9D534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September 12, 2025, White &amp; Case provided Gibson Dunn with revised drafts of the confidentiality</w:t>
      </w:r>
      <w:r>
        <w:rPr>
          <w:sz w:val="20"/>
          <w:szCs w:val="20"/>
        </w:rPr>
        <w:t xml:space="preserve"> agreements among the Special Committee, the Company, and each of Oceanpine and Crystal Peak, respectively. Later on the same date, White &amp; Case and Gibson Dunn finalized these confidentiality agreements.</w:t>
      </w:r>
    </w:p>
    <w:p w14:paraId="6D903CE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17E5F8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the same date, the Company issued a press rele</w:t>
      </w:r>
      <w:r>
        <w:rPr>
          <w:sz w:val="20"/>
          <w:szCs w:val="20"/>
        </w:rPr>
        <w:t>ase announcing its receipt of the NASDAQ Letter, and furnished the press release as an exhibit to its current report on Form 6-K with the SEC.</w:t>
      </w:r>
    </w:p>
    <w:p w14:paraId="7822F18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F9929E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September 13, 2025, the Special Committee and the Company entered into the confidentiality agreements with O</w:t>
      </w:r>
      <w:r>
        <w:rPr>
          <w:sz w:val="20"/>
          <w:szCs w:val="20"/>
        </w:rPr>
        <w:t>ceanpine and Crystal Peak, respectively. The confidentiality agreements contain customary provisions restricting the disclosure and use of confidential information by Oceanpine, Crystal Peak and their respective affiliates relating to the Company or the Pr</w:t>
      </w:r>
      <w:r>
        <w:rPr>
          <w:sz w:val="20"/>
          <w:szCs w:val="20"/>
        </w:rPr>
        <w:t>oposed Transaction, and a “standstill” provision restricting Oceanpine, Crystal Peak and their respective affiliates from acquiring Shares without the Special Committee’s consent. The confidentiality agreements also prohibit disclosure of confidentiality i</w:t>
      </w:r>
      <w:r>
        <w:rPr>
          <w:sz w:val="20"/>
          <w:szCs w:val="20"/>
        </w:rPr>
        <w:t>nformation to any party that becomes a member of the Consortium Agreement unless such party has received prior written approval from the Special Committee to participate in the Consortium and has entered into a confidentiality agreement with the Company an</w:t>
      </w:r>
      <w:r>
        <w:rPr>
          <w:sz w:val="20"/>
          <w:szCs w:val="20"/>
        </w:rPr>
        <w:t>d the Special Committee in substantially the same form.</w:t>
      </w:r>
    </w:p>
    <w:p w14:paraId="61E86232" w14:textId="77777777" w:rsidR="00000000" w:rsidRDefault="002F725F">
      <w:pPr>
        <w:pStyle w:val="NormalWeb"/>
        <w:spacing w:before="0" w:beforeAutospacing="0" w:after="0" w:afterAutospacing="0"/>
        <w:jc w:val="center"/>
        <w:divId w:val="415980837"/>
        <w:rPr>
          <w:sz w:val="20"/>
          <w:szCs w:val="20"/>
        </w:rPr>
      </w:pPr>
      <w:r>
        <w:rPr>
          <w:sz w:val="20"/>
          <w:szCs w:val="20"/>
        </w:rPr>
        <w:lastRenderedPageBreak/>
        <w:t> </w:t>
      </w:r>
    </w:p>
    <w:p w14:paraId="2B0C00B1" w14:textId="77777777" w:rsidR="00000000" w:rsidRDefault="002F725F">
      <w:pPr>
        <w:pStyle w:val="NormalWeb"/>
        <w:spacing w:before="0" w:beforeAutospacing="0" w:after="0" w:afterAutospacing="0"/>
        <w:jc w:val="center"/>
        <w:divId w:val="2015914928"/>
        <w:rPr>
          <w:sz w:val="20"/>
          <w:szCs w:val="20"/>
        </w:rPr>
      </w:pPr>
      <w:r>
        <w:rPr>
          <w:sz w:val="20"/>
          <w:szCs w:val="20"/>
        </w:rPr>
        <w:t>1</w:t>
      </w:r>
      <w:r>
        <w:rPr>
          <w:sz w:val="20"/>
          <w:szCs w:val="20"/>
        </w:rPr>
        <w:t>8</w:t>
      </w:r>
    </w:p>
    <w:p w14:paraId="068348B1" w14:textId="77777777" w:rsidR="00000000" w:rsidRDefault="002F725F">
      <w:pPr>
        <w:pStyle w:val="NormalWeb"/>
        <w:spacing w:before="0" w:beforeAutospacing="0" w:after="0" w:afterAutospacing="0"/>
        <w:divId w:val="1567449366"/>
        <w:rPr>
          <w:sz w:val="20"/>
          <w:szCs w:val="20"/>
        </w:rPr>
      </w:pPr>
      <w:r>
        <w:rPr>
          <w:sz w:val="20"/>
          <w:szCs w:val="20"/>
        </w:rPr>
        <w:t> </w:t>
      </w:r>
    </w:p>
    <w:p w14:paraId="75885F3A"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0BBA255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the same date, representatives of Adjuvant Capital sent an email to representatives of the Sponsor to follow up the previous discussion.</w:t>
      </w:r>
    </w:p>
    <w:p w14:paraId="7F382CD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91CF59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September 14, 2025, the Company received an email purportedly from “investor groups representing legacy and minority shareholders” concerning the NASDAQ Letter.</w:t>
      </w:r>
    </w:p>
    <w:p w14:paraId="570698C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31F7B2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Gibson Dunn provided the Special Committee with an issues list ide</w:t>
      </w:r>
      <w:r>
        <w:rPr>
          <w:sz w:val="20"/>
          <w:szCs w:val="20"/>
        </w:rPr>
        <w:t>ntifying the key issues in White &amp; Case’s initial draft of the Original Merger Agreement received on September 11, 2025.</w:t>
      </w:r>
    </w:p>
    <w:p w14:paraId="59C4933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55044C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September 15, 2025, the Special Committee convened a meeting via video conference with representatives of Gibson Dunn, Maples and </w:t>
      </w:r>
      <w:r>
        <w:rPr>
          <w:sz w:val="20"/>
          <w:szCs w:val="20"/>
        </w:rPr>
        <w:t>Duff &amp; Phelps. Maples first provided members of the Special Committee with an overview of practices and processes involved in a going private transaction, as well as the members’ fiduciary duties to the Company and its shareholders under Cayman Islands law</w:t>
      </w:r>
      <w:r>
        <w:rPr>
          <w:sz w:val="20"/>
          <w:szCs w:val="20"/>
        </w:rPr>
        <w:t xml:space="preserve">. After the representative from Maples exited the meeting, Duff &amp; Phelps provided an update on its financial due diligence on the Company. Members of the Special Committee and representatives of Gibson Dunn asked questions on the progress of the financial </w:t>
      </w:r>
      <w:r>
        <w:rPr>
          <w:sz w:val="20"/>
          <w:szCs w:val="20"/>
        </w:rPr>
        <w:t>due diligence and Duff &amp; Phelps’s findings to date, to which representatives of Duff &amp; Phelps provided responses. After the representatives of Duff &amp; Phelps exited the meeting, the Special Committee and Gibson Dunn discussed the Special Committee charter p</w:t>
      </w:r>
      <w:r>
        <w:rPr>
          <w:sz w:val="20"/>
          <w:szCs w:val="20"/>
        </w:rPr>
        <w:t xml:space="preserve">repared by Gibson Dunn. At the request of the Special Committee, Gibson Dunn then walked the Special Committee through the list of key issues identified by Gibson Dunn in the initial draft of the Original Merger Agreement. Members of the Special Committee </w:t>
      </w:r>
      <w:r>
        <w:rPr>
          <w:sz w:val="20"/>
          <w:szCs w:val="20"/>
        </w:rPr>
        <w:t>asked various questions regarding these issues and next steps, to which representatives of Gibson Dunn responded.</w:t>
      </w:r>
    </w:p>
    <w:p w14:paraId="536A543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12C987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Following the Special Committee meeting, on the same date, the Board passed unanimous written resolutions to approve and adopt a Special Com</w:t>
      </w:r>
      <w:r>
        <w:rPr>
          <w:sz w:val="20"/>
          <w:szCs w:val="20"/>
        </w:rPr>
        <w:t>mittee charter and to ratify prior actions taken by the Special Committee consistent with the charter. The Special Committee was granted, pursuant to the Special Committee charter, the full power and authority to, among other things, (i) evaluate, discuss,</w:t>
      </w:r>
      <w:r>
        <w:rPr>
          <w:sz w:val="20"/>
          <w:szCs w:val="20"/>
        </w:rPr>
        <w:t xml:space="preserve"> and negotiate the Proposed Transaction with full and sole authority, and report to the Board the recommendations and conclusions of the Special Committee with respect to the Proposed Transaction; (ii) consider other alternatives available to the Company, </w:t>
      </w:r>
      <w:r>
        <w:rPr>
          <w:sz w:val="20"/>
          <w:szCs w:val="20"/>
        </w:rPr>
        <w:t>including but not limited to whether to remain independent or whether to solicit alternative proposals from other bidders, and if it decides to solicit alternative proposals, evaluate, discuss, and negotiate such proposals with full and sole authority, and</w:t>
      </w:r>
      <w:r>
        <w:rPr>
          <w:sz w:val="20"/>
          <w:szCs w:val="20"/>
        </w:rPr>
        <w:t xml:space="preserve"> report its recommendations and conclusions with respect to any alternative proposal to the Board; (iii) retain any outside legal, accounting, financial and other advisors as the Special Committee deems appropriate to assist it in carrying out its duties; </w:t>
      </w:r>
      <w:r>
        <w:rPr>
          <w:sz w:val="20"/>
          <w:szCs w:val="20"/>
        </w:rPr>
        <w:t>(iv) conduct investigations into any matters within its scope of responsibility, including but not limited to books, records, projections, and financial statements of the Company and its subsidiaries and any documents relating to the Proposed Transaction o</w:t>
      </w:r>
      <w:r>
        <w:rPr>
          <w:sz w:val="20"/>
          <w:szCs w:val="20"/>
        </w:rPr>
        <w:t>r any alternative proposal as may be useful or helpful in the discharge of the Special Committee’s responsibilities; and (v) take any and all actions it deems necessary or appropriate, including taking defensive measures, making recommendations to sharehol</w:t>
      </w:r>
      <w:r>
        <w:rPr>
          <w:sz w:val="20"/>
          <w:szCs w:val="20"/>
        </w:rPr>
        <w:t>ders, and preparing and making regulatory filings and disclosures, to address the Proposed Transaction, any alternative proposal, or other available options.</w:t>
      </w:r>
    </w:p>
    <w:p w14:paraId="16E2F89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C66572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the Company forwarded the aforementioned email received from the purport</w:t>
      </w:r>
      <w:r>
        <w:rPr>
          <w:sz w:val="20"/>
          <w:szCs w:val="20"/>
        </w:rPr>
        <w:t>ed “investor groups representing legacy and minority shareholders” on September 14, 2025 to all members of the Special Committee and Gibson Dunn.</w:t>
      </w:r>
    </w:p>
    <w:p w14:paraId="1D2B08E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702530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September 15, 2025, the Sponsor, upon internal discussions, instructed White &amp; Case to email representati</w:t>
      </w:r>
      <w:r>
        <w:rPr>
          <w:sz w:val="20"/>
          <w:szCs w:val="20"/>
        </w:rPr>
        <w:t>ves of Adjuvant Capital confirming the Sponsor’s willingness to admit Adjuvant Capital into the Consortium subject to the Special Committee’s approval. The Sponsor also instructed White &amp; Case to liaise with representatives of Adjuvant Capital to obtain th</w:t>
      </w:r>
      <w:r>
        <w:rPr>
          <w:sz w:val="20"/>
          <w:szCs w:val="20"/>
        </w:rPr>
        <w:t>e rollover details and to provide them with a draft deed of adherence to join the Consortium Agreement and a draft confidentiality agreement among the Company, the Special Committee and Adjuvant Capital, before reaching out to the Special Committee for app</w:t>
      </w:r>
      <w:r>
        <w:rPr>
          <w:sz w:val="20"/>
          <w:szCs w:val="20"/>
        </w:rPr>
        <w:t>roval.</w:t>
      </w:r>
    </w:p>
    <w:p w14:paraId="4F38E33A"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p w14:paraId="5472092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September 19, 2025, representatives of Adjuvant Capital sent an email to representatives of the Sponsor and White &amp; Case to seek clarification of certain terms of the Consortium Agreement and inquired about the possibility of a small amount of </w:t>
      </w:r>
      <w:r>
        <w:rPr>
          <w:sz w:val="20"/>
          <w:szCs w:val="20"/>
        </w:rPr>
        <w:t>cash contribution.</w:t>
      </w:r>
    </w:p>
    <w:p w14:paraId="35D6ECC6"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1463136" w14:textId="77777777" w:rsidR="00000000" w:rsidRDefault="002F725F">
      <w:pPr>
        <w:pStyle w:val="NormalWeb"/>
        <w:spacing w:before="0" w:beforeAutospacing="0" w:after="0" w:afterAutospacing="0"/>
        <w:jc w:val="center"/>
        <w:divId w:val="741751799"/>
        <w:rPr>
          <w:sz w:val="20"/>
          <w:szCs w:val="20"/>
        </w:rPr>
      </w:pPr>
      <w:r>
        <w:rPr>
          <w:sz w:val="20"/>
          <w:szCs w:val="20"/>
        </w:rPr>
        <w:t>1</w:t>
      </w:r>
      <w:r>
        <w:rPr>
          <w:sz w:val="20"/>
          <w:szCs w:val="20"/>
        </w:rPr>
        <w:t>9</w:t>
      </w:r>
    </w:p>
    <w:p w14:paraId="4CDAB0D2" w14:textId="77777777" w:rsidR="00000000" w:rsidRDefault="002F725F">
      <w:pPr>
        <w:pStyle w:val="NormalWeb"/>
        <w:spacing w:before="0" w:beforeAutospacing="0" w:after="0" w:afterAutospacing="0"/>
        <w:divId w:val="445806504"/>
        <w:rPr>
          <w:sz w:val="20"/>
          <w:szCs w:val="20"/>
        </w:rPr>
      </w:pPr>
      <w:r>
        <w:rPr>
          <w:sz w:val="20"/>
          <w:szCs w:val="20"/>
        </w:rPr>
        <w:t> </w:t>
      </w:r>
    </w:p>
    <w:p w14:paraId="7CBE37B6"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86C2FA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September 22, 2025, the Sponsor, upon internal discussion, instructed White &amp; Case to email representatives of Adjuvant Capital confirming the Sponsor’s willingness to accept the cash contribution.</w:t>
      </w:r>
    </w:p>
    <w:p w14:paraId="596C570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C54A1E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September 22, 2025, th</w:t>
      </w:r>
      <w:r>
        <w:rPr>
          <w:sz w:val="20"/>
          <w:szCs w:val="20"/>
        </w:rPr>
        <w:t>e Special Committee convened a meeting via video conference with representatives of Gibson Dunn and Duff &amp; Phelps. Duff &amp; Phelps first provided an update on its financial due diligence on the Company. Members of the Special Committee asked questions on the</w:t>
      </w:r>
      <w:r>
        <w:rPr>
          <w:sz w:val="20"/>
          <w:szCs w:val="20"/>
        </w:rPr>
        <w:t xml:space="preserve"> progress of the financial due diligence, to which the representative of Duff &amp; Phelps provided responses. Duff &amp; Phelps then discussed with the Special Committee market practices regarding pre-signing market checks, post-signing “go-shop” procedures, and </w:t>
      </w:r>
      <w:r>
        <w:rPr>
          <w:sz w:val="20"/>
          <w:szCs w:val="20"/>
        </w:rPr>
        <w:t>termination fee arrangements in precedent going private transactions. Members of the Special Committee and Gibson Dunn asked various questions about these matters, to which the representative of Duff &amp; Phelps responded. After the representative of Duff &amp; P</w:t>
      </w:r>
      <w:r>
        <w:rPr>
          <w:sz w:val="20"/>
          <w:szCs w:val="20"/>
        </w:rPr>
        <w:t>helps exited the meeting, Gibson Dunn explained to the Special Committee certain market practices in precedent going private transactions. Members of the Special Committee asked various questions about these matters, to which representatives of Gibson Dunn</w:t>
      </w:r>
      <w:r>
        <w:rPr>
          <w:sz w:val="20"/>
          <w:szCs w:val="20"/>
        </w:rPr>
        <w:t xml:space="preserve"> responded. Gibson Dunn also provided the Special Committee with an update on its review and revision of the initial drafts of the transaction documents previously received from White &amp; Case, including certain key open issues in the initial draft of the Or</w:t>
      </w:r>
      <w:r>
        <w:rPr>
          <w:sz w:val="20"/>
          <w:szCs w:val="20"/>
        </w:rPr>
        <w:t>iginal Merger Agreement. Members of the Special Committee asked various questions, to which representatives of Gibson Dunn responded. The Special Committee then instructed Gibson Dunn to send the revised drafts of the transaction documents to White &amp; Case.</w:t>
      </w:r>
      <w:r>
        <w:rPr>
          <w:sz w:val="20"/>
          <w:szCs w:val="20"/>
        </w:rPr>
        <w:t xml:space="preserve"> The Special Committee and representatives of Gibson Dunn further discussed the email received by the Company on September 14, 2025 from the purported “investor groups representing legacy and minority shareholders.”</w:t>
      </w:r>
    </w:p>
    <w:p w14:paraId="45D50C3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94365C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the Company is</w:t>
      </w:r>
      <w:r>
        <w:rPr>
          <w:sz w:val="20"/>
          <w:szCs w:val="20"/>
        </w:rPr>
        <w:t>sued a press release announcing the delisting of its Shares and Company Warrants from The Nasdaq Capital Market and their transition to OTC Pink, and furnished the press release as an exhibit to its current report on Form 6-K filed with the SEC.</w:t>
      </w:r>
    </w:p>
    <w:p w14:paraId="49A3CF5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C5727B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Effectiv</w:t>
      </w:r>
      <w:r>
        <w:rPr>
          <w:sz w:val="20"/>
          <w:szCs w:val="20"/>
        </w:rPr>
        <w:t>e with the opening of business on September 22, 2025 (New York time), the Shares and Company Warrants were suspended from trading on The Nasdaq Capital Market and commenced trading on OTC Pink.</w:t>
      </w:r>
    </w:p>
    <w:p w14:paraId="269B2D7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A2ADDA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September 22, 2025, representatives of Superstring Capital approached representatives of the Sponsor by email and expressed their interest in joining the Consortium and participating in the Proposed Transaction.</w:t>
      </w:r>
    </w:p>
    <w:p w14:paraId="49854F5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A40AA7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the same date, representatives of Ep</w:t>
      </w:r>
      <w:r>
        <w:rPr>
          <w:sz w:val="20"/>
          <w:szCs w:val="20"/>
        </w:rPr>
        <w:t>iphron Capital approached representatives of the Sponsor by email and expressed their interests in joining the Consortium and participating in the Proposed Transaction.</w:t>
      </w:r>
    </w:p>
    <w:p w14:paraId="3DD99C5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04F4CA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September 23, 2025, Gibson Dunn provided White &amp; Case with a markup of the initial</w:t>
      </w:r>
      <w:r>
        <w:rPr>
          <w:sz w:val="20"/>
          <w:szCs w:val="20"/>
        </w:rPr>
        <w:t xml:space="preserve"> draft of the Original Merger Agreement, the Original Support Agreement and the Original Equity Commitment Letter. The revised Original Merger Agreement reflected discussions with the Special Committee, including, among other things: (i) requesting a “go-s</w:t>
      </w:r>
      <w:r>
        <w:rPr>
          <w:sz w:val="20"/>
          <w:szCs w:val="20"/>
        </w:rPr>
        <w:t>hop” provision, (ii) allowing the Board to change its recommendation and terminate the Original Merger Agreement upon occurrence of certain intervening events, (iii) rejecting the inclusion of a provision that conditioned Parent and Merger Sub’s obligation</w:t>
      </w:r>
      <w:r>
        <w:rPr>
          <w:sz w:val="20"/>
          <w:szCs w:val="20"/>
        </w:rPr>
        <w:t xml:space="preserve"> to close on there being no more than 10% Dissenting Shares, (iv) incorporating a “majority of the minority” vote requirement, and (v) setting the “company termination fee” and “parent termination fee” at 1.5% and 3% of the equity value of the Company, res</w:t>
      </w:r>
      <w:r>
        <w:rPr>
          <w:sz w:val="20"/>
          <w:szCs w:val="20"/>
        </w:rPr>
        <w:t>pectively.</w:t>
      </w:r>
    </w:p>
    <w:p w14:paraId="5D3DAD5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22ECAC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September 24, 2025, representatives of MSA Growth approached representatives of the Sponsor and expressed their interests in joining the Consortium and participating in the Proposed Transaction.</w:t>
      </w:r>
    </w:p>
    <w:p w14:paraId="7826F42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971B2FF"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On September 25, 2025, representatives of t</w:t>
      </w:r>
      <w:r>
        <w:rPr>
          <w:sz w:val="20"/>
          <w:szCs w:val="20"/>
        </w:rPr>
        <w:t>he Sponsor convened a meeting via video conference with representatives of MSA Growth and during the meeting, MSA Growth confirmed their willingness to join the Consortium and participate in the Proposed Transaction. Thereafter, representatives of the Spon</w:t>
      </w:r>
      <w:r>
        <w:rPr>
          <w:sz w:val="20"/>
          <w:szCs w:val="20"/>
        </w:rPr>
        <w:t>sor and representatives of MSA Growth had several telephonic calls.</w:t>
      </w:r>
    </w:p>
    <w:p w14:paraId="69EC9BE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525E0C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September 27, 2025, representatives of Adjuvant Capital sent an email to White &amp; Case confirming that it would participate in the Proposed Transaction but would not make any cash cont</w:t>
      </w:r>
      <w:r>
        <w:rPr>
          <w:sz w:val="20"/>
          <w:szCs w:val="20"/>
        </w:rPr>
        <w:t>ribution.</w:t>
      </w:r>
    </w:p>
    <w:p w14:paraId="092C454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26A5D4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September 27, 2025, White &amp; Case informed Gibson Dunn via email that Adjuvant Capital intended to join the Consortium, provided a draft confidentiality agreement in substantially the same form as those executed by existing members of the Con</w:t>
      </w:r>
      <w:r>
        <w:rPr>
          <w:sz w:val="20"/>
          <w:szCs w:val="20"/>
        </w:rPr>
        <w:t>sortium, and requested the Special Committee’s approval of Adjuvant Capital’s inclusion as new members of the Consortium.</w:t>
      </w:r>
    </w:p>
    <w:p w14:paraId="458863C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C678E2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Later on the same date, Gibson Dunn emailed White &amp; Case to request further details on the background, shareholding information and </w:t>
      </w:r>
      <w:r>
        <w:rPr>
          <w:sz w:val="20"/>
          <w:szCs w:val="20"/>
        </w:rPr>
        <w:t>means of participation of Adjuvant Capital.</w:t>
      </w:r>
    </w:p>
    <w:p w14:paraId="4BC43625"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15DFF16" w14:textId="77777777" w:rsidR="00000000" w:rsidRDefault="002F725F">
      <w:pPr>
        <w:pStyle w:val="NormalWeb"/>
        <w:spacing w:before="0" w:beforeAutospacing="0" w:after="0" w:afterAutospacing="0"/>
        <w:jc w:val="center"/>
        <w:divId w:val="308360813"/>
        <w:rPr>
          <w:sz w:val="20"/>
          <w:szCs w:val="20"/>
        </w:rPr>
      </w:pPr>
      <w:r>
        <w:rPr>
          <w:sz w:val="20"/>
          <w:szCs w:val="20"/>
        </w:rPr>
        <w:t>2</w:t>
      </w:r>
      <w:r>
        <w:rPr>
          <w:sz w:val="20"/>
          <w:szCs w:val="20"/>
        </w:rPr>
        <w:t>0</w:t>
      </w:r>
    </w:p>
    <w:p w14:paraId="4E0FBA12" w14:textId="77777777" w:rsidR="00000000" w:rsidRDefault="002F725F">
      <w:pPr>
        <w:pStyle w:val="NormalWeb"/>
        <w:spacing w:before="0" w:beforeAutospacing="0" w:after="0" w:afterAutospacing="0"/>
        <w:divId w:val="325600247"/>
        <w:rPr>
          <w:sz w:val="20"/>
          <w:szCs w:val="20"/>
        </w:rPr>
      </w:pPr>
      <w:r>
        <w:rPr>
          <w:sz w:val="20"/>
          <w:szCs w:val="20"/>
        </w:rPr>
        <w:t> </w:t>
      </w:r>
    </w:p>
    <w:p w14:paraId="4C621E87"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B3A00A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September 29, 2025, representatives of the Sponsor convened a meeting via video conference with representatives of Epiphron Capital to discuss their intentions and interests in joining the Consortium </w:t>
      </w:r>
      <w:r>
        <w:rPr>
          <w:sz w:val="20"/>
          <w:szCs w:val="20"/>
        </w:rPr>
        <w:t>and participating in the Proposed Transaction.</w:t>
      </w:r>
    </w:p>
    <w:p w14:paraId="2B37D7D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85F3BF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September 30, 2025, White &amp; Case provided Gibson Dunn with the revised drafts of the Original Merger Agreement, the Original Support Agreement and the Original Equity Commitment Letter, and the initial dr</w:t>
      </w:r>
      <w:r>
        <w:rPr>
          <w:sz w:val="20"/>
          <w:szCs w:val="20"/>
        </w:rPr>
        <w:t>aft of the Original Limited Guarantee. Among other things, the revised draft of the Original Merger Agreement rejected certain revisions made by Gibson Dunn, including the request for a “go-shop” provision, the Board’s right to change its recommendation an</w:t>
      </w:r>
      <w:r>
        <w:rPr>
          <w:sz w:val="20"/>
          <w:szCs w:val="20"/>
        </w:rPr>
        <w:t>d terminate the Original Merger Agreement upon occurrence of certain intervening events, and the inclusion of a “majority of the minority” vote requirement; reinstated the closing condition relating to the percentage of Dissenting Shares; and proposed sett</w:t>
      </w:r>
      <w:r>
        <w:rPr>
          <w:sz w:val="20"/>
          <w:szCs w:val="20"/>
        </w:rPr>
        <w:t>ing the “company termination fee” and “parent termination fee” at 3% of the cash contribution to be made by the Sponsor.</w:t>
      </w:r>
    </w:p>
    <w:p w14:paraId="188CB18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882408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October 4, 2025, White &amp; Case shared with Gibson Dunn the previously requested information regarding Adjuvant Capital, which Gibso</w:t>
      </w:r>
      <w:r>
        <w:rPr>
          <w:sz w:val="20"/>
          <w:szCs w:val="20"/>
        </w:rPr>
        <w:t>n Dunn relayed to the Special Committee on the same date.</w:t>
      </w:r>
    </w:p>
    <w:p w14:paraId="67F1A03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B9CCB9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Later on the same date, following </w:t>
      </w:r>
      <w:r>
        <w:rPr>
          <w:sz w:val="20"/>
          <w:szCs w:val="20"/>
        </w:rPr>
        <w:t>its review of the request and related information, the Special Committee approved Adjuvant Capital’s admission to the Consortium.</w:t>
      </w:r>
    </w:p>
    <w:p w14:paraId="093AC5EF"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EC81B2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October 5, 2025, Adjuvant Capital entered into a deed of adherence to the Consortium Agreement to join the Consortium as </w:t>
      </w:r>
      <w:r>
        <w:rPr>
          <w:sz w:val="20"/>
          <w:szCs w:val="20"/>
        </w:rPr>
        <w:t>an additional rollover shareholder and intended to finance the Proposed Transaction with additional equity capital in the form of rollover equity in the Company. After the entry into the deed of adherence by Adjuvant Capital, the Consortium collectively ow</w:t>
      </w:r>
      <w:r>
        <w:rPr>
          <w:sz w:val="20"/>
          <w:szCs w:val="20"/>
        </w:rPr>
        <w:t>ned 21,774,390 Ordinary Shares, collectively representing approximately 52.8% of the aggregate voting power in the Company. Concurrently with the execution of the deed of adherence, the Special Committee, the Company and Adjuvant Capital entered into the r</w:t>
      </w:r>
      <w:r>
        <w:rPr>
          <w:sz w:val="20"/>
          <w:szCs w:val="20"/>
        </w:rPr>
        <w:t>elevant confidentiality agreement.</w:t>
      </w:r>
    </w:p>
    <w:p w14:paraId="4DC6328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78E62C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October 9, 2025, representatives of the Sponsor convened a meeting via video conference with representatives of Superstring Capital and during the meeting, Superstring Capital confirmed their willingness to join the </w:t>
      </w:r>
      <w:r>
        <w:rPr>
          <w:sz w:val="20"/>
          <w:szCs w:val="20"/>
        </w:rPr>
        <w:t>Consortium and participate in the Proposed Transaction.</w:t>
      </w:r>
    </w:p>
    <w:p w14:paraId="3C713DE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F614C5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October 10, 2025, Gibson Dunn provided the Special Committee with an issues list covering the key issues in White &amp; Case’s revised draft of the Original Merger Agreement received on September 30,</w:t>
      </w:r>
      <w:r>
        <w:rPr>
          <w:sz w:val="20"/>
          <w:szCs w:val="20"/>
        </w:rPr>
        <w:t xml:space="preserve"> 2025.</w:t>
      </w:r>
    </w:p>
    <w:p w14:paraId="32BA9BF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BFF38D0"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On October 13, 2025, the Special Committee convened a meeting via video conference with representatives of Gibson Dunn and Duff &amp; Phelps. At the request of the Special Committee, Gibson Dunn walked the Special Committee through the list of key iss</w:t>
      </w:r>
      <w:r>
        <w:rPr>
          <w:sz w:val="20"/>
          <w:szCs w:val="20"/>
        </w:rPr>
        <w:t>ues identified in the revised draft of the Original Merger Agreement. Members of the Special Committee asked various questions regarding these issues, to which representatives of Gibson Dunn responded. Following discussions, the Special Committee instructe</w:t>
      </w:r>
      <w:r>
        <w:rPr>
          <w:sz w:val="20"/>
          <w:szCs w:val="20"/>
        </w:rPr>
        <w:t>d Gibson Dunn to incorporate the points discussed into its markup of the revised draft of the Original Merger Agreement and to share the markup with White &amp; Case. Duff &amp; Phelps then updated the Special Committee on the progress and work plan of its financi</w:t>
      </w:r>
      <w:r>
        <w:rPr>
          <w:sz w:val="20"/>
          <w:szCs w:val="20"/>
        </w:rPr>
        <w:t>al due diligence and analysis. Members of the Special Committee asked questions on these matters, to which Duff &amp; Phelps responded.</w:t>
      </w:r>
    </w:p>
    <w:p w14:paraId="49335FB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2EC261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October 14, 2025, the Company’s management provided the financial projections they prepared to Duff &amp; Phelps, which Duf</w:t>
      </w:r>
      <w:r>
        <w:rPr>
          <w:sz w:val="20"/>
          <w:szCs w:val="20"/>
        </w:rPr>
        <w:t>f &amp; Phelps then circulated to the Special Committee and Gibson Dunn.</w:t>
      </w:r>
    </w:p>
    <w:p w14:paraId="487DC05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B493CE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October 15, 2025, the Special Committee convened a meeting via video conference with representatives of Gibson Dunn and Duff &amp; Phelps. At the request of the Special Committee, Duff &amp;</w:t>
      </w:r>
      <w:r>
        <w:rPr>
          <w:sz w:val="20"/>
          <w:szCs w:val="20"/>
        </w:rPr>
        <w:t xml:space="preserve"> Phelps reviewed the financial projections it received from the Company’s management with the members of the Special Committee. Members of the Special Committee asked various questions regarding the projections and their underlying assumptions, which repre</w:t>
      </w:r>
      <w:r>
        <w:rPr>
          <w:sz w:val="20"/>
          <w:szCs w:val="20"/>
        </w:rPr>
        <w:t>sentatives of Duff &amp; Phelps answered. Following these discussions, the Special Committee instructed Duff &amp; Phelps to conduct a valuation analysis based on the projections provided by the Company’s management. Members of the Special Committee and representa</w:t>
      </w:r>
      <w:r>
        <w:rPr>
          <w:sz w:val="20"/>
          <w:szCs w:val="20"/>
        </w:rPr>
        <w:t>tives of Gibson Dunn and Duff &amp; Phelps also discussed the next steps of the Proposed Transaction.</w:t>
      </w:r>
    </w:p>
    <w:p w14:paraId="63B2153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1E52B7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Gibson Dunn provided White &amp; Case with a markup of the revised drafts of the Original Merger Agreement and the Original Ancillary Ag</w:t>
      </w:r>
      <w:r>
        <w:rPr>
          <w:sz w:val="20"/>
          <w:szCs w:val="20"/>
        </w:rPr>
        <w:t>reements.</w:t>
      </w:r>
    </w:p>
    <w:p w14:paraId="0FC11C1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E5F907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the same date, the Sponsor, upon internal discussions, decided to admit Superstring Capital, MSA Growth and Epiphron Capital into the Consortium subject to the Special Committee’s approval and instructed White &amp; Case to work with them to obt</w:t>
      </w:r>
      <w:r>
        <w:rPr>
          <w:sz w:val="20"/>
          <w:szCs w:val="20"/>
        </w:rPr>
        <w:t>ain the rollover details and to finalize the required documents before reaching out to the Special Committee for approval.</w:t>
      </w:r>
    </w:p>
    <w:p w14:paraId="33363DEF"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2F2DADB" w14:textId="77777777" w:rsidR="00000000" w:rsidRDefault="002F725F">
      <w:pPr>
        <w:pStyle w:val="NormalWeb"/>
        <w:spacing w:before="0" w:beforeAutospacing="0" w:after="0" w:afterAutospacing="0"/>
        <w:jc w:val="center"/>
        <w:divId w:val="1969580126"/>
        <w:rPr>
          <w:sz w:val="20"/>
          <w:szCs w:val="20"/>
        </w:rPr>
      </w:pPr>
      <w:r>
        <w:rPr>
          <w:sz w:val="20"/>
          <w:szCs w:val="20"/>
        </w:rPr>
        <w:t>2</w:t>
      </w:r>
      <w:r>
        <w:rPr>
          <w:sz w:val="20"/>
          <w:szCs w:val="20"/>
        </w:rPr>
        <w:t>1</w:t>
      </w:r>
    </w:p>
    <w:p w14:paraId="79C2E603" w14:textId="77777777" w:rsidR="00000000" w:rsidRDefault="002F725F">
      <w:pPr>
        <w:pStyle w:val="NormalWeb"/>
        <w:spacing w:before="0" w:beforeAutospacing="0" w:after="0" w:afterAutospacing="0"/>
        <w:divId w:val="2025983857"/>
        <w:rPr>
          <w:sz w:val="20"/>
          <w:szCs w:val="20"/>
        </w:rPr>
      </w:pPr>
      <w:r>
        <w:rPr>
          <w:sz w:val="20"/>
          <w:szCs w:val="20"/>
        </w:rPr>
        <w:t> </w:t>
      </w:r>
    </w:p>
    <w:p w14:paraId="44FEF4DB"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0404417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Between October 16, 2025 and October 24, 2025, White &amp; Case liaised with Superstring Capital, MSA Growth and Epiphron Capita</w:t>
      </w:r>
      <w:r>
        <w:rPr>
          <w:sz w:val="20"/>
          <w:szCs w:val="20"/>
        </w:rPr>
        <w:t>l to collect certain information about the potential consortium members and provided each of them a draft deed of adherence to join the Consortium Agreement and a draft confidentiality agreement among the Company, the Special Committee, and each of Superst</w:t>
      </w:r>
      <w:r>
        <w:rPr>
          <w:sz w:val="20"/>
          <w:szCs w:val="20"/>
        </w:rPr>
        <w:t>ring Capital, MSA Growth and Epiphron Capital.</w:t>
      </w:r>
    </w:p>
    <w:p w14:paraId="325025C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7C6424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October 17, 2025, White &amp; Case circulated to Gibson Dunn an issues list outlining the Consortium’s positions on key outstanding issues in the Original Merger Agreement, together with revised drafts of the</w:t>
      </w:r>
      <w:r>
        <w:rPr>
          <w:sz w:val="20"/>
          <w:szCs w:val="20"/>
        </w:rPr>
        <w:t xml:space="preserve"> Original Ancillary Agreements.</w:t>
      </w:r>
    </w:p>
    <w:p w14:paraId="1BEA32E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2AEB05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October 20, 2025, the Special Committee convened a meeting via video conference with representatives of Gibson Dunn and Duff &amp; Phelps. Duff &amp; Phelps updated </w:t>
      </w:r>
      <w:r>
        <w:rPr>
          <w:sz w:val="20"/>
          <w:szCs w:val="20"/>
        </w:rPr>
        <w:t>the Special Committee on the progress and work plan of its financial due diligence and analysis. Members of the Special Committee asked questions on these matters, to which Duff &amp; Phelps responded. At the request of the Special Committee, Gibson Dunn repor</w:t>
      </w:r>
      <w:r>
        <w:rPr>
          <w:sz w:val="20"/>
          <w:szCs w:val="20"/>
        </w:rPr>
        <w:t xml:space="preserve">ted the status of the transaction documents and walked the Special Committee through the list of key issues in the Original Merger Agreement received from White &amp; Case on October 17, 2025. Members of the Special Committee asked various questions regarding </w:t>
      </w:r>
      <w:r>
        <w:rPr>
          <w:sz w:val="20"/>
          <w:szCs w:val="20"/>
        </w:rPr>
        <w:t>these issues and other outstanding points in the Original Merger Agreement, to which representatives of Gibson Dunn responded. Following discussions, the Special Committee instructed Gibson Dunn to update the key issues list to reflect the Special Committe</w:t>
      </w:r>
      <w:r>
        <w:rPr>
          <w:sz w:val="20"/>
          <w:szCs w:val="20"/>
        </w:rPr>
        <w:t>e’s positions and share the updated list with White &amp; Case.</w:t>
      </w:r>
    </w:p>
    <w:p w14:paraId="02AFC1D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BAC0C7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Gibson Dunn provided White &amp; Case with an updated list of key issues in the Original Merger Agreement and comments on the revised drafts of the Original Ancillary Agreeme</w:t>
      </w:r>
      <w:r>
        <w:rPr>
          <w:sz w:val="20"/>
          <w:szCs w:val="20"/>
        </w:rPr>
        <w:t>nts.</w:t>
      </w:r>
    </w:p>
    <w:p w14:paraId="02679E14"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p w14:paraId="5C28177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October 24, 2025, representatives of Gibson Dunn and representatives of White &amp; Case negotiated via video conference the outstanding issues identified in the updated key issues list circulated by Gibson Dunn on October 20, 2025. During the confer</w:t>
      </w:r>
      <w:r>
        <w:rPr>
          <w:sz w:val="20"/>
          <w:szCs w:val="20"/>
        </w:rPr>
        <w:t>ence, Gibson Dunn and White &amp; Case reached agreement, subject to approval by the Special Committee, on various matters in the Original Merger Agreement, including the scope of the Company’s non-solicitation obligations and the removal of the closing condit</w:t>
      </w:r>
      <w:r>
        <w:rPr>
          <w:sz w:val="20"/>
          <w:szCs w:val="20"/>
        </w:rPr>
        <w:t>ion relating to the percentage of Dissenting Shares, with other issues such as the Board’s right to change its recommendation and terminate the Original Merger Agreement upon occurrence of certain intervening events, the “majority of minority” vote require</w:t>
      </w:r>
      <w:r>
        <w:rPr>
          <w:sz w:val="20"/>
          <w:szCs w:val="20"/>
        </w:rPr>
        <w:t>ments, and the termination fee amounts remained subject to further negotiation.</w:t>
      </w:r>
    </w:p>
    <w:p w14:paraId="091924E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4A94EE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October 24, 2025, upon receipt of the required information and documentation, White &amp; Case informed Gibson Dunn via email that Superstring Capital, MSA Growth and Epiphron</w:t>
      </w:r>
      <w:r>
        <w:rPr>
          <w:sz w:val="20"/>
          <w:szCs w:val="20"/>
        </w:rPr>
        <w:t xml:space="preserve"> Capital intended to join the Consortium and shared the draft confidentiality agreements with Superstring Capital, MSA Growth and Epiphron Capital, respectively, each in substantially the same form as those executed by the existing members of the Consortiu</w:t>
      </w:r>
      <w:r>
        <w:rPr>
          <w:sz w:val="20"/>
          <w:szCs w:val="20"/>
        </w:rPr>
        <w:t>m. White &amp; Case also provided Gibson Dunn with the background, shareholding information and means of participation of each of Superstring Capital, MSA Growth and Epiphron Capital, and requested the Special Committee’s approval of their admission. Gibson Du</w:t>
      </w:r>
      <w:r>
        <w:rPr>
          <w:sz w:val="20"/>
          <w:szCs w:val="20"/>
        </w:rPr>
        <w:t>nn subsequently conveyed the request to the Special Committee.</w:t>
      </w:r>
    </w:p>
    <w:p w14:paraId="0E454C2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387A2F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October 27, 2025, the Special Committee convened a meeting via video conference with representatives of Gibson Dunn and Duff &amp; Phelps. Duff &amp; Phelps updated the Special Committee on the pr</w:t>
      </w:r>
      <w:r>
        <w:rPr>
          <w:sz w:val="20"/>
          <w:szCs w:val="20"/>
        </w:rPr>
        <w:t>ogress of its financial due diligence and valuation analysis. Members of the Special Committee asked questions on these matters, to which Duff &amp; Phelps responded. Following discussions, the Special Committee authorized and directed Duff &amp; Phelps to commenc</w:t>
      </w:r>
      <w:r>
        <w:rPr>
          <w:sz w:val="20"/>
          <w:szCs w:val="20"/>
        </w:rPr>
        <w:t xml:space="preserve">e price negotiation with the Consortium based on its valuation analysis, including seeking an increase in the Buyer Group’s proposed purchase price. Gibson Dunn then provided an update on the status of the negotiation of transaction documents with White &amp; </w:t>
      </w:r>
      <w:r>
        <w:rPr>
          <w:sz w:val="20"/>
          <w:szCs w:val="20"/>
        </w:rPr>
        <w:t>Case. After discussions, the Special Committee instructed Gibson Dunn to continue negotiating the transaction documents with White &amp; Case.</w:t>
      </w:r>
    </w:p>
    <w:p w14:paraId="558421B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90F567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the Special Committee approved the admission of Superstring Capital, MSA Growth and Epiphro</w:t>
      </w:r>
      <w:r>
        <w:rPr>
          <w:sz w:val="20"/>
          <w:szCs w:val="20"/>
        </w:rPr>
        <w:t>n Capital as members of the Consortium.</w:t>
      </w:r>
    </w:p>
    <w:p w14:paraId="6C74979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FE7D0C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each of Superstring Capital, MSA Growth and Epiphron Capital entered into a deed of adherence to the Consortium Agreement to join the Consortium as an additional rollover shareholder and int</w:t>
      </w:r>
      <w:r>
        <w:rPr>
          <w:sz w:val="20"/>
          <w:szCs w:val="20"/>
        </w:rPr>
        <w:t>ended to finance the Proposed Transaction with additional equity capital in the form of rollover equity in the Company. After the entry into the deeds of adherence by Superstring Capital, MSA Growth and Epiphron Capital, the Consortium collectively owned 2</w:t>
      </w:r>
      <w:r>
        <w:rPr>
          <w:sz w:val="20"/>
          <w:szCs w:val="20"/>
        </w:rPr>
        <w:t>1,988,169 Ordinary Shares, collectively representing approximately 53.35% of the aggregate voting power in the Company. Concurrently with the execution of the deeds of adherence, the Special Committee and the Company entered into the relevant confidentiali</w:t>
      </w:r>
      <w:r>
        <w:rPr>
          <w:sz w:val="20"/>
          <w:szCs w:val="20"/>
        </w:rPr>
        <w:t>ty agreements with each of Superstring Capital, MSA Growth and Epiphron Capital, respectively.</w:t>
      </w:r>
    </w:p>
    <w:p w14:paraId="0B4104D7"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8635577" w14:textId="77777777" w:rsidR="00000000" w:rsidRDefault="002F725F">
      <w:pPr>
        <w:pStyle w:val="NormalWeb"/>
        <w:spacing w:before="0" w:beforeAutospacing="0" w:after="0" w:afterAutospacing="0"/>
        <w:jc w:val="center"/>
        <w:divId w:val="1664354282"/>
        <w:rPr>
          <w:sz w:val="20"/>
          <w:szCs w:val="20"/>
        </w:rPr>
      </w:pPr>
      <w:r>
        <w:rPr>
          <w:sz w:val="20"/>
          <w:szCs w:val="20"/>
        </w:rPr>
        <w:t>2</w:t>
      </w:r>
      <w:r>
        <w:rPr>
          <w:sz w:val="20"/>
          <w:szCs w:val="20"/>
        </w:rPr>
        <w:t>2</w:t>
      </w:r>
    </w:p>
    <w:p w14:paraId="75D29A42" w14:textId="77777777" w:rsidR="00000000" w:rsidRDefault="002F725F">
      <w:pPr>
        <w:pStyle w:val="NormalWeb"/>
        <w:spacing w:before="0" w:beforeAutospacing="0" w:after="0" w:afterAutospacing="0"/>
        <w:divId w:val="620264139"/>
        <w:rPr>
          <w:sz w:val="20"/>
          <w:szCs w:val="20"/>
        </w:rPr>
      </w:pPr>
      <w:r>
        <w:rPr>
          <w:sz w:val="20"/>
          <w:szCs w:val="20"/>
        </w:rPr>
        <w:t> </w:t>
      </w:r>
    </w:p>
    <w:p w14:paraId="2B74C2A0"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395B364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October 28, 2025, White &amp; Case circulated to Gibson Dunn further revised drafts of the Original Merger Agreement and Original Ancillary Agreements, a</w:t>
      </w:r>
      <w:r>
        <w:rPr>
          <w:sz w:val="20"/>
          <w:szCs w:val="20"/>
        </w:rPr>
        <w:t>n updated issues list reflecting the negotiations between Gibson Dunn and White &amp; Case on the outstanding matters in the Original Merger Agreement, and a copy of the Sponsor’s recent bank statement evidencing the sufficiency of the Sponsor’s funds to finan</w:t>
      </w:r>
      <w:r>
        <w:rPr>
          <w:sz w:val="20"/>
          <w:szCs w:val="20"/>
        </w:rPr>
        <w:t>ce the cash portion of the Proposed Transaction and pay the termination fee if payable by Parent.</w:t>
      </w:r>
    </w:p>
    <w:p w14:paraId="7B3E774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672695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October 29, 2025, Huaqin Xue, Crystal Peak Holdings Inc., Crystal Peak, Dave Liguang Chenn, Oceanpine, Adjuvant Capital Management, L.L.C., Adjuvant Capi</w:t>
      </w:r>
      <w:r>
        <w:rPr>
          <w:sz w:val="20"/>
          <w:szCs w:val="20"/>
        </w:rPr>
        <w:t>tal GP, L.P., Adjuvant Capital, MSA China Growth Fund II GP, LLC, MSA Growth, Superstring Capital Management LP, Superstring Capital and Epiphron Capital (collectively, the “Buyer 13D Filing Persons”) jointly filed an amendment to the Schedule 13D with the</w:t>
      </w:r>
      <w:r>
        <w:rPr>
          <w:sz w:val="20"/>
          <w:szCs w:val="20"/>
        </w:rPr>
        <w:t xml:space="preserve"> SEC in </w:t>
      </w:r>
      <w:r>
        <w:rPr>
          <w:sz w:val="20"/>
          <w:szCs w:val="20"/>
        </w:rPr>
        <w:lastRenderedPageBreak/>
        <w:t>connection with the expansion of the Consortium to include Adjuvant Capital, Superstring Capital, MSA Growth and Epiphron Capital.</w:t>
      </w:r>
    </w:p>
    <w:p w14:paraId="0E40B96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4165D9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October 31, 2025, Duff &amp; Phelps conveyed the Special Committee’s request for an increase in the Buyer Group’s pr</w:t>
      </w:r>
      <w:r>
        <w:rPr>
          <w:sz w:val="20"/>
          <w:szCs w:val="20"/>
        </w:rPr>
        <w:t>oposed purchase price to White &amp; Case via email.</w:t>
      </w:r>
    </w:p>
    <w:p w14:paraId="49125A2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01874C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November 1, 2025, White &amp; Case informed the Special Committee, Duff &amp; Phelps and Gibson Dunn via email that the Buyer Group was willing to increase the purchase price to US$0.90 per Share in the spirit </w:t>
      </w:r>
      <w:r>
        <w:rPr>
          <w:sz w:val="20"/>
          <w:szCs w:val="20"/>
        </w:rPr>
        <w:t>of cooperation and to provide greater value to all shareholders, despite the Company’s significant ongoing operational and market challenges.</w:t>
      </w:r>
    </w:p>
    <w:p w14:paraId="25442F5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3D8CF8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Later on the same date, Gibson </w:t>
      </w:r>
      <w:r>
        <w:rPr>
          <w:sz w:val="20"/>
          <w:szCs w:val="20"/>
        </w:rPr>
        <w:t>Dunn circulated further revised drafts of the Original Merger Agreement and the Original Ancillary Agreements to White &amp; Case.</w:t>
      </w:r>
    </w:p>
    <w:p w14:paraId="6F9F683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16D892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November 3, 2025, Gibson Dunn and White &amp; Case continued negotiations and substantively finalized the terms of the Original </w:t>
      </w:r>
      <w:r>
        <w:rPr>
          <w:sz w:val="20"/>
          <w:szCs w:val="20"/>
        </w:rPr>
        <w:t xml:space="preserve">Merger Agreement and the Original Ancillary Agreements, subject to approval by the Special Committee and the Board. The finalized draft of the Original Merger Agreement includes, among other things, (i) a “fiduciary out” mechanism that allows the Board to </w:t>
      </w:r>
      <w:r>
        <w:rPr>
          <w:sz w:val="20"/>
          <w:szCs w:val="20"/>
        </w:rPr>
        <w:t>consider and recommend a superior proposal should one materialize on the terms and conditions set forth therein, (ii) qualification of the Company’s representations and warranties by the knowledge of Parent, Merger Sub, the Sponsor, the Sponsor’s affiliate</w:t>
      </w:r>
      <w:r>
        <w:rPr>
          <w:sz w:val="20"/>
          <w:szCs w:val="20"/>
        </w:rPr>
        <w:t>s and representatives of the Sponsor and its affiliates prior to the date of the Original Merger Agreement, and (iii) a US$550,000 “company termination fee” and a US$1,100,000 “parent termination fee.” The finalized drafts of the Original Ancillary Agreeme</w:t>
      </w:r>
      <w:r>
        <w:rPr>
          <w:sz w:val="20"/>
          <w:szCs w:val="20"/>
        </w:rPr>
        <w:t>nts obligate the Sponsor to fully fund the Proposed Transaction and guarantee the payment of the termination fee, if payable by Parent, in each case on the terms and conditions set forth therein.</w:t>
      </w:r>
    </w:p>
    <w:p w14:paraId="723282B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6CE7F0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November 4, 2025, the Special Committee convened a meet</w:t>
      </w:r>
      <w:r>
        <w:rPr>
          <w:sz w:val="20"/>
          <w:szCs w:val="20"/>
        </w:rPr>
        <w:t>ing via video conference with representatives of Gibson Dunn and Duff &amp; Phelps. Gibson Dunn first updated the Special Committee that Gibson Dunn and White &amp; Case had substantially finalized the terms of the Original Merger Agreement and the Original Ancill</w:t>
      </w:r>
      <w:r>
        <w:rPr>
          <w:sz w:val="20"/>
          <w:szCs w:val="20"/>
        </w:rPr>
        <w:t>ary Agreements, subject to approval by the Special Committee and the Board. At the request of the Special Committee, Duff &amp; Phelps next made a financial presentation to the Special Committee in connection with issuing its fairness opinion. Duff &amp; Phelps di</w:t>
      </w:r>
      <w:r>
        <w:rPr>
          <w:sz w:val="20"/>
          <w:szCs w:val="20"/>
        </w:rPr>
        <w:t xml:space="preserve">scussed the Company’s financial performance and historical share trading price and provided a summary of the various financial analyses it had performed. Members of the Special Committee and Gibson Dunn asked questions regarding the valuation analyses, to </w:t>
      </w:r>
      <w:r>
        <w:rPr>
          <w:sz w:val="20"/>
          <w:szCs w:val="20"/>
        </w:rPr>
        <w:t>which representatives Duff &amp; Phelps responded. Thereafter, at the request of the Special Committee, Duff &amp; Phelps verbally rendered its opinion to the Special Committee (which was subsequently confirmed in writing by the delivery of Duff &amp; Phelps’s written</w:t>
      </w:r>
      <w:r>
        <w:rPr>
          <w:sz w:val="20"/>
          <w:szCs w:val="20"/>
        </w:rPr>
        <w:t xml:space="preserve"> opinion, dated November 4, 2025, addressed to the Special Committee) that, as of the date thereof and based upon and subject to the procedures followed, assumptions made, qualifications and limitations on the review undertaken and other matters considered</w:t>
      </w:r>
      <w:r>
        <w:rPr>
          <w:sz w:val="20"/>
          <w:szCs w:val="20"/>
        </w:rPr>
        <w:t xml:space="preserve"> by Duff &amp; Phelps in preparing its opinion, the merger consideration of US$0.90 per Share to be received by the holders of Shares (other than the Excluded Shares and the Dissenting Shares) pursuant to the Original Merger Agreement was fair from a financial</w:t>
      </w:r>
      <w:r>
        <w:rPr>
          <w:sz w:val="20"/>
          <w:szCs w:val="20"/>
        </w:rPr>
        <w:t xml:space="preserve"> point of view to such holders. Please see “Special Factors—Prior Opinion of the Special Committee’s Financial Advisor” beginning on page 41 for additional information regarding the financial analysis performed by Duff &amp; Phelps and the opinion rendered by </w:t>
      </w:r>
      <w:r>
        <w:rPr>
          <w:sz w:val="20"/>
          <w:szCs w:val="20"/>
        </w:rPr>
        <w:t>Duff &amp; Phelps to the Special Committee. Following a discussion of the terms of the Original Merger Agreement and the Original Ancillary Agreements, as well as Duff &amp; Phelps’s presentation of its financial analyses and opinion, the Special Committee unanimo</w:t>
      </w:r>
      <w:r>
        <w:rPr>
          <w:sz w:val="20"/>
          <w:szCs w:val="20"/>
        </w:rPr>
        <w:t>usly resolved to approve the proposed Original Merger Agreement, the plan of merger (the “Original Plan of Merger”) required to be filed with the Cayman Registrar in connection with the Original Merger and the Original Limited Guarantee, each substantially</w:t>
      </w:r>
      <w:r>
        <w:rPr>
          <w:sz w:val="20"/>
          <w:szCs w:val="20"/>
        </w:rPr>
        <w:t xml:space="preserve"> in the form of the drafts presented to the Special Committee, and the transactions contemplated by the Original Merger Agreement and the Original Plan of Merger (the “Original Transactions”), and recommend that the Board authorize and approve the Original</w:t>
      </w:r>
      <w:r>
        <w:rPr>
          <w:sz w:val="20"/>
          <w:szCs w:val="20"/>
        </w:rPr>
        <w:t xml:space="preserve"> Merger Agreement, the Original Plan of Merger, and the consummation of the Original Transactions.</w:t>
      </w:r>
    </w:p>
    <w:p w14:paraId="0AEB040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506895C" w14:textId="77777777" w:rsidR="00000000" w:rsidRDefault="002F725F">
      <w:pPr>
        <w:pStyle w:val="NormalWeb"/>
        <w:spacing w:before="0" w:beforeAutospacing="0" w:after="0" w:afterAutospacing="0"/>
        <w:jc w:val="center"/>
        <w:divId w:val="1768573325"/>
        <w:rPr>
          <w:sz w:val="20"/>
          <w:szCs w:val="20"/>
        </w:rPr>
      </w:pPr>
      <w:r>
        <w:rPr>
          <w:sz w:val="20"/>
          <w:szCs w:val="20"/>
        </w:rPr>
        <w:t>2</w:t>
      </w:r>
      <w:r>
        <w:rPr>
          <w:sz w:val="20"/>
          <w:szCs w:val="20"/>
        </w:rPr>
        <w:t>3</w:t>
      </w:r>
    </w:p>
    <w:p w14:paraId="16D08230" w14:textId="77777777" w:rsidR="00000000" w:rsidRDefault="002F725F">
      <w:pPr>
        <w:pStyle w:val="NormalWeb"/>
        <w:spacing w:before="0" w:beforeAutospacing="0" w:after="0" w:afterAutospacing="0"/>
        <w:divId w:val="1400596162"/>
        <w:rPr>
          <w:sz w:val="20"/>
          <w:szCs w:val="20"/>
        </w:rPr>
      </w:pPr>
      <w:r>
        <w:rPr>
          <w:sz w:val="20"/>
          <w:szCs w:val="20"/>
        </w:rPr>
        <w:t> </w:t>
      </w:r>
    </w:p>
    <w:p w14:paraId="581F3757" w14:textId="77777777" w:rsidR="00000000" w:rsidRDefault="002F725F">
      <w:pPr>
        <w:pStyle w:val="NormalWeb"/>
        <w:spacing w:before="0" w:beforeAutospacing="0" w:after="0" w:afterAutospacing="0"/>
        <w:jc w:val="center"/>
        <w:divId w:val="415980837"/>
        <w:rPr>
          <w:sz w:val="20"/>
          <w:szCs w:val="20"/>
        </w:rPr>
      </w:pPr>
      <w:r>
        <w:rPr>
          <w:sz w:val="20"/>
          <w:szCs w:val="20"/>
        </w:rPr>
        <w:lastRenderedPageBreak/>
        <w:t> </w:t>
      </w:r>
    </w:p>
    <w:p w14:paraId="409ADE8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Following the meeting of the Special Committee, the Board (other than Ms. Rui (Rachel) Yu, who recused herself from the Board meeting because she is</w:t>
      </w:r>
      <w:r>
        <w:rPr>
          <w:sz w:val="20"/>
          <w:szCs w:val="20"/>
        </w:rPr>
        <w:t xml:space="preserve"> a partner at Oceanpine Capital) convened a meeting via video conference, and based upon the unanimous recommendation of the Special Committee, and taking into account the other factors described below under the heading titled “Special Factors—Reasons for </w:t>
      </w:r>
      <w:r>
        <w:rPr>
          <w:sz w:val="20"/>
          <w:szCs w:val="20"/>
        </w:rPr>
        <w:t>the Merger and Recommendation of the Special Committee and the Board” beginning on page 29, the Board (other than Ms. Rui (Rachel) Yu who recused herself from the meeting of the Board and Dr. Hui (David) Shao who abstained from voting at the meeting of the</w:t>
      </w:r>
      <w:r>
        <w:rPr>
          <w:sz w:val="20"/>
          <w:szCs w:val="20"/>
        </w:rPr>
        <w:t xml:space="preserve"> Board) (i) determined and declared that the Original Merger, on the terms and subject to the conditions set forth in the Original Merger Agreement, was fair to, and in the best interests of, the Company and Unaffiliated Security Holders, and (ii) adopted </w:t>
      </w:r>
      <w:r>
        <w:rPr>
          <w:sz w:val="20"/>
          <w:szCs w:val="20"/>
        </w:rPr>
        <w:t>resolutions approving the terms of the Original Merger Agreement, the Original Limited Guarantee and the transactions contemplated thereby.</w:t>
      </w:r>
    </w:p>
    <w:p w14:paraId="10576CF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4FBC84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Following the Board meeting, on the same date, the Company, Parent and Merger Sub executed and delivered the Origi</w:t>
      </w:r>
      <w:r>
        <w:rPr>
          <w:sz w:val="20"/>
          <w:szCs w:val="20"/>
        </w:rPr>
        <w:t>nal Merger Agreement, and the relevant parties executed and delivered the Original Ancillary Agreements. Concurrently, members of the Consortium executed and delivered the Interim Investors Agreement.</w:t>
      </w:r>
    </w:p>
    <w:p w14:paraId="4A3EF40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C249F2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the Company issued a press re</w:t>
      </w:r>
      <w:r>
        <w:rPr>
          <w:sz w:val="20"/>
          <w:szCs w:val="20"/>
        </w:rPr>
        <w:t>lease announcing the execution of the Original Merger Agreement and the Original Limited Guarantee, and furnished the press release as an exhibit to its current report on Form 6-K with the SEC.</w:t>
      </w:r>
    </w:p>
    <w:p w14:paraId="53F9DF7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3FE219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the Buyer 13D Filing Persons jointly</w:t>
      </w:r>
      <w:r>
        <w:rPr>
          <w:sz w:val="20"/>
          <w:szCs w:val="20"/>
        </w:rPr>
        <w:t xml:space="preserve"> filed an amendment to the Schedule 13D with the SEC in light of the entry into the definitive agreements for the Proposed Transaction, including the Original Merger Agreement and the Original Ancillary Agreements.</w:t>
      </w:r>
    </w:p>
    <w:p w14:paraId="375C278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56629C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November 14, 2025, NASDAQ filed a Fo</w:t>
      </w:r>
      <w:r>
        <w:rPr>
          <w:sz w:val="20"/>
          <w:szCs w:val="20"/>
        </w:rPr>
        <w:t>rm 25 with the SEC regarding the delisting of the Company’s securities from its exchange.</w:t>
      </w:r>
    </w:p>
    <w:p w14:paraId="1B5EBF05"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 </w:t>
      </w:r>
    </w:p>
    <w:p w14:paraId="1CD2EDF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January 20, 2026, the Company issued a press release announcing the calling of an extraordinary general meeting of shareholders (the “Original EGM”), to be held </w:t>
      </w:r>
      <w:r>
        <w:rPr>
          <w:sz w:val="20"/>
          <w:szCs w:val="20"/>
        </w:rPr>
        <w:t xml:space="preserve">on February 12, 2026 at 11 a.m. (Beijing time) at Unit 1301, Tower 1, China Central Place, No. 81 Jianguo Road, Chaoyang District, Beijing, People’s Republic of China, to consider and vote on, among other matters, the proposal to authorize and approve the </w:t>
      </w:r>
      <w:r>
        <w:rPr>
          <w:sz w:val="20"/>
          <w:szCs w:val="20"/>
        </w:rPr>
        <w:t>Original Merger Agreement, the Original Plan of Merger, and the Original Transactions, including the Original Merger, and furnished the press release as an exhibit to its current report on Form 6-K with the SEC.</w:t>
      </w:r>
    </w:p>
    <w:p w14:paraId="6300240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773E23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January 21, 2026, and January 22, 2026,</w:t>
      </w:r>
      <w:r>
        <w:rPr>
          <w:sz w:val="20"/>
          <w:szCs w:val="20"/>
        </w:rPr>
        <w:t xml:space="preserve"> the Company received arbitral awards (the “Awards”) issued by the Kaifeng Arbitration Commission regarding three arbitration cases involving Liaoning Yisheng Biopharma Co., Ltd. (“Liaoning Yisheng”) and Beijing Yisheng Biotechnology Co., Ltd. (“Beijing Yi</w:t>
      </w:r>
      <w:r>
        <w:rPr>
          <w:sz w:val="20"/>
          <w:szCs w:val="20"/>
        </w:rPr>
        <w:t>sheng”), each of which is a subsidiary to the Company. According to the Awards, Liaoning Yisheng was ordered to pay Henan Yishengyaoye Co., Ltd. and Beijing Yisheng Xingye Technology Co., Ltd. (collectively, the “Arbitration Claimants”) a total principal a</w:t>
      </w:r>
      <w:r>
        <w:rPr>
          <w:sz w:val="20"/>
          <w:szCs w:val="20"/>
        </w:rPr>
        <w:t>mount of approximately RMB446 million, together with other interest and fees exceeding RMB36 million; and Beijing Yisheng was ordered to pay Beijing Yisheng Xingye Technology Co., Ltd. a principal amount of approximately RMB58.5 million, together with othe</w:t>
      </w:r>
      <w:r>
        <w:rPr>
          <w:sz w:val="20"/>
          <w:szCs w:val="20"/>
        </w:rPr>
        <w:t>r interest and fees of approximately RMB36 million.</w:t>
      </w:r>
    </w:p>
    <w:p w14:paraId="53BA032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217478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January 29, 2026, the Company </w:t>
      </w:r>
      <w:r>
        <w:rPr>
          <w:sz w:val="20"/>
          <w:szCs w:val="20"/>
        </w:rPr>
        <w:t>furnished a current report on Form 6-K with the SEC disclosing its receipt of the Awards.</w:t>
      </w:r>
    </w:p>
    <w:p w14:paraId="722002D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11B166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Between January 27, 2026 and February 2, 2026, the Sponsor evaluated the potential impact of the Awards on the operations of the Company and its subsidiaries. Durin</w:t>
      </w:r>
      <w:r>
        <w:rPr>
          <w:sz w:val="20"/>
          <w:szCs w:val="20"/>
        </w:rPr>
        <w:t>g the same period, representatives of the Sponsor and White &amp; Case had several telephonic discussions on how the Awards would impact the consummation of the transactions contemplated by the Original Merger Agreement, in particular, whether a Company Materi</w:t>
      </w:r>
      <w:r>
        <w:rPr>
          <w:sz w:val="20"/>
          <w:szCs w:val="20"/>
        </w:rPr>
        <w:t>al Adverse Effect as defined under the Original Merger Agreement has occurred and what possible actions Parent and Merger Sub could take under the Original Merger Agreement.</w:t>
      </w:r>
    </w:p>
    <w:p w14:paraId="17365A5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B34599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February 2, 2026, representatives of the Sponsor informed White &amp; Case of its</w:t>
      </w:r>
      <w:r>
        <w:rPr>
          <w:sz w:val="20"/>
          <w:szCs w:val="20"/>
        </w:rPr>
        <w:t xml:space="preserve"> decision not to proceed with the consummation of the Merger under the Original Merger Agreement on the basis that the Awards and the resulting financial liability of approximately RMB576.5 million constituted a “Company Material Adverse Effect” as </w:t>
      </w:r>
      <w:r>
        <w:rPr>
          <w:sz w:val="20"/>
          <w:szCs w:val="20"/>
        </w:rPr>
        <w:lastRenderedPageBreak/>
        <w:t>defined</w:t>
      </w:r>
      <w:r>
        <w:rPr>
          <w:sz w:val="20"/>
          <w:szCs w:val="20"/>
        </w:rPr>
        <w:t> in the Original Merger Agreement, as such financial liability would have a significant adverse impact on the Company’s financial condition, potentially rendering the Company unable to pay its debts when due, and instructed White &amp; Case to solicit the view</w:t>
      </w:r>
      <w:r>
        <w:rPr>
          <w:sz w:val="20"/>
          <w:szCs w:val="20"/>
        </w:rPr>
        <w:t>s from the other members of the Buyer Group.</w:t>
      </w:r>
    </w:p>
    <w:p w14:paraId="425D4F6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0BC8EBF" w14:textId="77777777" w:rsidR="00000000" w:rsidRDefault="002F725F">
      <w:pPr>
        <w:pStyle w:val="NormalWeb"/>
        <w:spacing w:before="0" w:beforeAutospacing="0" w:after="0" w:afterAutospacing="0"/>
        <w:jc w:val="center"/>
        <w:divId w:val="1283809815"/>
        <w:rPr>
          <w:sz w:val="20"/>
          <w:szCs w:val="20"/>
        </w:rPr>
      </w:pPr>
      <w:r>
        <w:rPr>
          <w:sz w:val="20"/>
          <w:szCs w:val="20"/>
        </w:rPr>
        <w:t>2</w:t>
      </w:r>
      <w:r>
        <w:rPr>
          <w:sz w:val="20"/>
          <w:szCs w:val="20"/>
        </w:rPr>
        <w:t>4</w:t>
      </w:r>
    </w:p>
    <w:p w14:paraId="2CBCE4D1" w14:textId="77777777" w:rsidR="00000000" w:rsidRDefault="002F725F">
      <w:pPr>
        <w:pStyle w:val="NormalWeb"/>
        <w:spacing w:before="0" w:beforeAutospacing="0" w:after="0" w:afterAutospacing="0"/>
        <w:divId w:val="1096288404"/>
        <w:rPr>
          <w:sz w:val="20"/>
          <w:szCs w:val="20"/>
        </w:rPr>
      </w:pPr>
      <w:r>
        <w:rPr>
          <w:sz w:val="20"/>
          <w:szCs w:val="20"/>
        </w:rPr>
        <w:t> </w:t>
      </w:r>
    </w:p>
    <w:p w14:paraId="65A2FEF0"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 </w:t>
      </w:r>
    </w:p>
    <w:p w14:paraId="391B354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White &amp; Case informed the remaining members of the Buyer Group the Sponsor’s decision via email.</w:t>
      </w:r>
    </w:p>
    <w:p w14:paraId="63D884F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471E83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representatives of the Sponsor and White &amp; Case convene</w:t>
      </w:r>
      <w:r>
        <w:rPr>
          <w:sz w:val="20"/>
          <w:szCs w:val="20"/>
        </w:rPr>
        <w:t>d a meeting via virtual conference with representatives of MSA Growth, during which MSA Growth inquired about the potential impact of the Awards on the Proposed Transaction and the Sponsor’s proposed next step and expressed its willingness to remain as a m</w:t>
      </w:r>
      <w:r>
        <w:rPr>
          <w:sz w:val="20"/>
          <w:szCs w:val="20"/>
        </w:rPr>
        <w:t>ember of the Buyer Group.</w:t>
      </w:r>
    </w:p>
    <w:p w14:paraId="20E5B8A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7E9CD7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representatives of White &amp; Case had a telephonic discussion with representatives of Epiphron Capital regarding the potential impact of the Awards on the Proposed Transaction and the Sponsor’s proposed nex</w:t>
      </w:r>
      <w:r>
        <w:rPr>
          <w:sz w:val="20"/>
          <w:szCs w:val="20"/>
        </w:rPr>
        <w:t>t step, during which Epiphron Capital also expressed its willingness to remain as a member of the Buyer Group.</w:t>
      </w:r>
    </w:p>
    <w:p w14:paraId="4F7D00B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990365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in consideration of (i) the significant amount of time, resources and effort that the Sponsor and the Buyer Group had i</w:t>
      </w:r>
      <w:r>
        <w:rPr>
          <w:sz w:val="20"/>
          <w:szCs w:val="20"/>
        </w:rPr>
        <w:t>nvested in the transactions contemplated by the Original Merger Agreement, which the Buyer Group believed would be substantially forgone if the Merger were abandoned, (ii) the fact that the Buyer Group collectively owned approximately 53.35% of the Company</w:t>
      </w:r>
      <w:r>
        <w:rPr>
          <w:sz w:val="20"/>
          <w:szCs w:val="20"/>
        </w:rPr>
        <w:t>’s equity interests, such that abandoning the Merger entirely would leave them holding a significant stake in a financially distressed public company with limited liquidity and no clear path to realizing value from such investment, (iii) the continued will</w:t>
      </w:r>
      <w:r>
        <w:rPr>
          <w:sz w:val="20"/>
          <w:szCs w:val="20"/>
        </w:rPr>
        <w:t>ingness of other members of the Buyer Group to remain as members of the Buyer Group and to support the consummation of the Merger on the revised terms, and (iv) the Sponsor’s intention to afford the Unaffiliated Security Holders an opportunity to exit thei</w:t>
      </w:r>
      <w:r>
        <w:rPr>
          <w:sz w:val="20"/>
          <w:szCs w:val="20"/>
        </w:rPr>
        <w:t xml:space="preserve">r investment in the Company in light of the Company’s deteriorating financial condition and the limited liquidity available to such holders in the public market, the Sponsor expressed its willingness to engage in good faith discussions with the Company to </w:t>
      </w:r>
      <w:r>
        <w:rPr>
          <w:sz w:val="20"/>
          <w:szCs w:val="20"/>
        </w:rPr>
        <w:t>explore the possibility of amending the transaction terms to facilitate a mutually acceptable resolution and instructed White &amp; Case to inform the Special Committee accordingly.</w:t>
      </w:r>
    </w:p>
    <w:p w14:paraId="7C811EE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08BCE2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Between February 2, 2026 and the signing of the amended transaction document</w:t>
      </w:r>
      <w:r>
        <w:rPr>
          <w:sz w:val="20"/>
          <w:szCs w:val="20"/>
        </w:rPr>
        <w:t>s on April 29, 2026, the Sponsor continued to monitor and evaluate the impact of the Awards on the financial condition and operation of the Company and its subsidiaries and the likelihood of successfully challenging the Awards through judicial proceedings.</w:t>
      </w:r>
    </w:p>
    <w:p w14:paraId="0E706B3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9CEB81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February 4, 2026, White &amp; Case notified Gibson Dunn of the Buyer Group’s position with respect to the Proposed Transaction via email (the “Buyer Group Notice”). Specifically, the Buyer Group had determined that the Awards and the resulting financial </w:t>
      </w:r>
      <w:r>
        <w:rPr>
          <w:sz w:val="20"/>
          <w:szCs w:val="20"/>
        </w:rPr>
        <w:t>liability of approximately RMB576.5 million constituted a “Company Material Adverse Effect” as defined in the Original Merger Agreement, on the basis that such financial liability would have a significant adverse impact on the Company’s financial condition</w:t>
      </w:r>
      <w:r>
        <w:rPr>
          <w:sz w:val="20"/>
          <w:szCs w:val="20"/>
        </w:rPr>
        <w:t>, potentially rendering the Company unable to pay its debts when due. Pursuant to Section 8.2(c) of the Original Merger Agreement, a condition precedent to Parent’s obligation to close is that no Company Material Adverse Effect shall have occurred from the</w:t>
      </w:r>
      <w:r>
        <w:rPr>
          <w:sz w:val="20"/>
          <w:szCs w:val="20"/>
        </w:rPr>
        <w:t xml:space="preserve"> date of the Original Merger Agreement through the closing date, and, as a result of the foregoing determination, the Buyer Group took the position that such closing condition could not be satisfied. Accordingly, the Buyer Group advised the Special Committ</w:t>
      </w:r>
      <w:r>
        <w:rPr>
          <w:sz w:val="20"/>
          <w:szCs w:val="20"/>
        </w:rPr>
        <w:t>ee that it had the right not to consummate the Merger under the terms of the Original Merger Agreement and that the Buyer Group would neither attend nor cast votes at the Original EGM. Notwithstanding the foregoing, the Buyer Group expressed its willingnes</w:t>
      </w:r>
      <w:r>
        <w:rPr>
          <w:sz w:val="20"/>
          <w:szCs w:val="20"/>
        </w:rPr>
        <w:t>s to engage in good faith discussions with the Company to explore amending the transaction terms to facilitate a mutually acceptable resolution and the successful consummation of the Proposed Transaction.</w:t>
      </w:r>
    </w:p>
    <w:p w14:paraId="5A7805E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98861ED"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Later on the same date, the Special Committee con</w:t>
      </w:r>
      <w:r>
        <w:rPr>
          <w:sz w:val="20"/>
          <w:szCs w:val="20"/>
        </w:rPr>
        <w:t xml:space="preserve">vened a meeting via video conference with representatives of Gibson Dunn and Duff &amp; Phelps. Members of the Special Committee and representatives of Gibson Dunn and Duff &amp; Phelps extensively discussed the Buyer Group’s assertions in the Buyer Group Notice, </w:t>
      </w:r>
      <w:r>
        <w:rPr>
          <w:sz w:val="20"/>
          <w:szCs w:val="20"/>
        </w:rPr>
        <w:t>their implications for the Original EGM and the Proposed Transaction, and the Special Committee’s action plan. Following these discussions, the Special Committee instructed Gibson Dunn to prepare board resolutions approving the postponement of the Original</w:t>
      </w:r>
      <w:r>
        <w:rPr>
          <w:sz w:val="20"/>
          <w:szCs w:val="20"/>
        </w:rPr>
        <w:t xml:space="preserve"> EGM for the Board’s review and execution, as well as required documents to disclose and notify shareholders of the receipt of the Buyer Group Notice and the postponement of the Original EGM.</w:t>
      </w:r>
    </w:p>
    <w:p w14:paraId="102196D2"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3A3A1F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February 5, 2026, by unanimous written resolutions, the Boa</w:t>
      </w:r>
      <w:r>
        <w:rPr>
          <w:sz w:val="20"/>
          <w:szCs w:val="20"/>
        </w:rPr>
        <w:t>rd approved, among other things, the postponement of the Original EGM and the issuance of a notice to the Company’s shareholders announcing such postponement.</w:t>
      </w:r>
    </w:p>
    <w:p w14:paraId="6789A35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64B874A" w14:textId="77777777" w:rsidR="00000000" w:rsidRDefault="002F725F">
      <w:pPr>
        <w:pStyle w:val="NormalWeb"/>
        <w:spacing w:before="0" w:beforeAutospacing="0" w:after="0" w:afterAutospacing="0"/>
        <w:jc w:val="center"/>
        <w:divId w:val="281112447"/>
        <w:rPr>
          <w:sz w:val="20"/>
          <w:szCs w:val="20"/>
        </w:rPr>
      </w:pPr>
      <w:r>
        <w:rPr>
          <w:sz w:val="20"/>
          <w:szCs w:val="20"/>
        </w:rPr>
        <w:t>2</w:t>
      </w:r>
      <w:r>
        <w:rPr>
          <w:sz w:val="20"/>
          <w:szCs w:val="20"/>
        </w:rPr>
        <w:t>5</w:t>
      </w:r>
    </w:p>
    <w:p w14:paraId="3A91D715" w14:textId="77777777" w:rsidR="00000000" w:rsidRDefault="002F725F">
      <w:pPr>
        <w:pStyle w:val="NormalWeb"/>
        <w:spacing w:before="0" w:beforeAutospacing="0" w:after="0" w:afterAutospacing="0"/>
        <w:divId w:val="390539561"/>
        <w:rPr>
          <w:sz w:val="20"/>
          <w:szCs w:val="20"/>
        </w:rPr>
      </w:pPr>
      <w:r>
        <w:rPr>
          <w:sz w:val="20"/>
          <w:szCs w:val="20"/>
        </w:rPr>
        <w:t> </w:t>
      </w:r>
    </w:p>
    <w:p w14:paraId="07F5191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0D1819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the same date, Liaoning </w:t>
      </w:r>
      <w:r>
        <w:rPr>
          <w:sz w:val="20"/>
          <w:szCs w:val="20"/>
        </w:rPr>
        <w:t>Yisheng filed applications with the Kaifeng Intermediate People’s Court in Henan Province seeking to set aside the Awards against it (collectively, the “Liaoning Yisheng Award Revocation Cases”).</w:t>
      </w:r>
    </w:p>
    <w:p w14:paraId="60657B0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02EDC4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the Buyer 13D Filing Persons joint</w:t>
      </w:r>
      <w:r>
        <w:rPr>
          <w:sz w:val="20"/>
          <w:szCs w:val="20"/>
        </w:rPr>
        <w:t>ly filed an amendment to the Schedule 13D with the SEC in connection with the Buyer Group’s notice and position above.</w:t>
      </w:r>
    </w:p>
    <w:p w14:paraId="10C60E0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914E1C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February 6, 2026, the Company issued a press release announcing its receipt of the Buyer Group Notice and its decision to postpone t</w:t>
      </w:r>
      <w:r>
        <w:rPr>
          <w:sz w:val="20"/>
          <w:szCs w:val="20"/>
        </w:rPr>
        <w:t>he Original EGM, together with a corresponding notice of postponement of the Original EGM, and furnished the press release and the notice of postponement as exhibits to its current report on Form 6-K with the SEC.</w:t>
      </w:r>
    </w:p>
    <w:p w14:paraId="51269B2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11C38A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February 7, 2026, Adjuvant Capital em</w:t>
      </w:r>
      <w:r>
        <w:rPr>
          <w:sz w:val="20"/>
          <w:szCs w:val="20"/>
        </w:rPr>
        <w:t>ailed White &amp; Case to inquire about the current status and the proposed next step.</w:t>
      </w:r>
    </w:p>
    <w:p w14:paraId="42B5818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83720B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February 10, 2026, the Shenyang Intermediate People’s Court in Liaoning Province notified the Company that it had accepted for filing the Arbitration Claimants’ applica</w:t>
      </w:r>
      <w:r>
        <w:rPr>
          <w:sz w:val="20"/>
          <w:szCs w:val="20"/>
        </w:rPr>
        <w:t>tions to enforce the Awards against Liaoning Yisheng.</w:t>
      </w:r>
    </w:p>
    <w:p w14:paraId="05EECBF3" w14:textId="77777777" w:rsidR="00000000" w:rsidRDefault="002F725F">
      <w:pPr>
        <w:pStyle w:val="NormalWeb"/>
        <w:spacing w:before="0" w:beforeAutospacing="0" w:after="0" w:afterAutospacing="0"/>
        <w:ind w:firstLine="720"/>
        <w:jc w:val="both"/>
        <w:divId w:val="415980837"/>
        <w:rPr>
          <w:sz w:val="20"/>
          <w:szCs w:val="20"/>
        </w:rPr>
      </w:pPr>
      <w:r>
        <w:rPr>
          <w:b/>
          <w:bCs/>
          <w:i/>
          <w:iCs/>
          <w:sz w:val="20"/>
          <w:szCs w:val="20"/>
        </w:rPr>
        <w:t> </w:t>
      </w:r>
    </w:p>
    <w:p w14:paraId="3512D6F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February 12, 2026, Liaoning Yisheng filed applications with the Shenyang Intermediate People’s Court seeking to suspend enforcement of the Awards against it.</w:t>
      </w:r>
    </w:p>
    <w:p w14:paraId="2ECE53B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C6F83D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March 18, 2026, representatives of</w:t>
      </w:r>
      <w:r>
        <w:rPr>
          <w:sz w:val="20"/>
          <w:szCs w:val="20"/>
        </w:rPr>
        <w:t xml:space="preserve"> Gibson Dunn and White &amp; Case convened a meeting via video conference with representatives of Huamao &amp; Guigu Law Firm (“HMGG”), PRC legal counsel to the Company in connection with the proceedings to set aside or resist enforcement of the Awards (the “Award</w:t>
      </w:r>
      <w:r>
        <w:rPr>
          <w:sz w:val="20"/>
          <w:szCs w:val="20"/>
        </w:rPr>
        <w:t xml:space="preserve"> Proceedings”), during which HMGG shared its views on the estimated timeframe and likelihood of success of the Award Proceedings.</w:t>
      </w:r>
    </w:p>
    <w:p w14:paraId="1D2133C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DCB67D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March 20, 2026, the Liaoning Yisheng Award Revocation Cases were heard before the Kaifeng Intermediate People’s Court.</w:t>
      </w:r>
    </w:p>
    <w:p w14:paraId="1F5BEFE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50E9B3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Later on the same date, representatives of Adjuvant Capital and White &amp; Case convened a meeting via virtual conference to discuss the current status and the Sponsor’s proposed next step, during which Adjuvant Capital expressed its willingness to remain as </w:t>
      </w:r>
      <w:r>
        <w:rPr>
          <w:sz w:val="20"/>
          <w:szCs w:val="20"/>
        </w:rPr>
        <w:t>a member of the Buyer Group.</w:t>
      </w:r>
    </w:p>
    <w:p w14:paraId="3C64D52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352536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March 22, 2026, representatives of the Sponsor instructed White &amp; Case to prepare a revised non-binding proposal letter reflecting a reduced per Share merger consideration of US$0.06, taking into consideration, among other</w:t>
      </w:r>
      <w:r>
        <w:rPr>
          <w:sz w:val="20"/>
          <w:szCs w:val="20"/>
        </w:rPr>
        <w:t xml:space="preserve"> things, the substantial monetary liabilities of approximately RMB576.5 million imposed by the Awards, the low likelihood of successfully challenging the Awards before a competent PRC court, the significant uncertainty and time </w:t>
      </w:r>
      <w:r>
        <w:rPr>
          <w:sz w:val="20"/>
          <w:szCs w:val="20"/>
        </w:rPr>
        <w:lastRenderedPageBreak/>
        <w:t>associated with any such cha</w:t>
      </w:r>
      <w:r>
        <w:rPr>
          <w:sz w:val="20"/>
          <w:szCs w:val="20"/>
        </w:rPr>
        <w:t>llenge, and the depressed trading prices and very limited trading volume of the Shares on OTC Pink following the delisting of the Company’s securities from The Nasdaq Capital Market.</w:t>
      </w:r>
    </w:p>
    <w:p w14:paraId="0855365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811438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March 24, 2026, on behalf </w:t>
      </w:r>
      <w:r>
        <w:rPr>
          <w:sz w:val="20"/>
          <w:szCs w:val="20"/>
        </w:rPr>
        <w:t xml:space="preserve">of the Buyer Group, White &amp; Case submitted a revised non-binding proposal letter (the “March 24, 2026 Proposal”) to the Special Committee, pursuant to which Parent and Merger Sub proposed to reduce the per Share merger consideration as contemplated in the </w:t>
      </w:r>
      <w:r>
        <w:rPr>
          <w:sz w:val="20"/>
          <w:szCs w:val="20"/>
        </w:rPr>
        <w:t>Original Merger Agreement from US$0.90 to US$0.06, citing the substantial financial liabilities imposed by the Awards and the significant uncertainty, time and costs associated with any challenge thereto, while reaffirming the willingness to proceeding wit</w:t>
      </w:r>
      <w:r>
        <w:rPr>
          <w:sz w:val="20"/>
          <w:szCs w:val="20"/>
        </w:rPr>
        <w:t>h the revised transaction to provide the Unaffiliated Security Holders with an opportunity to realize value for their Shares.</w:t>
      </w:r>
    </w:p>
    <w:p w14:paraId="59585FC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E60679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March 25, 2026, the Special Committee convened a meeting via video conference with representatives of Gibson Dunn and Duff &amp; </w:t>
      </w:r>
      <w:r>
        <w:rPr>
          <w:sz w:val="20"/>
          <w:szCs w:val="20"/>
        </w:rPr>
        <w:t>Phelps. Gibson Dunn provided the Special Committee with an oral summary of the principal terms of the March 24, 2026 Proposal. The Special Committee and Gibson Dunn discussed the overall process and considerations for evaluating the March 24, 2026 Proposal</w:t>
      </w:r>
      <w:r>
        <w:rPr>
          <w:sz w:val="20"/>
          <w:szCs w:val="20"/>
        </w:rPr>
        <w:t xml:space="preserve"> in light of the Awards and the Award Proceedings. The Special Committee and Gibson Dunn further discussed the Special Committee’s fiduciary duties to the Company and its shareholders in relation to the March 24, 2026 Proposal and the Proposed Transaction.</w:t>
      </w:r>
      <w:r>
        <w:rPr>
          <w:sz w:val="20"/>
          <w:szCs w:val="20"/>
        </w:rPr>
        <w:t xml:space="preserve"> Duff &amp; Phelps then briefed the Special Committee on its work plan for financial due diligence and valuation analysis in connection with its evaluation of the March 24, 2026 Proposal. The Special Committee asked various questions regarding Duff &amp; Phelps’s </w:t>
      </w:r>
      <w:r>
        <w:rPr>
          <w:sz w:val="20"/>
          <w:szCs w:val="20"/>
        </w:rPr>
        <w:t>work plan, to which representatives of Duff &amp; Phelps responded.</w:t>
      </w:r>
    </w:p>
    <w:p w14:paraId="4372A1B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FB384A3" w14:textId="77777777" w:rsidR="00000000" w:rsidRDefault="002F725F">
      <w:pPr>
        <w:pStyle w:val="NormalWeb"/>
        <w:spacing w:before="0" w:beforeAutospacing="0" w:after="0" w:afterAutospacing="0"/>
        <w:jc w:val="center"/>
        <w:divId w:val="711882070"/>
        <w:rPr>
          <w:sz w:val="20"/>
          <w:szCs w:val="20"/>
        </w:rPr>
      </w:pPr>
      <w:r>
        <w:rPr>
          <w:sz w:val="20"/>
          <w:szCs w:val="20"/>
        </w:rPr>
        <w:t>2</w:t>
      </w:r>
      <w:r>
        <w:rPr>
          <w:sz w:val="20"/>
          <w:szCs w:val="20"/>
        </w:rPr>
        <w:t>6</w:t>
      </w:r>
    </w:p>
    <w:p w14:paraId="44F424CD" w14:textId="77777777" w:rsidR="00000000" w:rsidRDefault="002F725F">
      <w:pPr>
        <w:pStyle w:val="NormalWeb"/>
        <w:spacing w:before="0" w:beforeAutospacing="0" w:after="0" w:afterAutospacing="0"/>
        <w:divId w:val="416756310"/>
        <w:rPr>
          <w:sz w:val="20"/>
          <w:szCs w:val="20"/>
        </w:rPr>
      </w:pPr>
      <w:r>
        <w:rPr>
          <w:sz w:val="20"/>
          <w:szCs w:val="20"/>
        </w:rPr>
        <w:t> </w:t>
      </w:r>
    </w:p>
    <w:p w14:paraId="6534A02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EF1675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the Company issued a press release announcing its receipt of the March 24, 2026 Proposal, and furnished the press release as an exhibit to its current report o</w:t>
      </w:r>
      <w:r>
        <w:rPr>
          <w:sz w:val="20"/>
          <w:szCs w:val="20"/>
        </w:rPr>
        <w:t>n Form 6-K with the SEC.</w:t>
      </w:r>
    </w:p>
    <w:p w14:paraId="7E1646A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7A14A8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the Buyer 13D Filing Persons jointly filed an amendment to the Schedule 13D with the SEC in connection with the March 24, 2026 Proposal.</w:t>
      </w:r>
    </w:p>
    <w:p w14:paraId="41B549E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2E0FE7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March 31, 2026, the Special Committee convened a meeting via vi</w:t>
      </w:r>
      <w:r>
        <w:rPr>
          <w:sz w:val="20"/>
          <w:szCs w:val="20"/>
        </w:rPr>
        <w:t>deo conference with representatives of Gibson Dunn and Duff &amp; Phelps. The Special Committee and Gibson Dunn discussed the implications of the Awards and the Award Proceedings on the Proposed Transaction. Following this discussion, the Special Committee ins</w:t>
      </w:r>
      <w:r>
        <w:rPr>
          <w:sz w:val="20"/>
          <w:szCs w:val="20"/>
        </w:rPr>
        <w:t>tructed Gibson Dunn to conduct a precedent search of comparable transactions and to liaise with White &amp; Case regarding potential amendments to the transaction documents. Duff &amp; Phelps provided an oral update to the Special Committee on its work plan for fi</w:t>
      </w:r>
      <w:r>
        <w:rPr>
          <w:sz w:val="20"/>
          <w:szCs w:val="20"/>
        </w:rPr>
        <w:t>nancial due diligence and valuation analysis in connection with its evaluation of the March 24, 2026 Proposal. Following discussions, the Special Committee authorized Duff &amp; Phelps to proceed with financial due diligence on the Company.</w:t>
      </w:r>
    </w:p>
    <w:p w14:paraId="6C8F8D2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A27BEA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April 1, 2026,</w:t>
      </w:r>
      <w:r>
        <w:rPr>
          <w:sz w:val="20"/>
          <w:szCs w:val="20"/>
        </w:rPr>
        <w:t xml:space="preserve"> the Board passed unanimous written resolutions to approve the amendment and restatement of the Special Committee charter to update the compensation arrangements of the Special Committee members in light of the March 24, 2026 Proposal, with the power and a</w:t>
      </w:r>
      <w:r>
        <w:rPr>
          <w:sz w:val="20"/>
          <w:szCs w:val="20"/>
        </w:rPr>
        <w:t>uthority of the Special Committee remaining unchanged.</w:t>
      </w:r>
    </w:p>
    <w:p w14:paraId="41CAF00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168109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According to publicly available information, on April 8, 2026, the Beijing No. 2 Intermediate People’s Court accepted for filing an application by Beijing Yisheng Xingye Technology Co., Ltd. to enfor</w:t>
      </w:r>
      <w:r>
        <w:rPr>
          <w:sz w:val="20"/>
          <w:szCs w:val="20"/>
        </w:rPr>
        <w:t>ce the Awards against Beijing Yisheng.</w:t>
      </w:r>
    </w:p>
    <w:p w14:paraId="30506F7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8D09AB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the same date, Gibson Dunn received a letter from Conyers Dill &amp; Pearman LLP (the “Letter”), on behalf of Mr. Yi Zhang, a shareholder of the Company, which expresses Mr. Zhang’s opposition to the March 24, 2026 P</w:t>
      </w:r>
      <w:r>
        <w:rPr>
          <w:sz w:val="20"/>
          <w:szCs w:val="20"/>
        </w:rPr>
        <w:t>roposal, and asserts that it would be inappropriate for the Proposed Transaction to proceed prior to the determination of the ongoing proceedings in the Cayman Islands concerning the ownership of the Company, as reflected in the Re-Amended Statement of Cla</w:t>
      </w:r>
      <w:r>
        <w:rPr>
          <w:sz w:val="20"/>
          <w:szCs w:val="20"/>
        </w:rPr>
        <w:t>im in FSD 318 of 2024 enclosed with the Letter, a case that was previously disclosed in the Company’s Form 20-F filed with the SEC on July 31, 2025. Gibson Dunn promptly shared the Letter with the Special Committee and Maples.</w:t>
      </w:r>
    </w:p>
    <w:p w14:paraId="15CD508E"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p w14:paraId="00980FC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Whi</w:t>
      </w:r>
      <w:r>
        <w:rPr>
          <w:sz w:val="20"/>
          <w:szCs w:val="20"/>
        </w:rPr>
        <w:t>te &amp; Case circulated the initial drafts of Amendment No. 1 to the Merger Agreement, and the amended and restated equity commitment letter, the amended and restated limited guarantee and the amended and restated rollover and support agreement (collectively,</w:t>
      </w:r>
      <w:r>
        <w:rPr>
          <w:sz w:val="20"/>
          <w:szCs w:val="20"/>
        </w:rPr>
        <w:t xml:space="preserve"> the “A&amp;R Ancillary Agreements”) to Gibson Dunn. In addition to reducing the merger consideration per Share from US$0.90 to US$0.06, the initial draft of Amendment No. 1 to the Merger Agreement also proposed setting the “parent termination fee” at US$75,00</w:t>
      </w:r>
      <w:r>
        <w:rPr>
          <w:sz w:val="20"/>
          <w:szCs w:val="20"/>
        </w:rPr>
        <w:t>0 and the “company termination fee” at US$37,500. </w:t>
      </w:r>
    </w:p>
    <w:p w14:paraId="64A24E5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1A41B8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the Special Committee convened a meeting via video conference with representatives of Gibson Dunn and Duff &amp; Phelps. Gibson Dunn briefed the Special Committee on the findings of i</w:t>
      </w:r>
      <w:r>
        <w:rPr>
          <w:sz w:val="20"/>
          <w:szCs w:val="20"/>
        </w:rPr>
        <w:t>ts precedent search of comparable transactions and the content of the Letter. The Special Committee and Gibson Dunn discussed the assertions set forth in the Letter and their potential implications for the Proposed Transaction. Following the discussion, th</w:t>
      </w:r>
      <w:r>
        <w:rPr>
          <w:sz w:val="20"/>
          <w:szCs w:val="20"/>
        </w:rPr>
        <w:t>e Special Committee directed Gibson Dunn to work with Maples to further assess the assertions in the Letter. Duff &amp; Phelps provided an oral update to the Special Committee on the progress of its financial due diligence and valuation analysis. The Special C</w:t>
      </w:r>
      <w:r>
        <w:rPr>
          <w:sz w:val="20"/>
          <w:szCs w:val="20"/>
        </w:rPr>
        <w:t>ommittee and Gibson Dunn further discussed the timetable for the Proposed Transaction, including with respect to the negotiation of the transaction documents.</w:t>
      </w:r>
    </w:p>
    <w:p w14:paraId="4FC1BB2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635933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April 10, 2026, Beijing Yisheng filed an application with the Kaifeng Intermediate People’s </w:t>
      </w:r>
      <w:r>
        <w:rPr>
          <w:sz w:val="20"/>
          <w:szCs w:val="20"/>
        </w:rPr>
        <w:t>Court seeking to set aside the Awards against it. A hearing in the matter is scheduled for May 12, 2026.</w:t>
      </w:r>
    </w:p>
    <w:p w14:paraId="605DB33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5B0559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April 15, 2026, the Special </w:t>
      </w:r>
      <w:r>
        <w:rPr>
          <w:sz w:val="20"/>
          <w:szCs w:val="20"/>
        </w:rPr>
        <w:t>Committee convened a meeting via video conference with representatives of Gibson Dunn and Duff &amp; Phelps. Duff &amp; Phelps provided an oral update to the Special Committee on the progress of its financial due diligence and valuation analysis. Gibson Dunn brief</w:t>
      </w:r>
      <w:r>
        <w:rPr>
          <w:sz w:val="20"/>
          <w:szCs w:val="20"/>
        </w:rPr>
        <w:t>ed the Special Committee on the outstanding issues on the transaction documents and Maples’ assessment of the Letter. The Special Committee, Gibson Dunn and Duff &amp; Phelps also revisited the timetable for the Proposed Transaction.</w:t>
      </w:r>
    </w:p>
    <w:p w14:paraId="58CF4B5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389C37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April 22, 2026, HMGG </w:t>
      </w:r>
      <w:r>
        <w:rPr>
          <w:sz w:val="20"/>
          <w:szCs w:val="20"/>
        </w:rPr>
        <w:t>provided the Special Committee with a written analysis, dated as of April 20, 2026, of the estimated timeframe and likelihood of success of the Award Proceedings.</w:t>
      </w:r>
    </w:p>
    <w:p w14:paraId="771B651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101450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Later on the same date, the Special Committee convened a meeting via video conference with </w:t>
      </w:r>
      <w:r>
        <w:rPr>
          <w:sz w:val="20"/>
          <w:szCs w:val="20"/>
        </w:rPr>
        <w:t>representatives of Gibson Dunn and Duff &amp; Phelps. Duff &amp; Phelps provided an oral update on the progress of its valuation analysis. The Special Committee, Gibson Dunn and Duff &amp; Phelps then discussed the status of the Award Proceedings and the timetable for</w:t>
      </w:r>
      <w:r>
        <w:rPr>
          <w:sz w:val="20"/>
          <w:szCs w:val="20"/>
        </w:rPr>
        <w:t xml:space="preserve"> the Proposed Transaction.</w:t>
      </w:r>
    </w:p>
    <w:p w14:paraId="58C1B6C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A8E6BD4" w14:textId="77777777" w:rsidR="00000000" w:rsidRDefault="002F725F">
      <w:pPr>
        <w:pStyle w:val="NormalWeb"/>
        <w:spacing w:before="0" w:beforeAutospacing="0" w:after="0" w:afterAutospacing="0"/>
        <w:jc w:val="center"/>
        <w:divId w:val="814836832"/>
        <w:rPr>
          <w:sz w:val="20"/>
          <w:szCs w:val="20"/>
        </w:rPr>
      </w:pPr>
      <w:r>
        <w:rPr>
          <w:sz w:val="20"/>
          <w:szCs w:val="20"/>
        </w:rPr>
        <w:t>2</w:t>
      </w:r>
      <w:r>
        <w:rPr>
          <w:sz w:val="20"/>
          <w:szCs w:val="20"/>
        </w:rPr>
        <w:t>7</w:t>
      </w:r>
    </w:p>
    <w:p w14:paraId="64CB74F0" w14:textId="77777777" w:rsidR="00000000" w:rsidRDefault="002F725F">
      <w:pPr>
        <w:pStyle w:val="NormalWeb"/>
        <w:spacing w:before="0" w:beforeAutospacing="0" w:after="0" w:afterAutospacing="0"/>
        <w:divId w:val="1191188233"/>
        <w:rPr>
          <w:sz w:val="20"/>
          <w:szCs w:val="20"/>
        </w:rPr>
      </w:pPr>
      <w:r>
        <w:rPr>
          <w:sz w:val="20"/>
          <w:szCs w:val="20"/>
        </w:rPr>
        <w:t> </w:t>
      </w:r>
    </w:p>
    <w:p w14:paraId="6C51FB9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02ED3D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Beijing Yisheng filed an application with the Beijing No. 2 Intermediate People’s Court seeking to suspend enforcement of the Awards against it.</w:t>
      </w:r>
    </w:p>
    <w:p w14:paraId="3F8180E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63ACE5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April 23, 2026, the Special Committee convened</w:t>
      </w:r>
      <w:r>
        <w:rPr>
          <w:sz w:val="20"/>
          <w:szCs w:val="20"/>
        </w:rPr>
        <w:t xml:space="preserve"> a meeting via video conference with representatives of Gibson Dunn, Duff &amp; Phelps, and HMGG. At the request of the Special Committee, HMGG provided an oral summary of its opinion regarding the Award Proceedings, including the current status, merits of the</w:t>
      </w:r>
      <w:r>
        <w:rPr>
          <w:sz w:val="20"/>
          <w:szCs w:val="20"/>
        </w:rPr>
        <w:t xml:space="preserve"> claims, likelihood of success, anticipated timeline, and proposed action plan. The Special Committee and Gibson Dunn also discussed the implications of these proceedings on the Proposed Transaction.</w:t>
      </w:r>
    </w:p>
    <w:p w14:paraId="790A06A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0AE90A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April 25, 2026, at the direction and on behalf of t</w:t>
      </w:r>
      <w:r>
        <w:rPr>
          <w:sz w:val="20"/>
          <w:szCs w:val="20"/>
        </w:rPr>
        <w:t>he Special Committee, Duff &amp; Phelps emailed White &amp; Case requesting that the Buyer Group submit a revised offer with an increased purchase price.</w:t>
      </w:r>
    </w:p>
    <w:p w14:paraId="13F0624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7F6670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April 27, 2026, on behalf of Parent and Merger Sub, White &amp; Case responded to the Special Committee, Duff</w:t>
      </w:r>
      <w:r>
        <w:rPr>
          <w:sz w:val="20"/>
          <w:szCs w:val="20"/>
        </w:rPr>
        <w:t xml:space="preserve"> &amp; Phelps and Gibson Dunn via email that, while Parent and Merger Sub had carefully considered the factors raised by the Special Committee in connection with its request for an increase to the per Share merger consideration of US$0.06 proposed in the March</w:t>
      </w:r>
      <w:r>
        <w:rPr>
          <w:sz w:val="20"/>
          <w:szCs w:val="20"/>
        </w:rPr>
        <w:t xml:space="preserve"> 24, 2026 Proposal, Parent and Merger Sub believed that their revised offer price </w:t>
      </w:r>
      <w:r>
        <w:rPr>
          <w:sz w:val="20"/>
          <w:szCs w:val="20"/>
        </w:rPr>
        <w:lastRenderedPageBreak/>
        <w:t>already reflected a fair and compelling value for the Company’s shareholders in light of significant countervailing factors, including the Company’s concentrated product line</w:t>
      </w:r>
      <w:r>
        <w:rPr>
          <w:sz w:val="20"/>
          <w:szCs w:val="20"/>
        </w:rPr>
        <w:t xml:space="preserve"> and operational challenges, the adverse change in applicable VAT rates effective January 1, 2026, and the substantial risks posed by the outstanding Awards. Notwithstanding the foregoing, and in the interest of providing the shareholders of the Company wi</w:t>
      </w:r>
      <w:r>
        <w:rPr>
          <w:sz w:val="20"/>
          <w:szCs w:val="20"/>
        </w:rPr>
        <w:t>th enhanced and timely value, Parent and Merger Sub proposed to increase the per Share merger consideration to US$0.066 per Share in cash, representing a 10% increase over the price set forth in the March 24, 2026 Proposal.</w:t>
      </w:r>
    </w:p>
    <w:p w14:paraId="12DB445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0D9C4C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repres</w:t>
      </w:r>
      <w:r>
        <w:rPr>
          <w:sz w:val="20"/>
          <w:szCs w:val="20"/>
        </w:rPr>
        <w:t>entatives of Gibson Dunn and White &amp; Case negotiated via telephone and reached substantial agreement on the outstanding issues in Amendment No. 1 to the Merger Agreement and the A&amp;R Ancillary Agreements, including extending the termination date after which</w:t>
      </w:r>
      <w:r>
        <w:rPr>
          <w:sz w:val="20"/>
          <w:szCs w:val="20"/>
        </w:rPr>
        <w:t xml:space="preserve"> the parties may terminate the Merger Agreement, and setting the termination fees payable by Parent and the Company at US$100,000 and US$50,000, respectively, subject to final approval by their respective clients.</w:t>
      </w:r>
    </w:p>
    <w:p w14:paraId="3D5ED3D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9F1DF3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April 28, 2026, the Special Committee</w:t>
      </w:r>
      <w:r>
        <w:rPr>
          <w:sz w:val="20"/>
          <w:szCs w:val="20"/>
        </w:rPr>
        <w:t xml:space="preserve"> convened a meeting via video conference with representatives of Gibson Dunn and Duff &amp; Phelps. Gibson Dunn updated the Special Committee that Gibson Dunn and White &amp; Case had substantially finalized the terms of Amendment No. 1 to the Merger Agreement and</w:t>
      </w:r>
      <w:r>
        <w:rPr>
          <w:sz w:val="20"/>
          <w:szCs w:val="20"/>
        </w:rPr>
        <w:t xml:space="preserve"> the A&amp;R Ancillary Agreements, subject to approval by the Special Committee and the Board. At the request of the Special Committee, Duff &amp; Phelps made a financial presentation to the Special Committee in connection with issuing its fairness opinion. Duff &amp;</w:t>
      </w:r>
      <w:r>
        <w:rPr>
          <w:sz w:val="20"/>
          <w:szCs w:val="20"/>
        </w:rPr>
        <w:t xml:space="preserve"> Phelps discussed the Company’s financial performance and historical share trading price and provided a summary of the various financial analyses it had performed. Thereafter, at the request of the Special Committee, Duff &amp; Phelps verbally rendered its opi</w:t>
      </w:r>
      <w:r>
        <w:rPr>
          <w:sz w:val="20"/>
          <w:szCs w:val="20"/>
        </w:rPr>
        <w:t>nion to the Special Committee (which was subsequently confirmed in writing by the delivery of Duff &amp; Phelps’s written opinion, dated April 28, 2026, addressed to the Special Committee) that, as of the date thereof and based upon and subject to the procedur</w:t>
      </w:r>
      <w:r>
        <w:rPr>
          <w:sz w:val="20"/>
          <w:szCs w:val="20"/>
        </w:rPr>
        <w:t>es followed, assumptions made, qualifications and limitations on the review undertaken and other matters considered by Duff &amp; Phelps in preparing its opinion, the merger consideration of US$0.066 per Share to be received by the holders of Shares (other tha</w:t>
      </w:r>
      <w:r>
        <w:rPr>
          <w:sz w:val="20"/>
          <w:szCs w:val="20"/>
        </w:rPr>
        <w:t>n the Excluded Shares and the Dissenting Shares) pursuant to the Merger Agreement was fair from a financial point of view to such holders. Please see “Special Factors—Opinion of the Special Committee’s Financial Advisor dated April 28, 2026” beginning on p</w:t>
      </w:r>
      <w:r>
        <w:rPr>
          <w:sz w:val="20"/>
          <w:szCs w:val="20"/>
        </w:rPr>
        <w:t>age 48 for additional information regarding the financial analysis performed by Duff &amp; Phelps and the opinion rendered by Duff &amp; Phelps to the Special Committee. Following a discussion of the terms of Amendment No. 1 to the Merger Agreement and the A&amp;R Anc</w:t>
      </w:r>
      <w:r>
        <w:rPr>
          <w:sz w:val="20"/>
          <w:szCs w:val="20"/>
        </w:rPr>
        <w:t>illary Agreements, as well as Duff &amp; Phelps’s presentation of its financial analyses and opinion, the Special Committee unanimously resolved to approve the proposed Merger Agreement, the Plan of Merger, the Equity Commitment Letter, the Support Agreement a</w:t>
      </w:r>
      <w:r>
        <w:rPr>
          <w:sz w:val="20"/>
          <w:szCs w:val="20"/>
        </w:rPr>
        <w:t>nd the Limited Guarantee, each substantially in the form of the drafts presented to the Special Committee, and the Transactions, and recommend that the Board authorize and approve the Merger Agreement, the Plan of Merger, and the consummation of the Transa</w:t>
      </w:r>
      <w:r>
        <w:rPr>
          <w:sz w:val="20"/>
          <w:szCs w:val="20"/>
        </w:rPr>
        <w:t>ctions.</w:t>
      </w:r>
    </w:p>
    <w:p w14:paraId="4F0DD6F7"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0FC975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Following the meeting of the Special Committee, the Board (other than Ms. Rui (Rachel) Yu, who recused herself from the Board meeting because she is a partner at Oceanpine Capital) convened a meeting via video conference, and based upon the unani</w:t>
      </w:r>
      <w:r>
        <w:rPr>
          <w:sz w:val="20"/>
          <w:szCs w:val="20"/>
        </w:rPr>
        <w:t>mous recommendation of the Special Committee, and taking into account the other factors described below under the heading titled “Special Factors—Reasons for the Merger and Recommendation of the Special Committee and the Board” beginning on page 29, the Bo</w:t>
      </w:r>
      <w:r>
        <w:rPr>
          <w:sz w:val="20"/>
          <w:szCs w:val="20"/>
        </w:rPr>
        <w:t>ard (other than Ms. Rui (Rachel) Yu who recused herself from the meeting of the Board and Dr. Hui (David) Shao who abstained from voting at the meeting of the Board) (i) determined and declared that the Merger, on the terms and subject to the conditions se</w:t>
      </w:r>
      <w:r>
        <w:rPr>
          <w:sz w:val="20"/>
          <w:szCs w:val="20"/>
        </w:rPr>
        <w:t>t forth in the Merger Agreement, was fair to, and in the best interests of, the Company and Unaffiliated Security Holders, and (ii) adopted resolutions approving the terms of the Merger Agreement, the Equity Commitment Letter, the Support Agreement, the Li</w:t>
      </w:r>
      <w:r>
        <w:rPr>
          <w:sz w:val="20"/>
          <w:szCs w:val="20"/>
        </w:rPr>
        <w:t>mited Guarantee and the transactions contemplated thereby.</w:t>
      </w:r>
    </w:p>
    <w:p w14:paraId="554808F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78C52A1" w14:textId="77777777" w:rsidR="00000000" w:rsidRDefault="002F725F">
      <w:pPr>
        <w:pStyle w:val="NormalWeb"/>
        <w:spacing w:before="0" w:beforeAutospacing="0" w:after="0" w:afterAutospacing="0"/>
        <w:jc w:val="center"/>
        <w:divId w:val="930311396"/>
        <w:rPr>
          <w:sz w:val="20"/>
          <w:szCs w:val="20"/>
        </w:rPr>
      </w:pPr>
      <w:r>
        <w:rPr>
          <w:sz w:val="20"/>
          <w:szCs w:val="20"/>
        </w:rPr>
        <w:t>2</w:t>
      </w:r>
      <w:r>
        <w:rPr>
          <w:sz w:val="20"/>
          <w:szCs w:val="20"/>
        </w:rPr>
        <w:t>8</w:t>
      </w:r>
    </w:p>
    <w:p w14:paraId="6D4ACA18" w14:textId="77777777" w:rsidR="00000000" w:rsidRDefault="002F725F">
      <w:pPr>
        <w:pStyle w:val="NormalWeb"/>
        <w:spacing w:before="0" w:beforeAutospacing="0" w:after="0" w:afterAutospacing="0"/>
        <w:divId w:val="403260938"/>
        <w:rPr>
          <w:sz w:val="20"/>
          <w:szCs w:val="20"/>
        </w:rPr>
      </w:pPr>
      <w:r>
        <w:rPr>
          <w:sz w:val="20"/>
          <w:szCs w:val="20"/>
        </w:rPr>
        <w:t> </w:t>
      </w:r>
    </w:p>
    <w:p w14:paraId="6937F23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254907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Later on the same date, Gibson Dunn circulated to White &amp; </w:t>
      </w:r>
      <w:r>
        <w:rPr>
          <w:sz w:val="20"/>
          <w:szCs w:val="20"/>
        </w:rPr>
        <w:t>Case its comments on the drafts of Amendment No. 1 to the Merger Agreement and the A&amp;R Ancillary Agreements, and Gibson Dunn and White &amp; Case finalized the execution versions of Amendment No. 1 to the Merger Agreement and the A&amp;R Ancillary Agreements.</w:t>
      </w:r>
    </w:p>
    <w:p w14:paraId="2137B0B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0839494"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On</w:t>
      </w:r>
      <w:r>
        <w:rPr>
          <w:sz w:val="20"/>
          <w:szCs w:val="20"/>
        </w:rPr>
        <w:t xml:space="preserve"> April 29, 2026, the Company, Parent and Merger Sub executed and delivered Amendment No. 1 to the Merger Agreement, and the relevant parties executed and delivered the A&amp;R Ancillary Agreements.</w:t>
      </w:r>
    </w:p>
    <w:p w14:paraId="02E7D6C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32717B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the Company issued a press release a</w:t>
      </w:r>
      <w:r>
        <w:rPr>
          <w:sz w:val="20"/>
          <w:szCs w:val="20"/>
        </w:rPr>
        <w:t>nnouncing the execution of Amendment No. 1 to the Merger Agreement and the A&amp;R Ancillary Agreements, and furnished the press release as an exhibit to its current report on Form 6-K with the SEC.</w:t>
      </w:r>
    </w:p>
    <w:p w14:paraId="5DC57A4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BF112D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Later on the same date, the Buyer 13D Filing Persons jointl</w:t>
      </w:r>
      <w:r>
        <w:rPr>
          <w:sz w:val="20"/>
          <w:szCs w:val="20"/>
        </w:rPr>
        <w:t>y filed an amendment to the Schedule 13D with the SEC in light of the entry into the amended agreements for the Proposed Transaction, including Amendment No. 1 to the Merger Agreement and the A&amp;R Ancillary Agreements.</w:t>
      </w:r>
    </w:p>
    <w:p w14:paraId="6A6CB78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7C93511" w14:textId="77777777" w:rsidR="00000000" w:rsidRDefault="002F725F">
      <w:pPr>
        <w:pStyle w:val="NormalWeb"/>
        <w:spacing w:before="0" w:beforeAutospacing="0" w:after="0" w:afterAutospacing="0"/>
        <w:jc w:val="both"/>
        <w:divId w:val="415980837"/>
        <w:rPr>
          <w:sz w:val="20"/>
          <w:szCs w:val="20"/>
        </w:rPr>
      </w:pPr>
      <w:r>
        <w:rPr>
          <w:b/>
          <w:bCs/>
          <w:sz w:val="20"/>
          <w:szCs w:val="20"/>
        </w:rPr>
        <w:t>Reasons for the Merger and Recommend</w:t>
      </w:r>
      <w:r>
        <w:rPr>
          <w:b/>
          <w:bCs/>
          <w:sz w:val="20"/>
          <w:szCs w:val="20"/>
        </w:rPr>
        <w:t>ation of the Special Committee and the Board</w:t>
      </w:r>
    </w:p>
    <w:p w14:paraId="2D05BF8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0910BD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Special Committee and the Board believe that, as a privately held entity, the Company’s management may have greater flexibility to focus on improving the Company’s long-term financial performance without t</w:t>
      </w:r>
      <w:r>
        <w:rPr>
          <w:sz w:val="20"/>
          <w:szCs w:val="20"/>
        </w:rPr>
        <w:t>he pressures created by the public equity market’s emphasis on short-term period-to-period financial performance.</w:t>
      </w:r>
    </w:p>
    <w:p w14:paraId="677FE54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08B10F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a meeting on April 28, 2026, the Special Committee, after consultation with its financial advisor and legal counsel and due consideration</w:t>
      </w:r>
      <w:r>
        <w:rPr>
          <w:sz w:val="20"/>
          <w:szCs w:val="20"/>
        </w:rPr>
        <w:t>, unanimously (a) determined that the Merger as contemplated in the Merger Agreement and the Plan of Merger is fair to and in the best interests of the Company and the Unaffiliated Security Holders, and it is advisable for the Company to enter into the Mer</w:t>
      </w:r>
      <w:r>
        <w:rPr>
          <w:sz w:val="20"/>
          <w:szCs w:val="20"/>
        </w:rPr>
        <w:t>ger Agreement, the Plan of Merger and to consummate the Transactions, and (b) recommended that the Board authorize and approve the Merger Agreement, the Plan of Merger, the Equity Commitment Letter, the Support Agreement, the Limited Guarantee and the cons</w:t>
      </w:r>
      <w:r>
        <w:rPr>
          <w:sz w:val="20"/>
          <w:szCs w:val="20"/>
        </w:rPr>
        <w:t>ummation of the Transactions.</w:t>
      </w:r>
    </w:p>
    <w:p w14:paraId="62175EA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595FA1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At a meeting on April 28, 2026, after careful consideration and upon the unanimous recommendation of the Special Committee, the Board (other than Ms. Rui (Rachel) Yu who recused herself from the Board meeting because she is </w:t>
      </w:r>
      <w:r>
        <w:rPr>
          <w:sz w:val="20"/>
          <w:szCs w:val="20"/>
        </w:rPr>
        <w:t>a partner at Oceanpine Capital, and Dr. Hui (David) Shao who abstained from voting at the meeting of the Board), (a) determined that the Merger as contemplated in the Merger Agreement and the Plan of Merger is fair to and in the best interests of the Compa</w:t>
      </w:r>
      <w:r>
        <w:rPr>
          <w:sz w:val="20"/>
          <w:szCs w:val="20"/>
        </w:rPr>
        <w:t>ny and the Unaffiliated Security Holders, and it is advisable for the Company to enter into the Merger Agreement and the Plan of Merger and to consummate the Transactions, (b) authorized and approved the execution, delivery and performance of the Merger Ag</w:t>
      </w:r>
      <w:r>
        <w:rPr>
          <w:sz w:val="20"/>
          <w:szCs w:val="20"/>
        </w:rPr>
        <w:t>reement, the Plan of Merger, the Equity Commitment Letter, the Support Agreement, the Limited Guarantee and the consummation of the Transactions, and (c) resolved to recommend the approval and authorization of the Merger Agreement, the Plan of Merger and t</w:t>
      </w:r>
      <w:r>
        <w:rPr>
          <w:sz w:val="20"/>
          <w:szCs w:val="20"/>
        </w:rPr>
        <w:t>he consummation of the Transactions to the shareholders of the Company, and directed that the Merger Agreement, the Plan of Merger and the consummation of the Transactions be submitted to a vote of the shareholders of the Company for authorization and appr</w:t>
      </w:r>
      <w:r>
        <w:rPr>
          <w:sz w:val="20"/>
          <w:szCs w:val="20"/>
        </w:rPr>
        <w:t>oval.</w:t>
      </w:r>
    </w:p>
    <w:p w14:paraId="55A90A2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0F6FE9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In the course of reaching their respective determinations, the Special Committee and the Board considered the following factors and potential benefits of the Merger, including the reduction in the Merger consideration, each of which the Special Com</w:t>
      </w:r>
      <w:r>
        <w:rPr>
          <w:sz w:val="20"/>
          <w:szCs w:val="20"/>
        </w:rPr>
        <w:t>mittee and the Board believe supported their decision to recommend the Merger Agreement and that the Merger is fair to the Unaffiliated Security Holders. These factors and potential benefits, which are not listed in any relative order of importance, are di</w:t>
      </w:r>
      <w:r>
        <w:rPr>
          <w:sz w:val="20"/>
          <w:szCs w:val="20"/>
        </w:rPr>
        <w:t>scussed below:</w:t>
      </w:r>
    </w:p>
    <w:p w14:paraId="2E91B5D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8004184" w14:textId="77777777">
        <w:trPr>
          <w:divId w:val="415980837"/>
          <w:tblCellSpacing w:w="0" w:type="dxa"/>
        </w:trPr>
        <w:tc>
          <w:tcPr>
            <w:tcW w:w="720" w:type="dxa"/>
            <w:hideMark/>
          </w:tcPr>
          <w:p w14:paraId="26F97117" w14:textId="77777777" w:rsidR="00000000" w:rsidRDefault="002F725F">
            <w:pPr>
              <w:rPr>
                <w:sz w:val="20"/>
                <w:szCs w:val="20"/>
              </w:rPr>
            </w:pPr>
          </w:p>
        </w:tc>
        <w:tc>
          <w:tcPr>
            <w:tcW w:w="360" w:type="dxa"/>
            <w:hideMark/>
          </w:tcPr>
          <w:p w14:paraId="4A74487C" w14:textId="77777777" w:rsidR="00000000" w:rsidRDefault="002F725F">
            <w:pPr>
              <w:rPr>
                <w:rFonts w:eastAsia="Times New Roman"/>
                <w:sz w:val="20"/>
                <w:szCs w:val="20"/>
              </w:rPr>
            </w:pPr>
            <w:r>
              <w:rPr>
                <w:rFonts w:eastAsia="Times New Roman"/>
                <w:sz w:val="20"/>
                <w:szCs w:val="20"/>
              </w:rPr>
              <w:t>●</w:t>
            </w:r>
          </w:p>
        </w:tc>
        <w:tc>
          <w:tcPr>
            <w:tcW w:w="0" w:type="auto"/>
            <w:hideMark/>
          </w:tcPr>
          <w:p w14:paraId="6A0DA1AC" w14:textId="77777777" w:rsidR="00000000" w:rsidRDefault="002F725F">
            <w:pPr>
              <w:jc w:val="both"/>
              <w:rPr>
                <w:rFonts w:eastAsia="Times New Roman"/>
                <w:sz w:val="20"/>
                <w:szCs w:val="20"/>
              </w:rPr>
            </w:pPr>
            <w:r>
              <w:rPr>
                <w:rFonts w:eastAsia="Times New Roman"/>
                <w:sz w:val="20"/>
                <w:szCs w:val="20"/>
              </w:rPr>
              <w:t>the Special Committee’s and the Board’s knowledge of the Company’s business, financial condition, results of operations, prospects and competitive position and their respective belief that the Merger is financially more favorable to the</w:t>
            </w:r>
            <w:r>
              <w:rPr>
                <w:rFonts w:eastAsia="Times New Roman"/>
                <w:sz w:val="20"/>
                <w:szCs w:val="20"/>
              </w:rPr>
              <w:t xml:space="preserve"> Unaffiliated Security Holders than any other alternative reasonably available to the Company and the Unaffiliated Security Holders;</w:t>
            </w:r>
          </w:p>
        </w:tc>
      </w:tr>
    </w:tbl>
    <w:p w14:paraId="2CDE2C5C"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55A4ACF" w14:textId="77777777">
        <w:trPr>
          <w:divId w:val="415980837"/>
          <w:tblCellSpacing w:w="0" w:type="dxa"/>
        </w:trPr>
        <w:tc>
          <w:tcPr>
            <w:tcW w:w="720" w:type="dxa"/>
            <w:hideMark/>
          </w:tcPr>
          <w:p w14:paraId="6258A33B" w14:textId="77777777" w:rsidR="00000000" w:rsidRDefault="002F725F">
            <w:pPr>
              <w:rPr>
                <w:rFonts w:eastAsia="Times New Roman"/>
                <w:sz w:val="20"/>
                <w:szCs w:val="20"/>
              </w:rPr>
            </w:pPr>
            <w:r>
              <w:rPr>
                <w:rFonts w:eastAsia="Times New Roman"/>
                <w:sz w:val="20"/>
                <w:szCs w:val="20"/>
              </w:rPr>
              <w:t> </w:t>
            </w:r>
          </w:p>
        </w:tc>
        <w:tc>
          <w:tcPr>
            <w:tcW w:w="360" w:type="dxa"/>
            <w:hideMark/>
          </w:tcPr>
          <w:p w14:paraId="7D7AF827" w14:textId="77777777" w:rsidR="00000000" w:rsidRDefault="002F725F">
            <w:pPr>
              <w:rPr>
                <w:rFonts w:eastAsia="Times New Roman"/>
                <w:sz w:val="20"/>
                <w:szCs w:val="20"/>
              </w:rPr>
            </w:pPr>
            <w:r>
              <w:rPr>
                <w:rFonts w:eastAsia="Times New Roman"/>
                <w:sz w:val="20"/>
                <w:szCs w:val="20"/>
              </w:rPr>
              <w:t>●</w:t>
            </w:r>
          </w:p>
        </w:tc>
        <w:tc>
          <w:tcPr>
            <w:tcW w:w="0" w:type="auto"/>
            <w:hideMark/>
          </w:tcPr>
          <w:p w14:paraId="718EFBAF" w14:textId="77777777" w:rsidR="00000000" w:rsidRDefault="002F725F">
            <w:pPr>
              <w:jc w:val="both"/>
              <w:rPr>
                <w:rFonts w:eastAsia="Times New Roman"/>
                <w:sz w:val="20"/>
                <w:szCs w:val="20"/>
              </w:rPr>
            </w:pPr>
            <w:r>
              <w:rPr>
                <w:rFonts w:eastAsia="Times New Roman"/>
                <w:sz w:val="20"/>
                <w:szCs w:val="20"/>
              </w:rPr>
              <w:t>factors relating to the reduction of the Per Share Merger Consideration from US$0.90 to US$0.066, including:</w:t>
            </w:r>
          </w:p>
        </w:tc>
      </w:tr>
    </w:tbl>
    <w:p w14:paraId="43F49FC5" w14:textId="77777777" w:rsidR="00000000" w:rsidRDefault="002F725F">
      <w:pPr>
        <w:pStyle w:val="NormalWeb"/>
        <w:spacing w:before="0" w:beforeAutospacing="0" w:after="0" w:afterAutospacing="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C1B6608" w14:textId="77777777">
        <w:trPr>
          <w:divId w:val="415980837"/>
          <w:tblCellSpacing w:w="0" w:type="dxa"/>
        </w:trPr>
        <w:tc>
          <w:tcPr>
            <w:tcW w:w="1080" w:type="dxa"/>
            <w:hideMark/>
          </w:tcPr>
          <w:p w14:paraId="1AA227BA" w14:textId="77777777" w:rsidR="00000000" w:rsidRDefault="002F725F">
            <w:pPr>
              <w:rPr>
                <w:rFonts w:eastAsia="Times New Roman"/>
                <w:sz w:val="20"/>
                <w:szCs w:val="20"/>
              </w:rPr>
            </w:pPr>
            <w:r>
              <w:rPr>
                <w:rFonts w:eastAsia="Times New Roman"/>
                <w:sz w:val="20"/>
                <w:szCs w:val="20"/>
              </w:rPr>
              <w:t> </w:t>
            </w:r>
          </w:p>
        </w:tc>
        <w:tc>
          <w:tcPr>
            <w:tcW w:w="360" w:type="dxa"/>
            <w:hideMark/>
          </w:tcPr>
          <w:p w14:paraId="59DAD845"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3BA7B6C5" w14:textId="77777777" w:rsidR="00000000" w:rsidRDefault="002F725F">
            <w:pPr>
              <w:jc w:val="both"/>
              <w:rPr>
                <w:rFonts w:eastAsia="Times New Roman"/>
                <w:sz w:val="20"/>
                <w:szCs w:val="20"/>
              </w:rPr>
            </w:pPr>
            <w:r>
              <w:rPr>
                <w:rFonts w:eastAsia="Times New Roman"/>
                <w:sz w:val="20"/>
                <w:szCs w:val="20"/>
              </w:rPr>
              <w:t>the issuance of the Awards and the resulting financial liability of approximately RMB576.5 million, which substantially exceeds the Company’</w:t>
            </w:r>
            <w:r>
              <w:rPr>
                <w:rFonts w:eastAsia="Times New Roman"/>
                <w:sz w:val="20"/>
                <w:szCs w:val="20"/>
              </w:rPr>
              <w:t>s equity value and is expected to materially and adversely affect the Company’s financial condition, business prospect and overall valuation, including potentially rendering the Company’s key operating subsidiaries unable to pay their debts when due;</w:t>
            </w:r>
          </w:p>
        </w:tc>
      </w:tr>
    </w:tbl>
    <w:p w14:paraId="3225F8CE"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4AF5E37A" w14:textId="77777777">
        <w:trPr>
          <w:divId w:val="415980837"/>
          <w:tblCellSpacing w:w="0" w:type="dxa"/>
        </w:trPr>
        <w:tc>
          <w:tcPr>
            <w:tcW w:w="1080" w:type="dxa"/>
            <w:hideMark/>
          </w:tcPr>
          <w:p w14:paraId="75C6BDA4" w14:textId="77777777" w:rsidR="00000000" w:rsidRDefault="002F725F">
            <w:pPr>
              <w:rPr>
                <w:rFonts w:eastAsia="Times New Roman"/>
                <w:sz w:val="20"/>
                <w:szCs w:val="20"/>
              </w:rPr>
            </w:pPr>
            <w:r>
              <w:rPr>
                <w:rFonts w:eastAsia="Times New Roman"/>
                <w:sz w:val="20"/>
                <w:szCs w:val="20"/>
              </w:rPr>
              <w:t> </w:t>
            </w:r>
          </w:p>
        </w:tc>
        <w:tc>
          <w:tcPr>
            <w:tcW w:w="360" w:type="dxa"/>
            <w:hideMark/>
          </w:tcPr>
          <w:p w14:paraId="64662F5E"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3F340D7A" w14:textId="77777777" w:rsidR="00000000" w:rsidRDefault="002F725F">
            <w:pPr>
              <w:jc w:val="both"/>
              <w:rPr>
                <w:rFonts w:eastAsia="Times New Roman"/>
                <w:sz w:val="20"/>
                <w:szCs w:val="20"/>
              </w:rPr>
            </w:pPr>
            <w:r>
              <w:rPr>
                <w:rFonts w:eastAsia="Times New Roman"/>
                <w:sz w:val="20"/>
                <w:szCs w:val="20"/>
              </w:rPr>
              <w:t xml:space="preserve">the low likelihood of successfully overturning or resisting enforcement of any arbitral awards in the PRC, as reflected in official judicial statistics and publicly available data and supported by HMGG’s analysis, and the substantial likelihood that the </w:t>
            </w:r>
            <w:r>
              <w:rPr>
                <w:rFonts w:eastAsia="Times New Roman"/>
                <w:sz w:val="20"/>
                <w:szCs w:val="20"/>
              </w:rPr>
              <w:t>Awards are most likely to be upheld and enforced against the Company’s operating subsidiaries;</w:t>
            </w:r>
          </w:p>
        </w:tc>
      </w:tr>
    </w:tbl>
    <w:p w14:paraId="5624973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4C9CEEE" w14:textId="77777777" w:rsidR="00000000" w:rsidRDefault="002F725F">
      <w:pPr>
        <w:pStyle w:val="NormalWeb"/>
        <w:spacing w:before="0" w:beforeAutospacing="0" w:after="0" w:afterAutospacing="0"/>
        <w:jc w:val="center"/>
        <w:divId w:val="1869104276"/>
        <w:rPr>
          <w:sz w:val="20"/>
          <w:szCs w:val="20"/>
        </w:rPr>
      </w:pPr>
      <w:r>
        <w:rPr>
          <w:sz w:val="20"/>
          <w:szCs w:val="20"/>
        </w:rPr>
        <w:t>2</w:t>
      </w:r>
      <w:r>
        <w:rPr>
          <w:sz w:val="20"/>
          <w:szCs w:val="20"/>
        </w:rPr>
        <w:t>9</w:t>
      </w:r>
    </w:p>
    <w:p w14:paraId="5D1451E8" w14:textId="77777777" w:rsidR="00000000" w:rsidRDefault="002F725F">
      <w:pPr>
        <w:pStyle w:val="NormalWeb"/>
        <w:spacing w:before="0" w:beforeAutospacing="0" w:after="0" w:afterAutospacing="0"/>
        <w:divId w:val="282201391"/>
        <w:rPr>
          <w:sz w:val="20"/>
          <w:szCs w:val="20"/>
        </w:rPr>
      </w:pPr>
      <w:r>
        <w:rPr>
          <w:sz w:val="20"/>
          <w:szCs w:val="20"/>
        </w:rPr>
        <w:t> </w:t>
      </w:r>
    </w:p>
    <w:p w14:paraId="6F971C20" w14:textId="77777777" w:rsidR="00000000" w:rsidRDefault="002F725F">
      <w:pPr>
        <w:pStyle w:val="NormalWeb"/>
        <w:spacing w:before="0" w:beforeAutospacing="0" w:after="0" w:afterAutospacing="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A633EA9" w14:textId="77777777">
        <w:trPr>
          <w:divId w:val="415980837"/>
          <w:tblCellSpacing w:w="0" w:type="dxa"/>
        </w:trPr>
        <w:tc>
          <w:tcPr>
            <w:tcW w:w="1080" w:type="dxa"/>
            <w:hideMark/>
          </w:tcPr>
          <w:p w14:paraId="131EF894" w14:textId="77777777" w:rsidR="00000000" w:rsidRDefault="002F725F">
            <w:pPr>
              <w:rPr>
                <w:rFonts w:eastAsia="Times New Roman"/>
                <w:sz w:val="20"/>
                <w:szCs w:val="20"/>
              </w:rPr>
            </w:pPr>
            <w:r>
              <w:rPr>
                <w:rFonts w:eastAsia="Times New Roman"/>
                <w:sz w:val="20"/>
                <w:szCs w:val="20"/>
              </w:rPr>
              <w:t> </w:t>
            </w:r>
          </w:p>
        </w:tc>
        <w:tc>
          <w:tcPr>
            <w:tcW w:w="360" w:type="dxa"/>
            <w:hideMark/>
          </w:tcPr>
          <w:p w14:paraId="26331079"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100BA91C" w14:textId="77777777" w:rsidR="00000000" w:rsidRDefault="002F725F">
            <w:pPr>
              <w:jc w:val="both"/>
              <w:rPr>
                <w:rFonts w:eastAsia="Times New Roman"/>
                <w:sz w:val="20"/>
                <w:szCs w:val="20"/>
              </w:rPr>
            </w:pPr>
            <w:r>
              <w:rPr>
                <w:rFonts w:eastAsia="Times New Roman"/>
                <w:sz w:val="20"/>
                <w:szCs w:val="20"/>
              </w:rPr>
              <w:t>the substantial decrease in the market price of the Shares from the closing price of US$0.85 per Share on January 28, 2026, the last trading day prior to the Company’s disclosure of the Awards on January 29, 2026, to a closing price of US$0.045 per Share o</w:t>
            </w:r>
            <w:r>
              <w:rPr>
                <w:rFonts w:eastAsia="Times New Roman"/>
                <w:sz w:val="20"/>
                <w:szCs w:val="20"/>
              </w:rPr>
              <w:t>n March 24, 2026, the last trading day prior to the Company’s announcement of its receipt of the March 24, 2026 Proposal on March 24, 2026; and</w:t>
            </w:r>
          </w:p>
        </w:tc>
      </w:tr>
    </w:tbl>
    <w:p w14:paraId="3C67A8AB" w14:textId="77777777" w:rsidR="00000000" w:rsidRDefault="002F725F">
      <w:pPr>
        <w:pStyle w:val="NormalWeb"/>
        <w:spacing w:before="0" w:beforeAutospacing="0" w:after="0" w:afterAutospacing="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90427BB" w14:textId="77777777">
        <w:trPr>
          <w:divId w:val="415980837"/>
          <w:tblCellSpacing w:w="0" w:type="dxa"/>
        </w:trPr>
        <w:tc>
          <w:tcPr>
            <w:tcW w:w="1080" w:type="dxa"/>
            <w:hideMark/>
          </w:tcPr>
          <w:p w14:paraId="6FBE88B3" w14:textId="77777777" w:rsidR="00000000" w:rsidRDefault="002F725F">
            <w:pPr>
              <w:rPr>
                <w:rFonts w:eastAsia="Times New Roman"/>
                <w:sz w:val="20"/>
                <w:szCs w:val="20"/>
              </w:rPr>
            </w:pPr>
            <w:r>
              <w:rPr>
                <w:rFonts w:eastAsia="Times New Roman"/>
                <w:sz w:val="20"/>
                <w:szCs w:val="20"/>
              </w:rPr>
              <w:t> </w:t>
            </w:r>
          </w:p>
        </w:tc>
        <w:tc>
          <w:tcPr>
            <w:tcW w:w="360" w:type="dxa"/>
            <w:hideMark/>
          </w:tcPr>
          <w:p w14:paraId="7B8F4065"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41A66F2F" w14:textId="77777777" w:rsidR="00000000" w:rsidRDefault="002F725F">
            <w:pPr>
              <w:jc w:val="both"/>
              <w:rPr>
                <w:rFonts w:eastAsia="Times New Roman"/>
                <w:sz w:val="20"/>
                <w:szCs w:val="20"/>
              </w:rPr>
            </w:pPr>
            <w:r>
              <w:rPr>
                <w:rFonts w:eastAsia="Times New Roman"/>
                <w:sz w:val="20"/>
                <w:szCs w:val="20"/>
              </w:rPr>
              <w:t>the significant uncertainty, complexity, time and costs associated with judicial proceedings necessary to</w:t>
            </w:r>
            <w:r>
              <w:rPr>
                <w:rFonts w:eastAsia="Times New Roman"/>
                <w:sz w:val="20"/>
                <w:szCs w:val="20"/>
              </w:rPr>
              <w:t xml:space="preserve"> challenge or resist enforcement of the Awards, including the risk of prolonged management distraction, reputational harm, increased legal and administrative expenses, constraints on liquidity and capital resources, and the potential deterioration of the C</w:t>
            </w:r>
            <w:r>
              <w:rPr>
                <w:rFonts w:eastAsia="Times New Roman"/>
                <w:sz w:val="20"/>
                <w:szCs w:val="20"/>
              </w:rPr>
              <w:t>ompany’s operations and business relationships during such period, such that, the Company’s financial condition, results of operation and equity value could continue to worsen as a result of being involved in these proceedings, which would likely impair it</w:t>
            </w:r>
            <w:r>
              <w:rPr>
                <w:rFonts w:eastAsia="Times New Roman"/>
                <w:sz w:val="20"/>
                <w:szCs w:val="20"/>
              </w:rPr>
              <w:t>s ability to pursue, negotiate or consummate alternative strategic transactions or otherwise realize value for its shareholders;</w:t>
            </w:r>
          </w:p>
        </w:tc>
      </w:tr>
    </w:tbl>
    <w:p w14:paraId="1F74F99E"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4171CD9" w14:textId="77777777">
        <w:trPr>
          <w:divId w:val="415980837"/>
          <w:tblCellSpacing w:w="0" w:type="dxa"/>
        </w:trPr>
        <w:tc>
          <w:tcPr>
            <w:tcW w:w="720" w:type="dxa"/>
            <w:hideMark/>
          </w:tcPr>
          <w:p w14:paraId="6598DD37" w14:textId="77777777" w:rsidR="00000000" w:rsidRDefault="002F725F">
            <w:pPr>
              <w:rPr>
                <w:sz w:val="20"/>
                <w:szCs w:val="20"/>
              </w:rPr>
            </w:pPr>
          </w:p>
        </w:tc>
        <w:tc>
          <w:tcPr>
            <w:tcW w:w="360" w:type="dxa"/>
            <w:hideMark/>
          </w:tcPr>
          <w:p w14:paraId="346B7760" w14:textId="77777777" w:rsidR="00000000" w:rsidRDefault="002F725F">
            <w:pPr>
              <w:rPr>
                <w:rFonts w:eastAsia="Times New Roman"/>
                <w:sz w:val="20"/>
                <w:szCs w:val="20"/>
              </w:rPr>
            </w:pPr>
            <w:r>
              <w:rPr>
                <w:rFonts w:eastAsia="Times New Roman"/>
                <w:sz w:val="20"/>
                <w:szCs w:val="20"/>
              </w:rPr>
              <w:t>●</w:t>
            </w:r>
          </w:p>
        </w:tc>
        <w:tc>
          <w:tcPr>
            <w:tcW w:w="0" w:type="auto"/>
            <w:hideMark/>
          </w:tcPr>
          <w:p w14:paraId="19CF6309" w14:textId="77777777" w:rsidR="00000000" w:rsidRDefault="002F725F">
            <w:pPr>
              <w:jc w:val="both"/>
              <w:rPr>
                <w:rFonts w:eastAsia="Times New Roman"/>
                <w:sz w:val="20"/>
                <w:szCs w:val="20"/>
              </w:rPr>
            </w:pPr>
            <w:r>
              <w:rPr>
                <w:rFonts w:eastAsia="Times New Roman"/>
                <w:sz w:val="20"/>
                <w:szCs w:val="20"/>
              </w:rPr>
              <w:t>the challenges faced by the Company, including, among other things:</w:t>
            </w:r>
          </w:p>
        </w:tc>
      </w:tr>
    </w:tbl>
    <w:p w14:paraId="45BA7CBC" w14:textId="77777777" w:rsidR="00000000" w:rsidRDefault="002F725F">
      <w:pPr>
        <w:pStyle w:val="NormalWeb"/>
        <w:spacing w:before="0" w:beforeAutospacing="0" w:after="0" w:afterAutospacing="0"/>
        <w:ind w:left="216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60E3E7E" w14:textId="77777777">
        <w:trPr>
          <w:divId w:val="415980837"/>
          <w:tblCellSpacing w:w="0" w:type="dxa"/>
        </w:trPr>
        <w:tc>
          <w:tcPr>
            <w:tcW w:w="1080" w:type="dxa"/>
            <w:hideMark/>
          </w:tcPr>
          <w:p w14:paraId="1E501237" w14:textId="77777777" w:rsidR="00000000" w:rsidRDefault="002F725F">
            <w:pPr>
              <w:rPr>
                <w:sz w:val="20"/>
                <w:szCs w:val="20"/>
              </w:rPr>
            </w:pPr>
          </w:p>
        </w:tc>
        <w:tc>
          <w:tcPr>
            <w:tcW w:w="360" w:type="dxa"/>
            <w:hideMark/>
          </w:tcPr>
          <w:p w14:paraId="00D77A43"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657A0B3E" w14:textId="77777777" w:rsidR="00000000" w:rsidRDefault="002F725F">
            <w:pPr>
              <w:jc w:val="both"/>
              <w:rPr>
                <w:rFonts w:eastAsia="Times New Roman"/>
                <w:sz w:val="20"/>
                <w:szCs w:val="20"/>
              </w:rPr>
            </w:pPr>
            <w:r>
              <w:rPr>
                <w:rFonts w:eastAsia="Times New Roman"/>
                <w:sz w:val="20"/>
                <w:szCs w:val="20"/>
              </w:rPr>
              <w:t>intense competition in the industries that the Company operates in, which could erode the Company’s growth potential and profitability and negatively impact the Company’s value;</w:t>
            </w:r>
          </w:p>
        </w:tc>
      </w:tr>
    </w:tbl>
    <w:p w14:paraId="3B80151B"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75C51B1" w14:textId="77777777">
        <w:trPr>
          <w:divId w:val="415980837"/>
          <w:tblCellSpacing w:w="0" w:type="dxa"/>
        </w:trPr>
        <w:tc>
          <w:tcPr>
            <w:tcW w:w="1080" w:type="dxa"/>
            <w:hideMark/>
          </w:tcPr>
          <w:p w14:paraId="3BB68287" w14:textId="77777777" w:rsidR="00000000" w:rsidRDefault="002F725F">
            <w:pPr>
              <w:rPr>
                <w:sz w:val="20"/>
                <w:szCs w:val="20"/>
              </w:rPr>
            </w:pPr>
          </w:p>
        </w:tc>
        <w:tc>
          <w:tcPr>
            <w:tcW w:w="360" w:type="dxa"/>
            <w:hideMark/>
          </w:tcPr>
          <w:p w14:paraId="63BA4716"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7C461338" w14:textId="77777777" w:rsidR="00000000" w:rsidRDefault="002F725F">
            <w:pPr>
              <w:jc w:val="both"/>
              <w:rPr>
                <w:rFonts w:eastAsia="Times New Roman"/>
                <w:sz w:val="20"/>
                <w:szCs w:val="20"/>
              </w:rPr>
            </w:pPr>
            <w:r>
              <w:rPr>
                <w:rFonts w:eastAsia="Times New Roman"/>
                <w:sz w:val="20"/>
                <w:szCs w:val="20"/>
              </w:rPr>
              <w:t>uncertainties regarding the ability of the Company to adapt to changes i</w:t>
            </w:r>
            <w:r>
              <w:rPr>
                <w:rFonts w:eastAsia="Times New Roman"/>
                <w:sz w:val="20"/>
                <w:szCs w:val="20"/>
              </w:rPr>
              <w:t>n market demand and public health conditions;</w:t>
            </w:r>
          </w:p>
        </w:tc>
      </w:tr>
    </w:tbl>
    <w:p w14:paraId="1BB6C101" w14:textId="77777777" w:rsidR="00000000" w:rsidRDefault="002F725F">
      <w:pPr>
        <w:pStyle w:val="NormalWeb"/>
        <w:spacing w:before="0" w:beforeAutospacing="0" w:after="0" w:afterAutospacing="0"/>
        <w:ind w:left="216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1D2FB50" w14:textId="77777777">
        <w:trPr>
          <w:divId w:val="415980837"/>
          <w:tblCellSpacing w:w="0" w:type="dxa"/>
        </w:trPr>
        <w:tc>
          <w:tcPr>
            <w:tcW w:w="1080" w:type="dxa"/>
            <w:hideMark/>
          </w:tcPr>
          <w:p w14:paraId="4D1704B3" w14:textId="77777777" w:rsidR="00000000" w:rsidRDefault="002F725F">
            <w:pPr>
              <w:rPr>
                <w:sz w:val="20"/>
                <w:szCs w:val="20"/>
              </w:rPr>
            </w:pPr>
          </w:p>
        </w:tc>
        <w:tc>
          <w:tcPr>
            <w:tcW w:w="360" w:type="dxa"/>
            <w:hideMark/>
          </w:tcPr>
          <w:p w14:paraId="071C2FDB"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5F649C74" w14:textId="77777777" w:rsidR="00000000" w:rsidRDefault="002F725F">
            <w:pPr>
              <w:jc w:val="both"/>
              <w:rPr>
                <w:rFonts w:eastAsia="Times New Roman"/>
                <w:sz w:val="20"/>
                <w:szCs w:val="20"/>
              </w:rPr>
            </w:pPr>
            <w:r>
              <w:rPr>
                <w:rFonts w:eastAsia="Times New Roman"/>
                <w:sz w:val="20"/>
                <w:szCs w:val="20"/>
              </w:rPr>
              <w:t>the dependence on one product, the YSJA</w:t>
            </w:r>
            <w:r>
              <w:rPr>
                <w:rFonts w:eastAsia="Times New Roman"/>
                <w:sz w:val="20"/>
                <w:szCs w:val="20"/>
                <w:vertAlign w:val="superscript"/>
              </w:rPr>
              <w:t>TM</w:t>
            </w:r>
            <w:r>
              <w:rPr>
                <w:rFonts w:eastAsia="Times New Roman"/>
                <w:sz w:val="20"/>
                <w:szCs w:val="20"/>
              </w:rPr>
              <w:t xml:space="preserve"> rabies vaccine, to generate substantially all of the Company’s revenue in the near term;</w:t>
            </w:r>
          </w:p>
        </w:tc>
      </w:tr>
    </w:tbl>
    <w:p w14:paraId="05FFF87E" w14:textId="77777777" w:rsidR="00000000" w:rsidRDefault="002F725F">
      <w:pPr>
        <w:pStyle w:val="NormalWeb"/>
        <w:spacing w:before="0" w:beforeAutospacing="0" w:after="0" w:afterAutospacing="0"/>
        <w:ind w:left="216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3EA27A3D" w14:textId="77777777">
        <w:trPr>
          <w:divId w:val="415980837"/>
          <w:tblCellSpacing w:w="0" w:type="dxa"/>
        </w:trPr>
        <w:tc>
          <w:tcPr>
            <w:tcW w:w="1080" w:type="dxa"/>
            <w:hideMark/>
          </w:tcPr>
          <w:p w14:paraId="47ECB7BD" w14:textId="77777777" w:rsidR="00000000" w:rsidRDefault="002F725F">
            <w:pPr>
              <w:rPr>
                <w:sz w:val="20"/>
                <w:szCs w:val="20"/>
              </w:rPr>
            </w:pPr>
          </w:p>
        </w:tc>
        <w:tc>
          <w:tcPr>
            <w:tcW w:w="360" w:type="dxa"/>
            <w:hideMark/>
          </w:tcPr>
          <w:p w14:paraId="5F51AFD1"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5BD2BCD1" w14:textId="77777777" w:rsidR="00000000" w:rsidRDefault="002F725F">
            <w:pPr>
              <w:jc w:val="both"/>
              <w:rPr>
                <w:rFonts w:eastAsia="Times New Roman"/>
                <w:sz w:val="20"/>
                <w:szCs w:val="20"/>
              </w:rPr>
            </w:pPr>
            <w:r>
              <w:rPr>
                <w:rFonts w:eastAsia="Times New Roman"/>
                <w:sz w:val="20"/>
                <w:szCs w:val="20"/>
              </w:rPr>
              <w:t>uncertainties regarding the ability of the Company to advance its p</w:t>
            </w:r>
            <w:r>
              <w:rPr>
                <w:rFonts w:eastAsia="Times New Roman"/>
                <w:sz w:val="20"/>
                <w:szCs w:val="20"/>
              </w:rPr>
              <w:t>roduct candidates through complex, costly, and uncertain development, manufacturing, and commercialization processes, all of which are subject to shifting priorities, external dependencies, and potential delays that could materially impact the Company’s bu</w:t>
            </w:r>
            <w:r>
              <w:rPr>
                <w:rFonts w:eastAsia="Times New Roman"/>
                <w:sz w:val="20"/>
                <w:szCs w:val="20"/>
              </w:rPr>
              <w:t>siness and financial outlook;</w:t>
            </w:r>
          </w:p>
        </w:tc>
      </w:tr>
    </w:tbl>
    <w:p w14:paraId="7A38479B" w14:textId="77777777" w:rsidR="00000000" w:rsidRDefault="002F725F">
      <w:pPr>
        <w:pStyle w:val="NormalWeb"/>
        <w:spacing w:before="0" w:beforeAutospacing="0" w:after="0" w:afterAutospacing="0"/>
        <w:ind w:left="216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06AC3928" w14:textId="77777777">
        <w:trPr>
          <w:divId w:val="415980837"/>
          <w:tblCellSpacing w:w="0" w:type="dxa"/>
        </w:trPr>
        <w:tc>
          <w:tcPr>
            <w:tcW w:w="1080" w:type="dxa"/>
            <w:hideMark/>
          </w:tcPr>
          <w:p w14:paraId="5C1FF028" w14:textId="77777777" w:rsidR="00000000" w:rsidRDefault="002F725F">
            <w:pPr>
              <w:rPr>
                <w:sz w:val="20"/>
                <w:szCs w:val="20"/>
              </w:rPr>
            </w:pPr>
          </w:p>
        </w:tc>
        <w:tc>
          <w:tcPr>
            <w:tcW w:w="360" w:type="dxa"/>
            <w:hideMark/>
          </w:tcPr>
          <w:p w14:paraId="504D0945"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366974A2" w14:textId="77777777" w:rsidR="00000000" w:rsidRDefault="002F725F">
            <w:pPr>
              <w:jc w:val="both"/>
              <w:rPr>
                <w:rFonts w:eastAsia="Times New Roman"/>
                <w:sz w:val="20"/>
                <w:szCs w:val="20"/>
              </w:rPr>
            </w:pPr>
            <w:r>
              <w:rPr>
                <w:rFonts w:eastAsia="Times New Roman"/>
                <w:sz w:val="20"/>
                <w:szCs w:val="20"/>
              </w:rPr>
              <w:t xml:space="preserve">uncertainties regarding the ability of the Company to navigate evolving and complex regulatory frameworks </w:t>
            </w:r>
            <w:r>
              <w:rPr>
                <w:rFonts w:eastAsia="Times New Roman"/>
                <w:sz w:val="20"/>
                <w:szCs w:val="20"/>
              </w:rPr>
              <w:t>and maintain compliance with manufacturing and safety standards, which may restrict the Company’s ability to develop, commercialize, and sustain its product portfolio;</w:t>
            </w:r>
          </w:p>
        </w:tc>
      </w:tr>
    </w:tbl>
    <w:p w14:paraId="18195FE4" w14:textId="77777777" w:rsidR="00000000" w:rsidRDefault="002F725F">
      <w:pPr>
        <w:pStyle w:val="NormalWeb"/>
        <w:spacing w:before="0" w:beforeAutospacing="0" w:after="0" w:afterAutospacing="0"/>
        <w:ind w:left="216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113495A" w14:textId="77777777">
        <w:trPr>
          <w:divId w:val="415980837"/>
          <w:tblCellSpacing w:w="0" w:type="dxa"/>
        </w:trPr>
        <w:tc>
          <w:tcPr>
            <w:tcW w:w="1080" w:type="dxa"/>
            <w:hideMark/>
          </w:tcPr>
          <w:p w14:paraId="208075B0" w14:textId="77777777" w:rsidR="00000000" w:rsidRDefault="002F725F">
            <w:pPr>
              <w:rPr>
                <w:sz w:val="20"/>
                <w:szCs w:val="20"/>
              </w:rPr>
            </w:pPr>
          </w:p>
        </w:tc>
        <w:tc>
          <w:tcPr>
            <w:tcW w:w="360" w:type="dxa"/>
            <w:hideMark/>
          </w:tcPr>
          <w:p w14:paraId="7B2F9BD4"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6C7A0B60" w14:textId="77777777" w:rsidR="00000000" w:rsidRDefault="002F725F">
            <w:pPr>
              <w:jc w:val="both"/>
              <w:rPr>
                <w:rFonts w:eastAsia="Times New Roman"/>
                <w:sz w:val="20"/>
                <w:szCs w:val="20"/>
              </w:rPr>
            </w:pPr>
            <w:r>
              <w:rPr>
                <w:rFonts w:eastAsia="Times New Roman"/>
                <w:sz w:val="20"/>
                <w:szCs w:val="20"/>
              </w:rPr>
              <w:t>ongoing financial pressures due to sustained losses, reliance on a single marketed</w:t>
            </w:r>
            <w:r>
              <w:rPr>
                <w:rFonts w:eastAsia="Times New Roman"/>
                <w:sz w:val="20"/>
                <w:szCs w:val="20"/>
              </w:rPr>
              <w:t xml:space="preserve"> product, substantial and increasing research, development and commercialization expenses, limited resources for pipeline expansion, and the need for additional funding to support product development and long-term profitability;</w:t>
            </w:r>
          </w:p>
        </w:tc>
      </w:tr>
    </w:tbl>
    <w:p w14:paraId="7BF1D5B0" w14:textId="77777777" w:rsidR="00000000" w:rsidRDefault="002F725F">
      <w:pPr>
        <w:pStyle w:val="NormalWeb"/>
        <w:spacing w:before="0" w:beforeAutospacing="0" w:after="0" w:afterAutospacing="0"/>
        <w:ind w:left="216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8BB09C4" w14:textId="77777777">
        <w:trPr>
          <w:divId w:val="415980837"/>
          <w:tblCellSpacing w:w="0" w:type="dxa"/>
        </w:trPr>
        <w:tc>
          <w:tcPr>
            <w:tcW w:w="1080" w:type="dxa"/>
            <w:hideMark/>
          </w:tcPr>
          <w:p w14:paraId="079FB288" w14:textId="77777777" w:rsidR="00000000" w:rsidRDefault="002F725F">
            <w:pPr>
              <w:rPr>
                <w:sz w:val="20"/>
                <w:szCs w:val="20"/>
              </w:rPr>
            </w:pPr>
          </w:p>
        </w:tc>
        <w:tc>
          <w:tcPr>
            <w:tcW w:w="360" w:type="dxa"/>
            <w:hideMark/>
          </w:tcPr>
          <w:p w14:paraId="1490CCF9"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12141D77" w14:textId="77777777" w:rsidR="00000000" w:rsidRDefault="002F725F">
            <w:pPr>
              <w:jc w:val="both"/>
              <w:rPr>
                <w:rFonts w:eastAsia="Times New Roman"/>
                <w:sz w:val="20"/>
                <w:szCs w:val="20"/>
              </w:rPr>
            </w:pPr>
            <w:r>
              <w:rPr>
                <w:rFonts w:eastAsia="Times New Roman"/>
                <w:sz w:val="20"/>
                <w:szCs w:val="20"/>
              </w:rPr>
              <w:t>potential adverse eff</w:t>
            </w:r>
            <w:r>
              <w:rPr>
                <w:rFonts w:eastAsia="Times New Roman"/>
                <w:sz w:val="20"/>
                <w:szCs w:val="20"/>
              </w:rPr>
              <w:t>ects on the Company’s business, financial condition and results of operations caused by macroeconomic environment in China and globally and the challenges in the macroeconomic environment; and</w:t>
            </w:r>
          </w:p>
        </w:tc>
      </w:tr>
    </w:tbl>
    <w:p w14:paraId="2A726C23" w14:textId="77777777" w:rsidR="00000000" w:rsidRDefault="002F725F">
      <w:pPr>
        <w:pStyle w:val="NormalWeb"/>
        <w:spacing w:before="0" w:beforeAutospacing="0" w:after="0" w:afterAutospacing="0"/>
        <w:ind w:left="216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773AA87D" w14:textId="77777777">
        <w:trPr>
          <w:divId w:val="415980837"/>
          <w:tblCellSpacing w:w="0" w:type="dxa"/>
        </w:trPr>
        <w:tc>
          <w:tcPr>
            <w:tcW w:w="1080" w:type="dxa"/>
            <w:hideMark/>
          </w:tcPr>
          <w:p w14:paraId="02AB3C95" w14:textId="77777777" w:rsidR="00000000" w:rsidRDefault="002F725F">
            <w:pPr>
              <w:rPr>
                <w:sz w:val="20"/>
                <w:szCs w:val="20"/>
              </w:rPr>
            </w:pPr>
          </w:p>
        </w:tc>
        <w:tc>
          <w:tcPr>
            <w:tcW w:w="360" w:type="dxa"/>
            <w:hideMark/>
          </w:tcPr>
          <w:p w14:paraId="7E3FC6A3"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6FB4695B" w14:textId="77777777" w:rsidR="00000000" w:rsidRDefault="002F725F">
            <w:pPr>
              <w:jc w:val="both"/>
              <w:rPr>
                <w:rFonts w:eastAsia="Times New Roman"/>
                <w:sz w:val="20"/>
                <w:szCs w:val="20"/>
              </w:rPr>
            </w:pPr>
            <w:r>
              <w:rPr>
                <w:rFonts w:eastAsia="Times New Roman"/>
                <w:sz w:val="20"/>
                <w:szCs w:val="20"/>
              </w:rPr>
              <w:t>recent volatility and uncertainties in global equity mark</w:t>
            </w:r>
            <w:r>
              <w:rPr>
                <w:rFonts w:eastAsia="Times New Roman"/>
                <w:sz w:val="20"/>
                <w:szCs w:val="20"/>
              </w:rPr>
              <w:t>ets;</w:t>
            </w:r>
          </w:p>
        </w:tc>
      </w:tr>
    </w:tbl>
    <w:p w14:paraId="205EBAEC"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AF6A604" w14:textId="77777777">
        <w:trPr>
          <w:divId w:val="415980837"/>
          <w:tblCellSpacing w:w="0" w:type="dxa"/>
        </w:trPr>
        <w:tc>
          <w:tcPr>
            <w:tcW w:w="720" w:type="dxa"/>
            <w:hideMark/>
          </w:tcPr>
          <w:p w14:paraId="6D35BEC8" w14:textId="77777777" w:rsidR="00000000" w:rsidRDefault="002F725F">
            <w:pPr>
              <w:rPr>
                <w:sz w:val="20"/>
                <w:szCs w:val="20"/>
              </w:rPr>
            </w:pPr>
          </w:p>
        </w:tc>
        <w:tc>
          <w:tcPr>
            <w:tcW w:w="360" w:type="dxa"/>
            <w:hideMark/>
          </w:tcPr>
          <w:p w14:paraId="41E4F0B3" w14:textId="77777777" w:rsidR="00000000" w:rsidRDefault="002F725F">
            <w:pPr>
              <w:rPr>
                <w:rFonts w:eastAsia="Times New Roman"/>
                <w:sz w:val="20"/>
                <w:szCs w:val="20"/>
              </w:rPr>
            </w:pPr>
            <w:r>
              <w:rPr>
                <w:rFonts w:eastAsia="Times New Roman"/>
                <w:sz w:val="20"/>
                <w:szCs w:val="20"/>
              </w:rPr>
              <w:t>●</w:t>
            </w:r>
          </w:p>
        </w:tc>
        <w:tc>
          <w:tcPr>
            <w:tcW w:w="0" w:type="auto"/>
            <w:hideMark/>
          </w:tcPr>
          <w:p w14:paraId="06F2C831" w14:textId="77777777" w:rsidR="00000000" w:rsidRDefault="002F725F">
            <w:pPr>
              <w:jc w:val="both"/>
              <w:rPr>
                <w:rFonts w:eastAsia="Times New Roman"/>
                <w:sz w:val="20"/>
                <w:szCs w:val="20"/>
              </w:rPr>
            </w:pPr>
            <w:r>
              <w:rPr>
                <w:rFonts w:eastAsia="Times New Roman"/>
                <w:sz w:val="20"/>
                <w:szCs w:val="20"/>
              </w:rPr>
              <w:t>the estimated forecasts of the Company’s future financial performance prepared by the Company’s management, together with the Company’s management’s view of the Company’</w:t>
            </w:r>
            <w:r>
              <w:rPr>
                <w:rFonts w:eastAsia="Times New Roman"/>
                <w:sz w:val="20"/>
                <w:szCs w:val="20"/>
              </w:rPr>
              <w:t>s financial condition, results of operations, business, prospects and competitive position;</w:t>
            </w:r>
          </w:p>
        </w:tc>
      </w:tr>
    </w:tbl>
    <w:p w14:paraId="534BB35B"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1F5CF4C" w14:textId="77777777">
        <w:trPr>
          <w:divId w:val="415980837"/>
          <w:tblCellSpacing w:w="0" w:type="dxa"/>
        </w:trPr>
        <w:tc>
          <w:tcPr>
            <w:tcW w:w="720" w:type="dxa"/>
            <w:hideMark/>
          </w:tcPr>
          <w:p w14:paraId="1A2C83FA" w14:textId="77777777" w:rsidR="00000000" w:rsidRDefault="002F725F">
            <w:pPr>
              <w:rPr>
                <w:sz w:val="20"/>
                <w:szCs w:val="20"/>
              </w:rPr>
            </w:pPr>
          </w:p>
        </w:tc>
        <w:tc>
          <w:tcPr>
            <w:tcW w:w="360" w:type="dxa"/>
            <w:hideMark/>
          </w:tcPr>
          <w:p w14:paraId="38CFC019" w14:textId="77777777" w:rsidR="00000000" w:rsidRDefault="002F725F">
            <w:pPr>
              <w:rPr>
                <w:rFonts w:eastAsia="Times New Roman"/>
                <w:sz w:val="20"/>
                <w:szCs w:val="20"/>
              </w:rPr>
            </w:pPr>
            <w:r>
              <w:rPr>
                <w:rFonts w:eastAsia="Times New Roman"/>
                <w:sz w:val="20"/>
                <w:szCs w:val="20"/>
              </w:rPr>
              <w:t>●</w:t>
            </w:r>
          </w:p>
        </w:tc>
        <w:tc>
          <w:tcPr>
            <w:tcW w:w="0" w:type="auto"/>
            <w:hideMark/>
          </w:tcPr>
          <w:p w14:paraId="1509545A" w14:textId="77777777" w:rsidR="00000000" w:rsidRDefault="002F725F">
            <w:pPr>
              <w:jc w:val="both"/>
              <w:rPr>
                <w:rFonts w:eastAsia="Times New Roman"/>
                <w:sz w:val="20"/>
                <w:szCs w:val="20"/>
              </w:rPr>
            </w:pPr>
            <w:r>
              <w:rPr>
                <w:rFonts w:eastAsia="Times New Roman"/>
                <w:sz w:val="20"/>
                <w:szCs w:val="20"/>
              </w:rPr>
              <w:t xml:space="preserve">the current and historical market prices of the Shares, and the fact that the Per Share Merger Consideration of US$0.066 offered to the Unaffiliated Security </w:t>
            </w:r>
            <w:r>
              <w:rPr>
                <w:rFonts w:eastAsia="Times New Roman"/>
                <w:sz w:val="20"/>
                <w:szCs w:val="20"/>
              </w:rPr>
              <w:t>Holders represents a premium of approximately 46.7% to the closing price of the Shares on March 24, 2026, the last trading day before the Company announced its receipt of the March 24, 2026 Proposal, and a premium of approximately 23.3% to the volume-weigh</w:t>
            </w:r>
            <w:r>
              <w:rPr>
                <w:rFonts w:eastAsia="Times New Roman"/>
                <w:sz w:val="20"/>
                <w:szCs w:val="20"/>
              </w:rPr>
              <w:t>ted average closing price of the Shares during the last 10 trading days prior to and including March 24, 2026;</w:t>
            </w:r>
          </w:p>
        </w:tc>
      </w:tr>
    </w:tbl>
    <w:p w14:paraId="6E1E5ED6"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EED17C3" w14:textId="77777777">
        <w:trPr>
          <w:divId w:val="415980837"/>
          <w:tblCellSpacing w:w="0" w:type="dxa"/>
        </w:trPr>
        <w:tc>
          <w:tcPr>
            <w:tcW w:w="720" w:type="dxa"/>
            <w:hideMark/>
          </w:tcPr>
          <w:p w14:paraId="1E293BD8" w14:textId="77777777" w:rsidR="00000000" w:rsidRDefault="002F725F">
            <w:pPr>
              <w:rPr>
                <w:rFonts w:eastAsia="Times New Roman"/>
                <w:sz w:val="20"/>
                <w:szCs w:val="20"/>
              </w:rPr>
            </w:pPr>
            <w:r>
              <w:rPr>
                <w:rFonts w:eastAsia="Times New Roman"/>
                <w:sz w:val="20"/>
                <w:szCs w:val="20"/>
              </w:rPr>
              <w:t> </w:t>
            </w:r>
          </w:p>
        </w:tc>
        <w:tc>
          <w:tcPr>
            <w:tcW w:w="360" w:type="dxa"/>
            <w:hideMark/>
          </w:tcPr>
          <w:p w14:paraId="2EE989F0" w14:textId="77777777" w:rsidR="00000000" w:rsidRDefault="002F725F">
            <w:pPr>
              <w:rPr>
                <w:rFonts w:eastAsia="Times New Roman"/>
                <w:sz w:val="20"/>
                <w:szCs w:val="20"/>
              </w:rPr>
            </w:pPr>
            <w:r>
              <w:rPr>
                <w:rFonts w:eastAsia="Times New Roman"/>
                <w:sz w:val="20"/>
                <w:szCs w:val="20"/>
              </w:rPr>
              <w:t>●</w:t>
            </w:r>
          </w:p>
        </w:tc>
        <w:tc>
          <w:tcPr>
            <w:tcW w:w="0" w:type="auto"/>
            <w:hideMark/>
          </w:tcPr>
          <w:p w14:paraId="505D8611" w14:textId="77777777" w:rsidR="00000000" w:rsidRDefault="002F725F">
            <w:pPr>
              <w:jc w:val="both"/>
              <w:rPr>
                <w:rFonts w:eastAsia="Times New Roman"/>
                <w:sz w:val="20"/>
                <w:szCs w:val="20"/>
              </w:rPr>
            </w:pPr>
            <w:r>
              <w:rPr>
                <w:rFonts w:eastAsia="Times New Roman"/>
                <w:sz w:val="20"/>
                <w:szCs w:val="20"/>
              </w:rPr>
              <w:t>the historical closing price of the Shares was as low as US$0.04 per Share (after giving effect to the 1-for-10 reverse stock split in Oct</w:t>
            </w:r>
            <w:r>
              <w:rPr>
                <w:rFonts w:eastAsia="Times New Roman"/>
                <w:sz w:val="20"/>
                <w:szCs w:val="20"/>
              </w:rPr>
              <w:t>ober 2024 by the Company) during the 52-week period prior to the date on which the Company announced its receipt of the March 24, 2026 Proposal;</w:t>
            </w:r>
          </w:p>
        </w:tc>
      </w:tr>
    </w:tbl>
    <w:p w14:paraId="58B568A8"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C3B7E08" w14:textId="77777777">
        <w:trPr>
          <w:divId w:val="415980837"/>
          <w:tblCellSpacing w:w="0" w:type="dxa"/>
        </w:trPr>
        <w:tc>
          <w:tcPr>
            <w:tcW w:w="720" w:type="dxa"/>
            <w:hideMark/>
          </w:tcPr>
          <w:p w14:paraId="427CE68C" w14:textId="77777777" w:rsidR="00000000" w:rsidRDefault="002F725F">
            <w:pPr>
              <w:rPr>
                <w:sz w:val="20"/>
                <w:szCs w:val="20"/>
              </w:rPr>
            </w:pPr>
          </w:p>
        </w:tc>
        <w:tc>
          <w:tcPr>
            <w:tcW w:w="360" w:type="dxa"/>
            <w:hideMark/>
          </w:tcPr>
          <w:p w14:paraId="4CA569D1" w14:textId="77777777" w:rsidR="00000000" w:rsidRDefault="002F725F">
            <w:pPr>
              <w:rPr>
                <w:rFonts w:eastAsia="Times New Roman"/>
                <w:sz w:val="20"/>
                <w:szCs w:val="20"/>
              </w:rPr>
            </w:pPr>
            <w:r>
              <w:rPr>
                <w:rFonts w:eastAsia="Times New Roman"/>
                <w:sz w:val="20"/>
                <w:szCs w:val="20"/>
              </w:rPr>
              <w:t>●</w:t>
            </w:r>
          </w:p>
        </w:tc>
        <w:tc>
          <w:tcPr>
            <w:tcW w:w="0" w:type="auto"/>
            <w:hideMark/>
          </w:tcPr>
          <w:p w14:paraId="00D9526B" w14:textId="77777777" w:rsidR="00000000" w:rsidRDefault="002F725F">
            <w:pPr>
              <w:jc w:val="both"/>
              <w:rPr>
                <w:rFonts w:eastAsia="Times New Roman"/>
                <w:sz w:val="20"/>
                <w:szCs w:val="20"/>
              </w:rPr>
            </w:pPr>
            <w:r>
              <w:rPr>
                <w:rFonts w:eastAsia="Times New Roman"/>
                <w:sz w:val="20"/>
                <w:szCs w:val="20"/>
              </w:rPr>
              <w:t>the recent delisting of the Company’s securities from NASDAQ and the very limited trading volume of the S</w:t>
            </w:r>
            <w:r>
              <w:rPr>
                <w:rFonts w:eastAsia="Times New Roman"/>
                <w:sz w:val="20"/>
                <w:szCs w:val="20"/>
              </w:rPr>
              <w:t>hares on OTC Pink and associated depressed trading price;</w:t>
            </w:r>
          </w:p>
        </w:tc>
      </w:tr>
    </w:tbl>
    <w:p w14:paraId="015EC45D"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843020F" w14:textId="77777777">
        <w:trPr>
          <w:divId w:val="415980837"/>
          <w:tblCellSpacing w:w="0" w:type="dxa"/>
        </w:trPr>
        <w:tc>
          <w:tcPr>
            <w:tcW w:w="720" w:type="dxa"/>
            <w:hideMark/>
          </w:tcPr>
          <w:p w14:paraId="2B9FDF64" w14:textId="77777777" w:rsidR="00000000" w:rsidRDefault="002F725F">
            <w:pPr>
              <w:rPr>
                <w:sz w:val="20"/>
                <w:szCs w:val="20"/>
              </w:rPr>
            </w:pPr>
          </w:p>
        </w:tc>
        <w:tc>
          <w:tcPr>
            <w:tcW w:w="360" w:type="dxa"/>
            <w:hideMark/>
          </w:tcPr>
          <w:p w14:paraId="2F49D8FB" w14:textId="77777777" w:rsidR="00000000" w:rsidRDefault="002F725F">
            <w:pPr>
              <w:rPr>
                <w:rFonts w:eastAsia="Times New Roman"/>
                <w:sz w:val="20"/>
                <w:szCs w:val="20"/>
              </w:rPr>
            </w:pPr>
            <w:r>
              <w:rPr>
                <w:rFonts w:eastAsia="Times New Roman"/>
                <w:sz w:val="20"/>
                <w:szCs w:val="20"/>
              </w:rPr>
              <w:t>●</w:t>
            </w:r>
          </w:p>
        </w:tc>
        <w:tc>
          <w:tcPr>
            <w:tcW w:w="0" w:type="auto"/>
            <w:hideMark/>
          </w:tcPr>
          <w:p w14:paraId="3F15F41E" w14:textId="77777777" w:rsidR="00000000" w:rsidRDefault="002F725F">
            <w:pPr>
              <w:jc w:val="both"/>
              <w:rPr>
                <w:rFonts w:eastAsia="Times New Roman"/>
                <w:sz w:val="20"/>
                <w:szCs w:val="20"/>
              </w:rPr>
            </w:pPr>
            <w:r>
              <w:rPr>
                <w:rFonts w:eastAsia="Times New Roman"/>
                <w:sz w:val="20"/>
                <w:szCs w:val="20"/>
              </w:rPr>
              <w:t xml:space="preserve">the costs and administrative burdens associated with the Company’s status as a U.S. publicly traded </w:t>
            </w:r>
            <w:r>
              <w:rPr>
                <w:rFonts w:eastAsia="Times New Roman"/>
                <w:sz w:val="20"/>
                <w:szCs w:val="20"/>
              </w:rPr>
              <w:t xml:space="preserve">company, including the costs associated with regulatory filings and compliance requirements, will be reduced. The Company has estimated that no longer being subject to such requirements will result in a saving of direct costs of approximately US$2 million </w:t>
            </w:r>
            <w:r>
              <w:rPr>
                <w:rFonts w:eastAsia="Times New Roman"/>
                <w:sz w:val="20"/>
                <w:szCs w:val="20"/>
              </w:rPr>
              <w:t>per year on a recurring basis;</w:t>
            </w:r>
          </w:p>
        </w:tc>
      </w:tr>
    </w:tbl>
    <w:p w14:paraId="4DB2C726"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ECD4A56" w14:textId="77777777">
        <w:trPr>
          <w:divId w:val="415980837"/>
          <w:tblCellSpacing w:w="0" w:type="dxa"/>
        </w:trPr>
        <w:tc>
          <w:tcPr>
            <w:tcW w:w="720" w:type="dxa"/>
            <w:hideMark/>
          </w:tcPr>
          <w:p w14:paraId="5E8EE481" w14:textId="77777777" w:rsidR="00000000" w:rsidRDefault="002F725F">
            <w:pPr>
              <w:rPr>
                <w:sz w:val="20"/>
                <w:szCs w:val="20"/>
              </w:rPr>
            </w:pPr>
          </w:p>
        </w:tc>
        <w:tc>
          <w:tcPr>
            <w:tcW w:w="360" w:type="dxa"/>
            <w:hideMark/>
          </w:tcPr>
          <w:p w14:paraId="2AE111B1" w14:textId="77777777" w:rsidR="00000000" w:rsidRDefault="002F725F">
            <w:pPr>
              <w:rPr>
                <w:rFonts w:eastAsia="Times New Roman"/>
                <w:sz w:val="20"/>
                <w:szCs w:val="20"/>
              </w:rPr>
            </w:pPr>
            <w:r>
              <w:rPr>
                <w:rFonts w:eastAsia="Times New Roman"/>
                <w:sz w:val="20"/>
                <w:szCs w:val="20"/>
              </w:rPr>
              <w:t>●</w:t>
            </w:r>
          </w:p>
        </w:tc>
        <w:tc>
          <w:tcPr>
            <w:tcW w:w="0" w:type="auto"/>
            <w:hideMark/>
          </w:tcPr>
          <w:p w14:paraId="17706B33" w14:textId="77777777" w:rsidR="00000000" w:rsidRDefault="002F725F">
            <w:pPr>
              <w:jc w:val="both"/>
              <w:rPr>
                <w:rFonts w:eastAsia="Times New Roman"/>
                <w:sz w:val="20"/>
                <w:szCs w:val="20"/>
              </w:rPr>
            </w:pPr>
            <w:r>
              <w:rPr>
                <w:rFonts w:eastAsia="Times New Roman"/>
                <w:sz w:val="20"/>
                <w:szCs w:val="20"/>
              </w:rPr>
              <w:t>the recognition that, as an SEC-reporting company, the Company’s management and accounting staff, which comprises a relatively small number of individuals, must devote significant time to SEC reporting and compliance ma</w:t>
            </w:r>
            <w:r>
              <w:rPr>
                <w:rFonts w:eastAsia="Times New Roman"/>
                <w:sz w:val="20"/>
                <w:szCs w:val="20"/>
              </w:rPr>
              <w:t>tters;</w:t>
            </w:r>
          </w:p>
        </w:tc>
      </w:tr>
    </w:tbl>
    <w:p w14:paraId="34A991AC"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07A0ACB" w14:textId="77777777">
        <w:trPr>
          <w:divId w:val="415980837"/>
          <w:tblCellSpacing w:w="0" w:type="dxa"/>
        </w:trPr>
        <w:tc>
          <w:tcPr>
            <w:tcW w:w="720" w:type="dxa"/>
            <w:hideMark/>
          </w:tcPr>
          <w:p w14:paraId="68463173" w14:textId="77777777" w:rsidR="00000000" w:rsidRDefault="002F725F">
            <w:pPr>
              <w:rPr>
                <w:sz w:val="20"/>
                <w:szCs w:val="20"/>
              </w:rPr>
            </w:pPr>
          </w:p>
        </w:tc>
        <w:tc>
          <w:tcPr>
            <w:tcW w:w="360" w:type="dxa"/>
            <w:hideMark/>
          </w:tcPr>
          <w:p w14:paraId="67E3EAEE" w14:textId="77777777" w:rsidR="00000000" w:rsidRDefault="002F725F">
            <w:pPr>
              <w:rPr>
                <w:rFonts w:eastAsia="Times New Roman"/>
                <w:sz w:val="20"/>
                <w:szCs w:val="20"/>
              </w:rPr>
            </w:pPr>
            <w:r>
              <w:rPr>
                <w:rFonts w:eastAsia="Times New Roman"/>
                <w:sz w:val="20"/>
                <w:szCs w:val="20"/>
              </w:rPr>
              <w:t>●</w:t>
            </w:r>
          </w:p>
        </w:tc>
        <w:tc>
          <w:tcPr>
            <w:tcW w:w="0" w:type="auto"/>
            <w:hideMark/>
          </w:tcPr>
          <w:p w14:paraId="2DB8AAB7" w14:textId="77777777" w:rsidR="00000000" w:rsidRDefault="002F725F">
            <w:pPr>
              <w:jc w:val="both"/>
              <w:rPr>
                <w:rFonts w:eastAsia="Times New Roman"/>
                <w:sz w:val="20"/>
                <w:szCs w:val="20"/>
              </w:rPr>
            </w:pPr>
            <w:r>
              <w:rPr>
                <w:rFonts w:eastAsia="Times New Roman"/>
                <w:sz w:val="20"/>
                <w:szCs w:val="20"/>
              </w:rPr>
              <w:t>the recognition that, as a privately held entity, the Company’s management may have greater flexibility to focus on improving the Company’s long-term financial performance without the pressures created by the public equity market’s emphasis on</w:t>
            </w:r>
            <w:r>
              <w:rPr>
                <w:rFonts w:eastAsia="Times New Roman"/>
                <w:sz w:val="20"/>
                <w:szCs w:val="20"/>
              </w:rPr>
              <w:t xml:space="preserve"> short-term period-to-period financial performance;</w:t>
            </w:r>
          </w:p>
        </w:tc>
      </w:tr>
    </w:tbl>
    <w:p w14:paraId="04FCDF32"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p w14:paraId="740B45A5" w14:textId="77777777" w:rsidR="00000000" w:rsidRDefault="002F725F">
      <w:pPr>
        <w:pStyle w:val="NormalWeb"/>
        <w:spacing w:before="0" w:beforeAutospacing="0" w:after="0" w:afterAutospacing="0"/>
        <w:jc w:val="center"/>
        <w:divId w:val="1941257010"/>
        <w:rPr>
          <w:sz w:val="20"/>
          <w:szCs w:val="20"/>
        </w:rPr>
      </w:pPr>
      <w:r>
        <w:rPr>
          <w:sz w:val="20"/>
          <w:szCs w:val="20"/>
        </w:rPr>
        <w:t>3</w:t>
      </w:r>
      <w:r>
        <w:rPr>
          <w:sz w:val="20"/>
          <w:szCs w:val="20"/>
        </w:rPr>
        <w:t>0</w:t>
      </w:r>
    </w:p>
    <w:p w14:paraId="6F7BCBE4" w14:textId="77777777" w:rsidR="00000000" w:rsidRDefault="002F725F">
      <w:pPr>
        <w:pStyle w:val="NormalWeb"/>
        <w:spacing w:before="0" w:beforeAutospacing="0" w:after="0" w:afterAutospacing="0"/>
        <w:divId w:val="315914971"/>
        <w:rPr>
          <w:sz w:val="20"/>
          <w:szCs w:val="20"/>
        </w:rPr>
      </w:pPr>
      <w:r>
        <w:rPr>
          <w:sz w:val="20"/>
          <w:szCs w:val="20"/>
        </w:rPr>
        <w:t> </w:t>
      </w:r>
    </w:p>
    <w:p w14:paraId="7B49DAE4"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07E60C9" w14:textId="77777777">
        <w:trPr>
          <w:divId w:val="415980837"/>
          <w:tblCellSpacing w:w="0" w:type="dxa"/>
        </w:trPr>
        <w:tc>
          <w:tcPr>
            <w:tcW w:w="720" w:type="dxa"/>
            <w:hideMark/>
          </w:tcPr>
          <w:p w14:paraId="5B5F60C7" w14:textId="77777777" w:rsidR="00000000" w:rsidRDefault="002F725F">
            <w:pPr>
              <w:rPr>
                <w:sz w:val="20"/>
                <w:szCs w:val="20"/>
              </w:rPr>
            </w:pPr>
          </w:p>
        </w:tc>
        <w:tc>
          <w:tcPr>
            <w:tcW w:w="360" w:type="dxa"/>
            <w:hideMark/>
          </w:tcPr>
          <w:p w14:paraId="7510872F" w14:textId="77777777" w:rsidR="00000000" w:rsidRDefault="002F725F">
            <w:pPr>
              <w:rPr>
                <w:rFonts w:eastAsia="Times New Roman"/>
                <w:sz w:val="20"/>
                <w:szCs w:val="20"/>
              </w:rPr>
            </w:pPr>
            <w:r>
              <w:rPr>
                <w:rFonts w:eastAsia="Times New Roman"/>
                <w:sz w:val="20"/>
                <w:szCs w:val="20"/>
              </w:rPr>
              <w:t>●</w:t>
            </w:r>
          </w:p>
        </w:tc>
        <w:tc>
          <w:tcPr>
            <w:tcW w:w="0" w:type="auto"/>
            <w:hideMark/>
          </w:tcPr>
          <w:p w14:paraId="161F0E90" w14:textId="77777777" w:rsidR="00000000" w:rsidRDefault="002F725F">
            <w:pPr>
              <w:jc w:val="both"/>
              <w:rPr>
                <w:rFonts w:eastAsia="Times New Roman"/>
                <w:sz w:val="20"/>
                <w:szCs w:val="20"/>
              </w:rPr>
            </w:pPr>
            <w:r>
              <w:rPr>
                <w:rFonts w:eastAsia="Times New Roman"/>
                <w:sz w:val="20"/>
                <w:szCs w:val="20"/>
              </w:rPr>
              <w:t>the recognition that, as an SEC-reporting company, the Company is required to disclose a considerable amount of business and financial information to the public, some of which would otherwise be considered competitively sensitive and would not be disclosed</w:t>
            </w:r>
            <w:r>
              <w:rPr>
                <w:rFonts w:eastAsia="Times New Roman"/>
                <w:sz w:val="20"/>
                <w:szCs w:val="20"/>
              </w:rPr>
              <w:t xml:space="preserve"> by a non-reporting company and which may help the Company’s actual or potential competitors, customers, lenders and vendors compete against the Company or make it more difficult for the Company to negotiate favorable terms with them, as the case may be;</w:t>
            </w:r>
          </w:p>
        </w:tc>
      </w:tr>
    </w:tbl>
    <w:p w14:paraId="4B53DAE2"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87F9545" w14:textId="77777777">
        <w:trPr>
          <w:divId w:val="415980837"/>
          <w:tblCellSpacing w:w="0" w:type="dxa"/>
        </w:trPr>
        <w:tc>
          <w:tcPr>
            <w:tcW w:w="720" w:type="dxa"/>
            <w:hideMark/>
          </w:tcPr>
          <w:p w14:paraId="6B00DE1A" w14:textId="77777777" w:rsidR="00000000" w:rsidRDefault="002F725F">
            <w:pPr>
              <w:rPr>
                <w:rFonts w:eastAsia="Times New Roman"/>
                <w:sz w:val="20"/>
                <w:szCs w:val="20"/>
              </w:rPr>
            </w:pPr>
            <w:r>
              <w:rPr>
                <w:rFonts w:eastAsia="Times New Roman"/>
                <w:sz w:val="20"/>
                <w:szCs w:val="20"/>
              </w:rPr>
              <w:t> </w:t>
            </w:r>
          </w:p>
        </w:tc>
        <w:tc>
          <w:tcPr>
            <w:tcW w:w="360" w:type="dxa"/>
            <w:hideMark/>
          </w:tcPr>
          <w:p w14:paraId="1B5568A9" w14:textId="77777777" w:rsidR="00000000" w:rsidRDefault="002F725F">
            <w:pPr>
              <w:rPr>
                <w:rFonts w:eastAsia="Times New Roman"/>
                <w:sz w:val="20"/>
                <w:szCs w:val="20"/>
              </w:rPr>
            </w:pPr>
            <w:r>
              <w:rPr>
                <w:rFonts w:eastAsia="Times New Roman"/>
                <w:sz w:val="20"/>
                <w:szCs w:val="20"/>
              </w:rPr>
              <w:t>●</w:t>
            </w:r>
          </w:p>
        </w:tc>
        <w:tc>
          <w:tcPr>
            <w:tcW w:w="0" w:type="auto"/>
            <w:hideMark/>
          </w:tcPr>
          <w:p w14:paraId="369CCD5F" w14:textId="77777777" w:rsidR="00000000" w:rsidRDefault="002F725F">
            <w:pPr>
              <w:jc w:val="both"/>
              <w:rPr>
                <w:rFonts w:eastAsia="Times New Roman"/>
                <w:sz w:val="20"/>
                <w:szCs w:val="20"/>
              </w:rPr>
            </w:pPr>
            <w:r>
              <w:rPr>
                <w:rFonts w:eastAsia="Times New Roman"/>
                <w:sz w:val="20"/>
                <w:szCs w:val="20"/>
              </w:rPr>
              <w:t>the possible alternatives to the Merger (including the possibility of continuing to operate the Company as an independent publicly traded company and the possibility of a sale of the Company to another buyer), the perceived potential benefits and ris</w:t>
            </w:r>
            <w:r>
              <w:rPr>
                <w:rFonts w:eastAsia="Times New Roman"/>
                <w:sz w:val="20"/>
                <w:szCs w:val="20"/>
              </w:rPr>
              <w:t>ks of the possible alternatives and the timing and the likelihood of accomplishing the goals of such alternatives, and the assessment by the Special Committee that none of these alternatives was reasonably likely to present superior opportunities for the C</w:t>
            </w:r>
            <w:r>
              <w:rPr>
                <w:rFonts w:eastAsia="Times New Roman"/>
                <w:sz w:val="20"/>
                <w:szCs w:val="20"/>
              </w:rPr>
              <w:t xml:space="preserve">ompany or to create greater value for its shareholders than the Merger, taking into account (i) the likelihood of being consummated, given the percentage ownership held by the Buyer Group and the Buyer Group’s expressed unwillingness to sell its Shares to </w:t>
            </w:r>
            <w:r>
              <w:rPr>
                <w:rFonts w:eastAsia="Times New Roman"/>
                <w:sz w:val="20"/>
                <w:szCs w:val="20"/>
              </w:rPr>
              <w:t>any third party or support any competing bid to the March 24, 2026 Proposal, (ii) the business, competitive, industry, regulatory, litigation and market risks, (iii) the general sentiment towards U.S.-listed Chinese companies, (iv) the absence of any propo</w:t>
            </w:r>
            <w:r>
              <w:rPr>
                <w:rFonts w:eastAsia="Times New Roman"/>
                <w:sz w:val="20"/>
                <w:szCs w:val="20"/>
              </w:rPr>
              <w:t xml:space="preserve">sals made </w:t>
            </w:r>
            <w:r>
              <w:rPr>
                <w:rFonts w:eastAsia="Times New Roman"/>
                <w:sz w:val="20"/>
                <w:szCs w:val="20"/>
              </w:rPr>
              <w:lastRenderedPageBreak/>
              <w:t>by any unsolicited potential buyers since the announcement of the Original Proposal on August 18, 2025, other than the August 26, 2025 Proposal and the March 24, 2026 Proposal; and (v) the issuance of the Awards and the resulting financial liabil</w:t>
            </w:r>
            <w:r>
              <w:rPr>
                <w:rFonts w:eastAsia="Times New Roman"/>
                <w:sz w:val="20"/>
                <w:szCs w:val="20"/>
              </w:rPr>
              <w:t>ity of approximately RMB576.5 million, which substantially exceeds the Company’s equity value and is expected to materially and adversely affect the Company’s attractiveness under any alternative transaction scenario, including the Company’s ability to con</w:t>
            </w:r>
            <w:r>
              <w:rPr>
                <w:rFonts w:eastAsia="Times New Roman"/>
                <w:sz w:val="20"/>
                <w:szCs w:val="20"/>
              </w:rPr>
              <w:t>tinue as an independent publicly traded company or to pursue a sale to a third party;</w:t>
            </w:r>
          </w:p>
        </w:tc>
      </w:tr>
    </w:tbl>
    <w:p w14:paraId="118E5727" w14:textId="77777777" w:rsidR="00000000" w:rsidRDefault="002F725F">
      <w:pPr>
        <w:pStyle w:val="NormalWeb"/>
        <w:spacing w:before="0" w:beforeAutospacing="0" w:after="0" w:afterAutospacing="0"/>
        <w:jc w:val="center"/>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9746915" w14:textId="77777777">
        <w:trPr>
          <w:divId w:val="415980837"/>
          <w:tblCellSpacing w:w="0" w:type="dxa"/>
        </w:trPr>
        <w:tc>
          <w:tcPr>
            <w:tcW w:w="720" w:type="dxa"/>
            <w:hideMark/>
          </w:tcPr>
          <w:p w14:paraId="1CB239E7" w14:textId="77777777" w:rsidR="00000000" w:rsidRDefault="002F725F">
            <w:pPr>
              <w:rPr>
                <w:sz w:val="20"/>
                <w:szCs w:val="20"/>
              </w:rPr>
            </w:pPr>
          </w:p>
        </w:tc>
        <w:tc>
          <w:tcPr>
            <w:tcW w:w="360" w:type="dxa"/>
            <w:hideMark/>
          </w:tcPr>
          <w:p w14:paraId="7C641860" w14:textId="77777777" w:rsidR="00000000" w:rsidRDefault="002F725F">
            <w:pPr>
              <w:rPr>
                <w:rFonts w:eastAsia="Times New Roman"/>
                <w:sz w:val="20"/>
                <w:szCs w:val="20"/>
              </w:rPr>
            </w:pPr>
            <w:r>
              <w:rPr>
                <w:rFonts w:eastAsia="Times New Roman"/>
                <w:sz w:val="20"/>
                <w:szCs w:val="20"/>
              </w:rPr>
              <w:t>●</w:t>
            </w:r>
          </w:p>
        </w:tc>
        <w:tc>
          <w:tcPr>
            <w:tcW w:w="0" w:type="auto"/>
            <w:hideMark/>
          </w:tcPr>
          <w:p w14:paraId="27080354" w14:textId="77777777" w:rsidR="00000000" w:rsidRDefault="002F725F">
            <w:pPr>
              <w:jc w:val="both"/>
              <w:rPr>
                <w:rFonts w:eastAsia="Times New Roman"/>
                <w:sz w:val="20"/>
                <w:szCs w:val="20"/>
              </w:rPr>
            </w:pPr>
            <w:r>
              <w:rPr>
                <w:rFonts w:eastAsia="Times New Roman"/>
                <w:sz w:val="20"/>
                <w:szCs w:val="20"/>
              </w:rPr>
              <w:t>the fact that the consideration payable in the Merger is entirely in cash, which will allow the Unaffiliated Security Holders to immediately realize liquidity for t</w:t>
            </w:r>
            <w:r>
              <w:rPr>
                <w:rFonts w:eastAsia="Times New Roman"/>
                <w:sz w:val="20"/>
                <w:szCs w:val="20"/>
              </w:rPr>
              <w:t>heir investment and provide them with certainty of the value of their Shares;</w:t>
            </w:r>
          </w:p>
        </w:tc>
      </w:tr>
    </w:tbl>
    <w:p w14:paraId="01F033FB"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52A7A9F" w14:textId="77777777">
        <w:trPr>
          <w:divId w:val="415980837"/>
          <w:tblCellSpacing w:w="0" w:type="dxa"/>
        </w:trPr>
        <w:tc>
          <w:tcPr>
            <w:tcW w:w="720" w:type="dxa"/>
            <w:hideMark/>
          </w:tcPr>
          <w:p w14:paraId="7706E6A4" w14:textId="77777777" w:rsidR="00000000" w:rsidRDefault="002F725F">
            <w:pPr>
              <w:rPr>
                <w:rFonts w:eastAsia="Times New Roman"/>
                <w:sz w:val="20"/>
                <w:szCs w:val="20"/>
              </w:rPr>
            </w:pPr>
            <w:r>
              <w:rPr>
                <w:rFonts w:eastAsia="Times New Roman"/>
                <w:sz w:val="20"/>
                <w:szCs w:val="20"/>
              </w:rPr>
              <w:t> </w:t>
            </w:r>
          </w:p>
        </w:tc>
        <w:tc>
          <w:tcPr>
            <w:tcW w:w="360" w:type="dxa"/>
            <w:hideMark/>
          </w:tcPr>
          <w:p w14:paraId="5ECB2634" w14:textId="77777777" w:rsidR="00000000" w:rsidRDefault="002F725F">
            <w:pPr>
              <w:rPr>
                <w:rFonts w:eastAsia="Times New Roman"/>
                <w:sz w:val="20"/>
                <w:szCs w:val="20"/>
              </w:rPr>
            </w:pPr>
            <w:r>
              <w:rPr>
                <w:rFonts w:eastAsia="Times New Roman"/>
                <w:sz w:val="20"/>
                <w:szCs w:val="20"/>
              </w:rPr>
              <w:t>●</w:t>
            </w:r>
          </w:p>
        </w:tc>
        <w:tc>
          <w:tcPr>
            <w:tcW w:w="0" w:type="auto"/>
            <w:hideMark/>
          </w:tcPr>
          <w:p w14:paraId="328576C7" w14:textId="77777777" w:rsidR="00000000" w:rsidRDefault="002F725F">
            <w:pPr>
              <w:jc w:val="both"/>
              <w:rPr>
                <w:rFonts w:eastAsia="Times New Roman"/>
                <w:sz w:val="20"/>
                <w:szCs w:val="20"/>
              </w:rPr>
            </w:pPr>
            <w:r>
              <w:rPr>
                <w:rFonts w:eastAsia="Times New Roman"/>
                <w:sz w:val="20"/>
                <w:szCs w:val="20"/>
              </w:rPr>
              <w:t>the possibility that it could take a considerable period of time before the trading price of the Shares would reach and sustain at least the Per Share Merger Consideration</w:t>
            </w:r>
            <w:r>
              <w:rPr>
                <w:rFonts w:eastAsia="Times New Roman"/>
                <w:sz w:val="20"/>
                <w:szCs w:val="20"/>
              </w:rPr>
              <w:t xml:space="preserve"> of US$0.066, as adjusted for present value, and the possibility that such value might never be obtained;</w:t>
            </w:r>
          </w:p>
        </w:tc>
      </w:tr>
    </w:tbl>
    <w:p w14:paraId="09AF06CC"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D9AB4DA" w14:textId="77777777">
        <w:trPr>
          <w:divId w:val="415980837"/>
          <w:tblCellSpacing w:w="0" w:type="dxa"/>
        </w:trPr>
        <w:tc>
          <w:tcPr>
            <w:tcW w:w="720" w:type="dxa"/>
            <w:hideMark/>
          </w:tcPr>
          <w:p w14:paraId="1AA47C34" w14:textId="77777777" w:rsidR="00000000" w:rsidRDefault="002F725F">
            <w:pPr>
              <w:rPr>
                <w:sz w:val="20"/>
                <w:szCs w:val="20"/>
              </w:rPr>
            </w:pPr>
          </w:p>
        </w:tc>
        <w:tc>
          <w:tcPr>
            <w:tcW w:w="360" w:type="dxa"/>
            <w:hideMark/>
          </w:tcPr>
          <w:p w14:paraId="333DA44B" w14:textId="77777777" w:rsidR="00000000" w:rsidRDefault="002F725F">
            <w:pPr>
              <w:rPr>
                <w:rFonts w:eastAsia="Times New Roman"/>
                <w:sz w:val="20"/>
                <w:szCs w:val="20"/>
              </w:rPr>
            </w:pPr>
            <w:r>
              <w:rPr>
                <w:rFonts w:eastAsia="Times New Roman"/>
                <w:sz w:val="20"/>
                <w:szCs w:val="20"/>
              </w:rPr>
              <w:t>●</w:t>
            </w:r>
          </w:p>
        </w:tc>
        <w:tc>
          <w:tcPr>
            <w:tcW w:w="0" w:type="auto"/>
            <w:hideMark/>
          </w:tcPr>
          <w:p w14:paraId="5ED49D12" w14:textId="77777777" w:rsidR="00000000" w:rsidRDefault="002F725F">
            <w:pPr>
              <w:jc w:val="both"/>
              <w:rPr>
                <w:rFonts w:eastAsia="Times New Roman"/>
                <w:sz w:val="20"/>
                <w:szCs w:val="20"/>
              </w:rPr>
            </w:pPr>
            <w:r>
              <w:rPr>
                <w:rFonts w:eastAsia="Times New Roman"/>
                <w:sz w:val="20"/>
                <w:szCs w:val="20"/>
              </w:rPr>
              <w:t>the negotiations with respect to the merger consideration and the Special Committee’s belief that, following extensive negotiations with the Buyer Group, US$0.066 per Share was the highest price that the Buyer Group would agree to pay;</w:t>
            </w:r>
          </w:p>
        </w:tc>
      </w:tr>
    </w:tbl>
    <w:p w14:paraId="5318C598"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BDF4083" w14:textId="77777777">
        <w:trPr>
          <w:divId w:val="415980837"/>
          <w:tblCellSpacing w:w="0" w:type="dxa"/>
        </w:trPr>
        <w:tc>
          <w:tcPr>
            <w:tcW w:w="720" w:type="dxa"/>
            <w:hideMark/>
          </w:tcPr>
          <w:p w14:paraId="78612D1C" w14:textId="77777777" w:rsidR="00000000" w:rsidRDefault="002F725F">
            <w:pPr>
              <w:rPr>
                <w:sz w:val="20"/>
                <w:szCs w:val="20"/>
              </w:rPr>
            </w:pPr>
          </w:p>
        </w:tc>
        <w:tc>
          <w:tcPr>
            <w:tcW w:w="360" w:type="dxa"/>
            <w:hideMark/>
          </w:tcPr>
          <w:p w14:paraId="430C83A8" w14:textId="77777777" w:rsidR="00000000" w:rsidRDefault="002F725F">
            <w:pPr>
              <w:rPr>
                <w:rFonts w:eastAsia="Times New Roman"/>
                <w:sz w:val="20"/>
                <w:szCs w:val="20"/>
              </w:rPr>
            </w:pPr>
            <w:r>
              <w:rPr>
                <w:rFonts w:eastAsia="Times New Roman"/>
                <w:sz w:val="20"/>
                <w:szCs w:val="20"/>
              </w:rPr>
              <w:t>●</w:t>
            </w:r>
          </w:p>
        </w:tc>
        <w:tc>
          <w:tcPr>
            <w:tcW w:w="0" w:type="auto"/>
            <w:hideMark/>
          </w:tcPr>
          <w:p w14:paraId="5223A0DE" w14:textId="77777777" w:rsidR="00000000" w:rsidRDefault="002F725F">
            <w:pPr>
              <w:jc w:val="both"/>
              <w:rPr>
                <w:rFonts w:eastAsia="Times New Roman"/>
                <w:sz w:val="20"/>
                <w:szCs w:val="20"/>
              </w:rPr>
            </w:pPr>
            <w:r>
              <w:rPr>
                <w:rFonts w:eastAsia="Times New Roman"/>
                <w:sz w:val="20"/>
                <w:szCs w:val="20"/>
              </w:rPr>
              <w:t>the likelihood</w:t>
            </w:r>
            <w:r>
              <w:rPr>
                <w:rFonts w:eastAsia="Times New Roman"/>
                <w:sz w:val="20"/>
                <w:szCs w:val="20"/>
              </w:rPr>
              <w:t xml:space="preserve"> that the Merger would be consummated based on, among other things (not in any relative order of importance):</w:t>
            </w:r>
          </w:p>
        </w:tc>
      </w:tr>
    </w:tbl>
    <w:p w14:paraId="7EBAAF96" w14:textId="77777777" w:rsidR="00000000" w:rsidRDefault="002F725F">
      <w:pPr>
        <w:pStyle w:val="NormalWeb"/>
        <w:spacing w:before="0" w:beforeAutospacing="0" w:after="0" w:afterAutospacing="0"/>
        <w:ind w:left="216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15ABA934" w14:textId="77777777">
        <w:trPr>
          <w:divId w:val="415980837"/>
          <w:tblCellSpacing w:w="0" w:type="dxa"/>
        </w:trPr>
        <w:tc>
          <w:tcPr>
            <w:tcW w:w="1080" w:type="dxa"/>
            <w:hideMark/>
          </w:tcPr>
          <w:p w14:paraId="5AEF1111" w14:textId="77777777" w:rsidR="00000000" w:rsidRDefault="002F725F">
            <w:pPr>
              <w:rPr>
                <w:sz w:val="20"/>
                <w:szCs w:val="20"/>
              </w:rPr>
            </w:pPr>
          </w:p>
        </w:tc>
        <w:tc>
          <w:tcPr>
            <w:tcW w:w="360" w:type="dxa"/>
            <w:hideMark/>
          </w:tcPr>
          <w:p w14:paraId="206E9185"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4CD154B6" w14:textId="77777777" w:rsidR="00000000" w:rsidRDefault="002F725F">
            <w:pPr>
              <w:jc w:val="both"/>
              <w:rPr>
                <w:rFonts w:eastAsia="Times New Roman"/>
                <w:sz w:val="20"/>
                <w:szCs w:val="20"/>
              </w:rPr>
            </w:pPr>
            <w:r>
              <w:rPr>
                <w:rFonts w:eastAsia="Times New Roman"/>
                <w:sz w:val="20"/>
                <w:szCs w:val="20"/>
              </w:rPr>
              <w:t>the absence of a financing condition in the Merger Agreement;</w:t>
            </w:r>
          </w:p>
        </w:tc>
      </w:tr>
    </w:tbl>
    <w:p w14:paraId="7586F69F" w14:textId="77777777" w:rsidR="00000000" w:rsidRDefault="002F725F">
      <w:pPr>
        <w:pStyle w:val="NormalWeb"/>
        <w:spacing w:before="0" w:beforeAutospacing="0" w:after="0" w:afterAutospacing="0"/>
        <w:ind w:left="216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596D6029" w14:textId="77777777">
        <w:trPr>
          <w:divId w:val="415980837"/>
          <w:tblCellSpacing w:w="0" w:type="dxa"/>
        </w:trPr>
        <w:tc>
          <w:tcPr>
            <w:tcW w:w="1080" w:type="dxa"/>
            <w:hideMark/>
          </w:tcPr>
          <w:p w14:paraId="55B01D95" w14:textId="77777777" w:rsidR="00000000" w:rsidRDefault="002F725F">
            <w:pPr>
              <w:rPr>
                <w:sz w:val="20"/>
                <w:szCs w:val="20"/>
              </w:rPr>
            </w:pPr>
          </w:p>
        </w:tc>
        <w:tc>
          <w:tcPr>
            <w:tcW w:w="360" w:type="dxa"/>
            <w:hideMark/>
          </w:tcPr>
          <w:p w14:paraId="606BC5A7"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218A806B" w14:textId="77777777" w:rsidR="00000000" w:rsidRDefault="002F725F">
            <w:pPr>
              <w:jc w:val="both"/>
              <w:rPr>
                <w:rFonts w:eastAsia="Times New Roman"/>
                <w:sz w:val="20"/>
                <w:szCs w:val="20"/>
              </w:rPr>
            </w:pPr>
            <w:r>
              <w:rPr>
                <w:rFonts w:eastAsia="Times New Roman"/>
                <w:sz w:val="20"/>
                <w:szCs w:val="20"/>
              </w:rPr>
              <w:t>the fact that the Sponsor delivered an equity commitment letter, committ</w:t>
            </w:r>
            <w:r>
              <w:rPr>
                <w:rFonts w:eastAsia="Times New Roman"/>
                <w:sz w:val="20"/>
                <w:szCs w:val="20"/>
              </w:rPr>
              <w:t>ing sufficient financing to complete the Merger, and the creditworthiness of the financing source;</w:t>
            </w:r>
          </w:p>
        </w:tc>
      </w:tr>
    </w:tbl>
    <w:p w14:paraId="540EF62F" w14:textId="77777777" w:rsidR="00000000" w:rsidRDefault="002F725F">
      <w:pPr>
        <w:pStyle w:val="NormalWeb"/>
        <w:spacing w:before="0" w:beforeAutospacing="0" w:after="0" w:afterAutospacing="0"/>
        <w:ind w:left="216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C3D1CC1" w14:textId="77777777">
        <w:trPr>
          <w:divId w:val="415980837"/>
          <w:tblCellSpacing w:w="0" w:type="dxa"/>
        </w:trPr>
        <w:tc>
          <w:tcPr>
            <w:tcW w:w="1080" w:type="dxa"/>
            <w:hideMark/>
          </w:tcPr>
          <w:p w14:paraId="5D075B7D" w14:textId="77777777" w:rsidR="00000000" w:rsidRDefault="002F725F">
            <w:pPr>
              <w:rPr>
                <w:sz w:val="20"/>
                <w:szCs w:val="20"/>
              </w:rPr>
            </w:pPr>
          </w:p>
        </w:tc>
        <w:tc>
          <w:tcPr>
            <w:tcW w:w="360" w:type="dxa"/>
            <w:hideMark/>
          </w:tcPr>
          <w:p w14:paraId="7E4DB242"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05BC84BE" w14:textId="77777777" w:rsidR="00000000" w:rsidRDefault="002F725F">
            <w:pPr>
              <w:jc w:val="both"/>
              <w:rPr>
                <w:rFonts w:eastAsia="Times New Roman"/>
                <w:sz w:val="20"/>
                <w:szCs w:val="20"/>
              </w:rPr>
            </w:pPr>
            <w:r>
              <w:rPr>
                <w:rFonts w:eastAsia="Times New Roman"/>
                <w:sz w:val="20"/>
                <w:szCs w:val="20"/>
              </w:rPr>
              <w:t>the Company’</w:t>
            </w:r>
            <w:r>
              <w:rPr>
                <w:rFonts w:eastAsia="Times New Roman"/>
                <w:sz w:val="20"/>
                <w:szCs w:val="20"/>
              </w:rPr>
              <w:t>s ability, as set out in the Merger Agreement and the Equity Commitment Letter, to seek specific performance to prevent breaches of such agreements and to enforce specifically the terms of such agreements;</w:t>
            </w:r>
          </w:p>
        </w:tc>
      </w:tr>
    </w:tbl>
    <w:p w14:paraId="3F84E6A3" w14:textId="77777777" w:rsidR="00000000" w:rsidRDefault="002F725F">
      <w:pPr>
        <w:pStyle w:val="NormalWeb"/>
        <w:spacing w:before="0" w:beforeAutospacing="0" w:after="0" w:afterAutospacing="0"/>
        <w:ind w:left="216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8D7FA2F" w14:textId="77777777">
        <w:trPr>
          <w:divId w:val="415980837"/>
          <w:tblCellSpacing w:w="0" w:type="dxa"/>
        </w:trPr>
        <w:tc>
          <w:tcPr>
            <w:tcW w:w="1080" w:type="dxa"/>
            <w:hideMark/>
          </w:tcPr>
          <w:p w14:paraId="6890E2D7" w14:textId="77777777" w:rsidR="00000000" w:rsidRDefault="002F725F">
            <w:pPr>
              <w:rPr>
                <w:sz w:val="20"/>
                <w:szCs w:val="20"/>
              </w:rPr>
            </w:pPr>
          </w:p>
        </w:tc>
        <w:tc>
          <w:tcPr>
            <w:tcW w:w="360" w:type="dxa"/>
            <w:hideMark/>
          </w:tcPr>
          <w:p w14:paraId="195B33F7"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5AE546BF" w14:textId="77777777" w:rsidR="00000000" w:rsidRDefault="002F725F">
            <w:pPr>
              <w:jc w:val="both"/>
              <w:rPr>
                <w:rFonts w:eastAsia="Times New Roman"/>
                <w:sz w:val="20"/>
                <w:szCs w:val="20"/>
              </w:rPr>
            </w:pPr>
            <w:r>
              <w:rPr>
                <w:rFonts w:eastAsia="Times New Roman"/>
                <w:sz w:val="20"/>
                <w:szCs w:val="20"/>
              </w:rPr>
              <w:t xml:space="preserve">the fact that the Merger Agreement provides </w:t>
            </w:r>
            <w:r>
              <w:rPr>
                <w:rFonts w:eastAsia="Times New Roman"/>
                <w:sz w:val="20"/>
                <w:szCs w:val="20"/>
              </w:rPr>
              <w:t>that, in the event of a failure of the Merger to be consummated under certain circumstances, Parent will pay the Company a termination fee of US$100,000 (see “The Merger Agreement—Termination Fees” beginning on page 95 for additional information) and the g</w:t>
            </w:r>
            <w:r>
              <w:rPr>
                <w:rFonts w:eastAsia="Times New Roman"/>
                <w:sz w:val="20"/>
                <w:szCs w:val="20"/>
              </w:rPr>
              <w:t>uarantee of such payment obligation by the Sponsor pursuant to the Limited Guarantee; and</w:t>
            </w:r>
          </w:p>
        </w:tc>
      </w:tr>
    </w:tbl>
    <w:p w14:paraId="00A5AD07" w14:textId="77777777" w:rsidR="00000000" w:rsidRDefault="002F725F">
      <w:pPr>
        <w:pStyle w:val="NormalWeb"/>
        <w:spacing w:before="0" w:beforeAutospacing="0" w:after="0" w:afterAutospacing="0"/>
        <w:ind w:left="216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080"/>
        <w:gridCol w:w="360"/>
        <w:gridCol w:w="7920"/>
      </w:tblGrid>
      <w:tr w:rsidR="00000000" w14:paraId="2D4548FC" w14:textId="77777777">
        <w:trPr>
          <w:divId w:val="415980837"/>
          <w:tblCellSpacing w:w="0" w:type="dxa"/>
        </w:trPr>
        <w:tc>
          <w:tcPr>
            <w:tcW w:w="1080" w:type="dxa"/>
            <w:hideMark/>
          </w:tcPr>
          <w:p w14:paraId="6EEB91C0" w14:textId="77777777" w:rsidR="00000000" w:rsidRDefault="002F725F">
            <w:pPr>
              <w:rPr>
                <w:sz w:val="20"/>
                <w:szCs w:val="20"/>
              </w:rPr>
            </w:pPr>
          </w:p>
        </w:tc>
        <w:tc>
          <w:tcPr>
            <w:tcW w:w="360" w:type="dxa"/>
            <w:hideMark/>
          </w:tcPr>
          <w:p w14:paraId="5E435308" w14:textId="77777777" w:rsidR="00000000" w:rsidRDefault="002F725F">
            <w:pPr>
              <w:rPr>
                <w:rFonts w:eastAsia="Times New Roman"/>
                <w:sz w:val="20"/>
                <w:szCs w:val="20"/>
              </w:rPr>
            </w:pPr>
            <w:r>
              <w:rPr>
                <w:rFonts w:ascii="Wingdings" w:eastAsia="Times New Roman" w:hAnsi="Wingdings"/>
                <w:sz w:val="20"/>
                <w:szCs w:val="20"/>
              </w:rPr>
              <w:t>§</w:t>
            </w:r>
          </w:p>
        </w:tc>
        <w:tc>
          <w:tcPr>
            <w:tcW w:w="0" w:type="auto"/>
            <w:hideMark/>
          </w:tcPr>
          <w:p w14:paraId="57D54F05" w14:textId="77777777" w:rsidR="00000000" w:rsidRDefault="002F725F">
            <w:pPr>
              <w:jc w:val="both"/>
              <w:rPr>
                <w:rFonts w:eastAsia="Times New Roman"/>
                <w:sz w:val="20"/>
                <w:szCs w:val="20"/>
              </w:rPr>
            </w:pPr>
            <w:r>
              <w:rPr>
                <w:rFonts w:eastAsia="Times New Roman"/>
                <w:sz w:val="20"/>
                <w:szCs w:val="20"/>
              </w:rPr>
              <w:t>the fact that the consummation of the Merger is not subject to any governmental or regulatory approvals;</w:t>
            </w:r>
          </w:p>
        </w:tc>
      </w:tr>
    </w:tbl>
    <w:p w14:paraId="560DC10A"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16C7E20" w14:textId="77777777">
        <w:trPr>
          <w:divId w:val="415980837"/>
          <w:tblCellSpacing w:w="0" w:type="dxa"/>
        </w:trPr>
        <w:tc>
          <w:tcPr>
            <w:tcW w:w="720" w:type="dxa"/>
            <w:hideMark/>
          </w:tcPr>
          <w:p w14:paraId="68B38023" w14:textId="77777777" w:rsidR="00000000" w:rsidRDefault="002F725F">
            <w:pPr>
              <w:rPr>
                <w:rFonts w:eastAsia="Times New Roman"/>
                <w:sz w:val="20"/>
                <w:szCs w:val="20"/>
              </w:rPr>
            </w:pPr>
            <w:r>
              <w:rPr>
                <w:rFonts w:eastAsia="Times New Roman"/>
                <w:sz w:val="20"/>
                <w:szCs w:val="20"/>
              </w:rPr>
              <w:t> </w:t>
            </w:r>
          </w:p>
        </w:tc>
        <w:tc>
          <w:tcPr>
            <w:tcW w:w="360" w:type="dxa"/>
            <w:hideMark/>
          </w:tcPr>
          <w:p w14:paraId="4947A0F2" w14:textId="77777777" w:rsidR="00000000" w:rsidRDefault="002F725F">
            <w:pPr>
              <w:rPr>
                <w:rFonts w:eastAsia="Times New Roman"/>
                <w:sz w:val="20"/>
                <w:szCs w:val="20"/>
              </w:rPr>
            </w:pPr>
            <w:r>
              <w:rPr>
                <w:rFonts w:eastAsia="Times New Roman"/>
                <w:sz w:val="20"/>
                <w:szCs w:val="20"/>
              </w:rPr>
              <w:t>●</w:t>
            </w:r>
          </w:p>
        </w:tc>
        <w:tc>
          <w:tcPr>
            <w:tcW w:w="0" w:type="auto"/>
            <w:hideMark/>
          </w:tcPr>
          <w:p w14:paraId="5BF642C6" w14:textId="77777777" w:rsidR="00000000" w:rsidRDefault="002F725F">
            <w:pPr>
              <w:jc w:val="both"/>
              <w:rPr>
                <w:rFonts w:eastAsia="Times New Roman"/>
                <w:sz w:val="20"/>
                <w:szCs w:val="20"/>
              </w:rPr>
            </w:pPr>
            <w:r>
              <w:rPr>
                <w:rFonts w:eastAsia="Times New Roman"/>
                <w:sz w:val="20"/>
                <w:szCs w:val="20"/>
              </w:rPr>
              <w:t>the financial analysis reviewed by Duff &amp; Phelps</w:t>
            </w:r>
            <w:r>
              <w:rPr>
                <w:rFonts w:eastAsia="Times New Roman"/>
                <w:sz w:val="20"/>
                <w:szCs w:val="20"/>
              </w:rPr>
              <w:t xml:space="preserve"> with the Special Committee, as well as the oral opinion of Duff &amp; Phelps rendered to the Special Committee on April 28, 2026 (which was subsequently confirmed in writing by delivery of Duff &amp; Phelps’ written opinion, dated April 28, 2026, to the Special C</w:t>
            </w:r>
            <w:r>
              <w:rPr>
                <w:rFonts w:eastAsia="Times New Roman"/>
                <w:sz w:val="20"/>
                <w:szCs w:val="20"/>
              </w:rPr>
              <w:t>ommittee), as to the fairness, from a financial point of view, of the Per Share Merger Consideration to be received by the holders of Shares (other than the Excluded Shares and the Dissenting Shares), as of the date thereof, based upon and subject to the p</w:t>
            </w:r>
            <w:r>
              <w:rPr>
                <w:rFonts w:eastAsia="Times New Roman"/>
                <w:sz w:val="20"/>
                <w:szCs w:val="20"/>
              </w:rPr>
              <w:t xml:space="preserve">rocedures followed, assumptions made, qualifications and limitations on the review undertaken and other matters considered by Duff &amp; Phelps in preparing its opinion (See “Special Factors—Opinion of the Special Committee’s Financial Advisor dated April 28, </w:t>
            </w:r>
            <w:r>
              <w:rPr>
                <w:rFonts w:eastAsia="Times New Roman"/>
                <w:sz w:val="20"/>
                <w:szCs w:val="20"/>
              </w:rPr>
              <w:t>2026” beginning on page 48 for additional information). The Special Committee notes that the opinion delivered by Duff &amp; Phelps addresses the fairness, from a financial point of view, of the Per Share Merger Consideration to be received by holders of the S</w:t>
            </w:r>
            <w:r>
              <w:rPr>
                <w:rFonts w:eastAsia="Times New Roman"/>
                <w:sz w:val="20"/>
                <w:szCs w:val="20"/>
              </w:rPr>
              <w:t>hares (other than the Excluded Shares and the Dissenting Shares), including the Company’s director and officer shareholders. These director and officer shareholders are treated in the same way as the Unaffiliated Security Holders in connection with the Mer</w:t>
            </w:r>
            <w:r>
              <w:rPr>
                <w:rFonts w:eastAsia="Times New Roman"/>
                <w:sz w:val="20"/>
                <w:szCs w:val="20"/>
              </w:rPr>
              <w:t>ger, and will receive the same amount of merger consideration as the Unaffiliated Security Holders. The Special Committee does not believe the inclusion of these director and officer shareholders in Duff &amp; Phelps’ opinion affects its ability to rely on the</w:t>
            </w:r>
            <w:r>
              <w:rPr>
                <w:rFonts w:eastAsia="Times New Roman"/>
                <w:sz w:val="20"/>
                <w:szCs w:val="20"/>
              </w:rPr>
              <w:t xml:space="preserve"> opinion of Duff &amp; Phelps as one of the factors, </w:t>
            </w:r>
            <w:r>
              <w:rPr>
                <w:rFonts w:eastAsia="Times New Roman"/>
                <w:sz w:val="20"/>
                <w:szCs w:val="20"/>
              </w:rPr>
              <w:lastRenderedPageBreak/>
              <w:t xml:space="preserve">based on which the Special Committee determines that the Merger is fair to the Unaffiliated Security Holders. However, the Special Committee has not made any determination, nor does it intend to express any </w:t>
            </w:r>
            <w:r>
              <w:rPr>
                <w:rFonts w:eastAsia="Times New Roman"/>
                <w:sz w:val="20"/>
                <w:szCs w:val="20"/>
              </w:rPr>
              <w:t>view, as to the fairness of the Merger to any shareholder who is an affiliate of the Company, such as the director and officer shareholders identified in the preceding sentence;</w:t>
            </w:r>
          </w:p>
        </w:tc>
      </w:tr>
    </w:tbl>
    <w:p w14:paraId="0A2F3D16"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lastRenderedPageBreak/>
        <w:t> </w:t>
      </w:r>
    </w:p>
    <w:p w14:paraId="514735F4" w14:textId="77777777" w:rsidR="00000000" w:rsidRDefault="002F725F">
      <w:pPr>
        <w:pStyle w:val="NormalWeb"/>
        <w:spacing w:before="0" w:beforeAutospacing="0" w:after="0" w:afterAutospacing="0"/>
        <w:jc w:val="center"/>
        <w:divId w:val="1516185311"/>
        <w:rPr>
          <w:sz w:val="20"/>
          <w:szCs w:val="20"/>
        </w:rPr>
      </w:pPr>
      <w:r>
        <w:rPr>
          <w:sz w:val="20"/>
          <w:szCs w:val="20"/>
        </w:rPr>
        <w:t>3</w:t>
      </w:r>
      <w:r>
        <w:rPr>
          <w:sz w:val="20"/>
          <w:szCs w:val="20"/>
        </w:rPr>
        <w:t>1</w:t>
      </w:r>
    </w:p>
    <w:p w14:paraId="33EDBDFD" w14:textId="77777777" w:rsidR="00000000" w:rsidRDefault="002F725F">
      <w:pPr>
        <w:pStyle w:val="NormalWeb"/>
        <w:spacing w:before="0" w:beforeAutospacing="0" w:after="0" w:afterAutospacing="0"/>
        <w:divId w:val="1259026845"/>
        <w:rPr>
          <w:sz w:val="20"/>
          <w:szCs w:val="20"/>
        </w:rPr>
      </w:pPr>
      <w:r>
        <w:rPr>
          <w:sz w:val="20"/>
          <w:szCs w:val="20"/>
        </w:rPr>
        <w:t> </w:t>
      </w:r>
    </w:p>
    <w:p w14:paraId="429E5F6A"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D9697C5" w14:textId="77777777">
        <w:trPr>
          <w:divId w:val="415980837"/>
          <w:tblCellSpacing w:w="0" w:type="dxa"/>
        </w:trPr>
        <w:tc>
          <w:tcPr>
            <w:tcW w:w="720" w:type="dxa"/>
            <w:hideMark/>
          </w:tcPr>
          <w:p w14:paraId="50BF2A71" w14:textId="77777777" w:rsidR="00000000" w:rsidRDefault="002F725F">
            <w:pPr>
              <w:rPr>
                <w:rFonts w:eastAsia="Times New Roman"/>
                <w:sz w:val="20"/>
                <w:szCs w:val="20"/>
              </w:rPr>
            </w:pPr>
            <w:r>
              <w:rPr>
                <w:rFonts w:eastAsia="Times New Roman"/>
                <w:sz w:val="20"/>
                <w:szCs w:val="20"/>
              </w:rPr>
              <w:t> </w:t>
            </w:r>
          </w:p>
        </w:tc>
        <w:tc>
          <w:tcPr>
            <w:tcW w:w="360" w:type="dxa"/>
            <w:hideMark/>
          </w:tcPr>
          <w:p w14:paraId="50CC0F16" w14:textId="77777777" w:rsidR="00000000" w:rsidRDefault="002F725F">
            <w:pPr>
              <w:rPr>
                <w:rFonts w:eastAsia="Times New Roman"/>
                <w:sz w:val="20"/>
                <w:szCs w:val="20"/>
              </w:rPr>
            </w:pPr>
            <w:r>
              <w:rPr>
                <w:rFonts w:eastAsia="Times New Roman"/>
                <w:sz w:val="20"/>
                <w:szCs w:val="20"/>
              </w:rPr>
              <w:t>●</w:t>
            </w:r>
          </w:p>
        </w:tc>
        <w:tc>
          <w:tcPr>
            <w:tcW w:w="0" w:type="auto"/>
            <w:hideMark/>
          </w:tcPr>
          <w:p w14:paraId="3F6B9742" w14:textId="77777777" w:rsidR="00000000" w:rsidRDefault="002F725F">
            <w:pPr>
              <w:jc w:val="both"/>
              <w:rPr>
                <w:rFonts w:eastAsia="Times New Roman"/>
                <w:sz w:val="20"/>
                <w:szCs w:val="20"/>
              </w:rPr>
            </w:pPr>
            <w:r>
              <w:rPr>
                <w:rFonts w:eastAsia="Times New Roman"/>
                <w:sz w:val="20"/>
                <w:szCs w:val="20"/>
              </w:rPr>
              <w:t>the fact that, since the Company’</w:t>
            </w:r>
            <w:r>
              <w:rPr>
                <w:rFonts w:eastAsia="Times New Roman"/>
                <w:sz w:val="20"/>
                <w:szCs w:val="20"/>
              </w:rPr>
              <w:t>s announcement of its receipt of the Original Proposal from Oceanpine on August 18, 2025, and prior to the execution of Amendment No. 1 to the Merger Agreement, no third party had contacted the Company, the Special Committee or Duff &amp; Phelps to explore any</w:t>
            </w:r>
            <w:r>
              <w:rPr>
                <w:rFonts w:eastAsia="Times New Roman"/>
                <w:sz w:val="20"/>
                <w:szCs w:val="20"/>
              </w:rPr>
              <w:t xml:space="preserve"> alternative transaction with the Company (for the avoidance of doubt, excluding the August 26, 2025 Proposal and the March 24, 2026 Proposal); and</w:t>
            </w:r>
          </w:p>
        </w:tc>
      </w:tr>
    </w:tbl>
    <w:p w14:paraId="35491D6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37741CD" w14:textId="77777777">
        <w:trPr>
          <w:divId w:val="415980837"/>
          <w:tblCellSpacing w:w="0" w:type="dxa"/>
        </w:trPr>
        <w:tc>
          <w:tcPr>
            <w:tcW w:w="720" w:type="dxa"/>
            <w:hideMark/>
          </w:tcPr>
          <w:p w14:paraId="50FA0B80" w14:textId="77777777" w:rsidR="00000000" w:rsidRDefault="002F725F">
            <w:pPr>
              <w:rPr>
                <w:sz w:val="20"/>
                <w:szCs w:val="20"/>
              </w:rPr>
            </w:pPr>
          </w:p>
        </w:tc>
        <w:tc>
          <w:tcPr>
            <w:tcW w:w="360" w:type="dxa"/>
            <w:hideMark/>
          </w:tcPr>
          <w:p w14:paraId="23981CD8" w14:textId="77777777" w:rsidR="00000000" w:rsidRDefault="002F725F">
            <w:pPr>
              <w:rPr>
                <w:rFonts w:eastAsia="Times New Roman"/>
                <w:sz w:val="20"/>
                <w:szCs w:val="20"/>
              </w:rPr>
            </w:pPr>
            <w:r>
              <w:rPr>
                <w:rFonts w:eastAsia="Times New Roman"/>
                <w:sz w:val="20"/>
                <w:szCs w:val="20"/>
              </w:rPr>
              <w:t>●</w:t>
            </w:r>
          </w:p>
        </w:tc>
        <w:tc>
          <w:tcPr>
            <w:tcW w:w="0" w:type="auto"/>
            <w:hideMark/>
          </w:tcPr>
          <w:p w14:paraId="1D97612A" w14:textId="77777777" w:rsidR="00000000" w:rsidRDefault="002F725F">
            <w:pPr>
              <w:jc w:val="both"/>
              <w:rPr>
                <w:rFonts w:eastAsia="Times New Roman"/>
                <w:sz w:val="20"/>
                <w:szCs w:val="20"/>
              </w:rPr>
            </w:pPr>
            <w:r>
              <w:rPr>
                <w:rFonts w:eastAsia="Times New Roman"/>
                <w:sz w:val="20"/>
                <w:szCs w:val="20"/>
              </w:rPr>
              <w:t>the fact that the purpose of the Variation of Share Capital is to align the Surviving Company’s author</w:t>
            </w:r>
            <w:r>
              <w:rPr>
                <w:rFonts w:eastAsia="Times New Roman"/>
                <w:sz w:val="20"/>
                <w:szCs w:val="20"/>
              </w:rPr>
              <w:t>ized share capital to be the same as that of Merger Sub as set forth in the Plan of Merger and the Variation of Share Capital will not affect the merger consideration to be received by the Unaffiliated Security Holders.</w:t>
            </w:r>
          </w:p>
        </w:tc>
      </w:tr>
    </w:tbl>
    <w:p w14:paraId="2124427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717C0A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In addition, the Special Committe</w:t>
      </w:r>
      <w:r>
        <w:rPr>
          <w:sz w:val="20"/>
          <w:szCs w:val="20"/>
        </w:rPr>
        <w:t>e and the Board believed that sufficient procedural safeguards were and are present to ensure that the Merger is procedurally fair to the Unaffiliated Security Holders and to permit the Special Committee and the Board to represent effectively the interests</w:t>
      </w:r>
      <w:r>
        <w:rPr>
          <w:sz w:val="20"/>
          <w:szCs w:val="20"/>
        </w:rPr>
        <w:t xml:space="preserve"> of such Unaffiliated Security Holders, which procedural safeguards include the following, which are not listed in any relative order of importance:</w:t>
      </w:r>
    </w:p>
    <w:p w14:paraId="3545A6B2"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81CCEC0" w14:textId="77777777">
        <w:trPr>
          <w:divId w:val="415980837"/>
          <w:tblCellSpacing w:w="0" w:type="dxa"/>
        </w:trPr>
        <w:tc>
          <w:tcPr>
            <w:tcW w:w="720" w:type="dxa"/>
            <w:hideMark/>
          </w:tcPr>
          <w:p w14:paraId="4C18DC12" w14:textId="77777777" w:rsidR="00000000" w:rsidRDefault="002F725F">
            <w:pPr>
              <w:rPr>
                <w:sz w:val="20"/>
                <w:szCs w:val="20"/>
              </w:rPr>
            </w:pPr>
          </w:p>
        </w:tc>
        <w:tc>
          <w:tcPr>
            <w:tcW w:w="360" w:type="dxa"/>
            <w:hideMark/>
          </w:tcPr>
          <w:p w14:paraId="70BF7D78" w14:textId="77777777" w:rsidR="00000000" w:rsidRDefault="002F725F">
            <w:pPr>
              <w:rPr>
                <w:rFonts w:eastAsia="Times New Roman"/>
                <w:sz w:val="20"/>
                <w:szCs w:val="20"/>
              </w:rPr>
            </w:pPr>
            <w:r>
              <w:rPr>
                <w:rFonts w:eastAsia="Times New Roman"/>
                <w:sz w:val="20"/>
                <w:szCs w:val="20"/>
              </w:rPr>
              <w:t>●</w:t>
            </w:r>
          </w:p>
        </w:tc>
        <w:tc>
          <w:tcPr>
            <w:tcW w:w="0" w:type="auto"/>
            <w:hideMark/>
          </w:tcPr>
          <w:p w14:paraId="7D3D6A1D" w14:textId="77777777" w:rsidR="00000000" w:rsidRDefault="002F725F">
            <w:pPr>
              <w:jc w:val="both"/>
              <w:rPr>
                <w:rFonts w:eastAsia="Times New Roman"/>
                <w:sz w:val="20"/>
                <w:szCs w:val="20"/>
              </w:rPr>
            </w:pPr>
            <w:r>
              <w:rPr>
                <w:rFonts w:eastAsia="Times New Roman"/>
                <w:sz w:val="20"/>
                <w:szCs w:val="20"/>
              </w:rPr>
              <w:t>the consideration and negotiation of the Merger Agreement was conducted entirely under the control and supervision of the Special Committee, which consists of three independent directors, and that no limitations were placed on the Special Committee’s autho</w:t>
            </w:r>
            <w:r>
              <w:rPr>
                <w:rFonts w:eastAsia="Times New Roman"/>
                <w:sz w:val="20"/>
                <w:szCs w:val="20"/>
              </w:rPr>
              <w:t>rity;</w:t>
            </w:r>
          </w:p>
        </w:tc>
      </w:tr>
    </w:tbl>
    <w:p w14:paraId="44346B19"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0E24850" w14:textId="77777777">
        <w:trPr>
          <w:divId w:val="415980837"/>
          <w:tblCellSpacing w:w="0" w:type="dxa"/>
        </w:trPr>
        <w:tc>
          <w:tcPr>
            <w:tcW w:w="720" w:type="dxa"/>
            <w:hideMark/>
          </w:tcPr>
          <w:p w14:paraId="29FD85A2" w14:textId="77777777" w:rsidR="00000000" w:rsidRDefault="002F725F">
            <w:pPr>
              <w:rPr>
                <w:sz w:val="20"/>
                <w:szCs w:val="20"/>
              </w:rPr>
            </w:pPr>
          </w:p>
        </w:tc>
        <w:tc>
          <w:tcPr>
            <w:tcW w:w="360" w:type="dxa"/>
            <w:hideMark/>
          </w:tcPr>
          <w:p w14:paraId="7DFC72BC" w14:textId="77777777" w:rsidR="00000000" w:rsidRDefault="002F725F">
            <w:pPr>
              <w:rPr>
                <w:rFonts w:eastAsia="Times New Roman"/>
                <w:sz w:val="20"/>
                <w:szCs w:val="20"/>
              </w:rPr>
            </w:pPr>
            <w:r>
              <w:rPr>
                <w:rFonts w:eastAsia="Times New Roman"/>
                <w:sz w:val="20"/>
                <w:szCs w:val="20"/>
              </w:rPr>
              <w:t>●</w:t>
            </w:r>
          </w:p>
        </w:tc>
        <w:tc>
          <w:tcPr>
            <w:tcW w:w="0" w:type="auto"/>
            <w:hideMark/>
          </w:tcPr>
          <w:p w14:paraId="58CAA329" w14:textId="77777777" w:rsidR="00000000" w:rsidRDefault="002F725F">
            <w:pPr>
              <w:jc w:val="both"/>
              <w:rPr>
                <w:rFonts w:eastAsia="Times New Roman"/>
                <w:sz w:val="20"/>
                <w:szCs w:val="20"/>
              </w:rPr>
            </w:pPr>
            <w:r>
              <w:rPr>
                <w:rFonts w:eastAsia="Times New Roman"/>
                <w:sz w:val="20"/>
                <w:szCs w:val="20"/>
              </w:rPr>
              <w:t>in considering the transaction with the Buyer Group, the Special Committee acted solely to represent the interests of the Unaffiliated Security Holders, and the Special Committee had full control of the extensive negotiations with the Buyer Gro</w:t>
            </w:r>
            <w:r>
              <w:rPr>
                <w:rFonts w:eastAsia="Times New Roman"/>
                <w:sz w:val="20"/>
                <w:szCs w:val="20"/>
              </w:rPr>
              <w:t>up and its advisors on behalf of the Unaffiliated Security Holders;</w:t>
            </w:r>
          </w:p>
        </w:tc>
      </w:tr>
    </w:tbl>
    <w:p w14:paraId="33FD1EE6"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9AF3541" w14:textId="77777777">
        <w:trPr>
          <w:divId w:val="415980837"/>
          <w:tblCellSpacing w:w="0" w:type="dxa"/>
        </w:trPr>
        <w:tc>
          <w:tcPr>
            <w:tcW w:w="720" w:type="dxa"/>
            <w:hideMark/>
          </w:tcPr>
          <w:p w14:paraId="10971E85" w14:textId="77777777" w:rsidR="00000000" w:rsidRDefault="002F725F">
            <w:pPr>
              <w:rPr>
                <w:sz w:val="20"/>
                <w:szCs w:val="20"/>
              </w:rPr>
            </w:pPr>
          </w:p>
        </w:tc>
        <w:tc>
          <w:tcPr>
            <w:tcW w:w="360" w:type="dxa"/>
            <w:hideMark/>
          </w:tcPr>
          <w:p w14:paraId="107A9A4D" w14:textId="77777777" w:rsidR="00000000" w:rsidRDefault="002F725F">
            <w:pPr>
              <w:rPr>
                <w:rFonts w:eastAsia="Times New Roman"/>
                <w:sz w:val="20"/>
                <w:szCs w:val="20"/>
              </w:rPr>
            </w:pPr>
            <w:r>
              <w:rPr>
                <w:rFonts w:eastAsia="Times New Roman"/>
                <w:sz w:val="20"/>
                <w:szCs w:val="20"/>
              </w:rPr>
              <w:t>●</w:t>
            </w:r>
          </w:p>
        </w:tc>
        <w:tc>
          <w:tcPr>
            <w:tcW w:w="0" w:type="auto"/>
            <w:hideMark/>
          </w:tcPr>
          <w:p w14:paraId="4A7E4879" w14:textId="77777777" w:rsidR="00000000" w:rsidRDefault="002F725F">
            <w:pPr>
              <w:jc w:val="both"/>
              <w:rPr>
                <w:rFonts w:eastAsia="Times New Roman"/>
                <w:sz w:val="20"/>
                <w:szCs w:val="20"/>
              </w:rPr>
            </w:pPr>
            <w:r>
              <w:rPr>
                <w:rFonts w:eastAsia="Times New Roman"/>
                <w:sz w:val="20"/>
                <w:szCs w:val="20"/>
              </w:rPr>
              <w:t xml:space="preserve">all members of the Special Committee during the entire process were and are independent directors and free from any affiliation with any member of the Buyer Group; in addition, none </w:t>
            </w:r>
            <w:r>
              <w:rPr>
                <w:rFonts w:eastAsia="Times New Roman"/>
                <w:sz w:val="20"/>
                <w:szCs w:val="20"/>
              </w:rPr>
              <w:t>of the members of the Special Committee is or ever was an employee of the Company or any of its subsidiaries or affiliates and none of such members has any financial interest in the Merger that is different from that of the Unaffiliated Security Holders ot</w:t>
            </w:r>
            <w:r>
              <w:rPr>
                <w:rFonts w:eastAsia="Times New Roman"/>
                <w:sz w:val="20"/>
                <w:szCs w:val="20"/>
              </w:rPr>
              <w:t>her than (a) the members’ receipt of Board compensation in the ordinary course and the Special Committee compensation (which is not contingent on the completion of the Merger or the Special Committee’s or the Board’s recommendation and/or authorization and</w:t>
            </w:r>
            <w:r>
              <w:rPr>
                <w:rFonts w:eastAsia="Times New Roman"/>
                <w:sz w:val="20"/>
                <w:szCs w:val="20"/>
              </w:rPr>
              <w:t xml:space="preserve"> approval of the Merger) and (b) their indemnification and liability insurance rights under their respective indemnification agreement entered into with the Company and the Merger Agreement;</w:t>
            </w:r>
          </w:p>
        </w:tc>
      </w:tr>
    </w:tbl>
    <w:p w14:paraId="019ADCA7"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A3E0A2D" w14:textId="77777777">
        <w:trPr>
          <w:divId w:val="415980837"/>
          <w:tblCellSpacing w:w="0" w:type="dxa"/>
        </w:trPr>
        <w:tc>
          <w:tcPr>
            <w:tcW w:w="720" w:type="dxa"/>
            <w:hideMark/>
          </w:tcPr>
          <w:p w14:paraId="2D0FA492" w14:textId="77777777" w:rsidR="00000000" w:rsidRDefault="002F725F">
            <w:pPr>
              <w:rPr>
                <w:sz w:val="20"/>
                <w:szCs w:val="20"/>
              </w:rPr>
            </w:pPr>
          </w:p>
        </w:tc>
        <w:tc>
          <w:tcPr>
            <w:tcW w:w="360" w:type="dxa"/>
            <w:hideMark/>
          </w:tcPr>
          <w:p w14:paraId="4C294DD4" w14:textId="77777777" w:rsidR="00000000" w:rsidRDefault="002F725F">
            <w:pPr>
              <w:rPr>
                <w:rFonts w:eastAsia="Times New Roman"/>
                <w:sz w:val="20"/>
                <w:szCs w:val="20"/>
              </w:rPr>
            </w:pPr>
            <w:r>
              <w:rPr>
                <w:rFonts w:eastAsia="Times New Roman"/>
                <w:sz w:val="20"/>
                <w:szCs w:val="20"/>
              </w:rPr>
              <w:t>●</w:t>
            </w:r>
          </w:p>
        </w:tc>
        <w:tc>
          <w:tcPr>
            <w:tcW w:w="0" w:type="auto"/>
            <w:hideMark/>
          </w:tcPr>
          <w:p w14:paraId="679BACB8" w14:textId="77777777" w:rsidR="00000000" w:rsidRDefault="002F725F">
            <w:pPr>
              <w:jc w:val="both"/>
              <w:rPr>
                <w:rFonts w:eastAsia="Times New Roman"/>
                <w:sz w:val="20"/>
                <w:szCs w:val="20"/>
              </w:rPr>
            </w:pPr>
            <w:r>
              <w:rPr>
                <w:rFonts w:eastAsia="Times New Roman"/>
                <w:sz w:val="20"/>
                <w:szCs w:val="20"/>
              </w:rPr>
              <w:t>the Special Committee was assisted in negotiations with the</w:t>
            </w:r>
            <w:r>
              <w:rPr>
                <w:rFonts w:eastAsia="Times New Roman"/>
                <w:sz w:val="20"/>
                <w:szCs w:val="20"/>
              </w:rPr>
              <w:t xml:space="preserve"> Buyer Group and in its evaluation of the Merger by Duff &amp; Phelps as its financial advisor, Gibson Dunn as its U.S. legal advisor and Maples as its Cayman Islands legal advisor;</w:t>
            </w:r>
          </w:p>
        </w:tc>
      </w:tr>
    </w:tbl>
    <w:p w14:paraId="19193971"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0109610" w14:textId="77777777">
        <w:trPr>
          <w:divId w:val="415980837"/>
          <w:tblCellSpacing w:w="0" w:type="dxa"/>
        </w:trPr>
        <w:tc>
          <w:tcPr>
            <w:tcW w:w="720" w:type="dxa"/>
            <w:hideMark/>
          </w:tcPr>
          <w:p w14:paraId="77BD5666" w14:textId="77777777" w:rsidR="00000000" w:rsidRDefault="002F725F">
            <w:pPr>
              <w:rPr>
                <w:sz w:val="20"/>
                <w:szCs w:val="20"/>
              </w:rPr>
            </w:pPr>
          </w:p>
        </w:tc>
        <w:tc>
          <w:tcPr>
            <w:tcW w:w="360" w:type="dxa"/>
            <w:hideMark/>
          </w:tcPr>
          <w:p w14:paraId="35A889A8" w14:textId="77777777" w:rsidR="00000000" w:rsidRDefault="002F725F">
            <w:pPr>
              <w:rPr>
                <w:rFonts w:eastAsia="Times New Roman"/>
                <w:sz w:val="20"/>
                <w:szCs w:val="20"/>
              </w:rPr>
            </w:pPr>
            <w:r>
              <w:rPr>
                <w:rFonts w:eastAsia="Times New Roman"/>
                <w:sz w:val="20"/>
                <w:szCs w:val="20"/>
              </w:rPr>
              <w:t>●</w:t>
            </w:r>
          </w:p>
        </w:tc>
        <w:tc>
          <w:tcPr>
            <w:tcW w:w="0" w:type="auto"/>
            <w:hideMark/>
          </w:tcPr>
          <w:p w14:paraId="1DB5BC96" w14:textId="77777777" w:rsidR="00000000" w:rsidRDefault="002F725F">
            <w:pPr>
              <w:jc w:val="both"/>
              <w:rPr>
                <w:rFonts w:eastAsia="Times New Roman"/>
                <w:sz w:val="20"/>
                <w:szCs w:val="20"/>
              </w:rPr>
            </w:pPr>
            <w:r>
              <w:rPr>
                <w:rFonts w:eastAsia="Times New Roman"/>
                <w:sz w:val="20"/>
                <w:szCs w:val="20"/>
              </w:rPr>
              <w:t>the Special Committee was empowered to, among other things, review, eval</w:t>
            </w:r>
            <w:r>
              <w:rPr>
                <w:rFonts w:eastAsia="Times New Roman"/>
                <w:sz w:val="20"/>
                <w:szCs w:val="20"/>
              </w:rPr>
              <w:t>uate and negotiate the terms of the Merger and to recommend to the Board what action should be taken by the Company, including not to engage in the Transactions;</w:t>
            </w:r>
          </w:p>
        </w:tc>
      </w:tr>
    </w:tbl>
    <w:p w14:paraId="7759E044"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28B0183" w14:textId="77777777">
        <w:trPr>
          <w:divId w:val="415980837"/>
          <w:tblCellSpacing w:w="0" w:type="dxa"/>
        </w:trPr>
        <w:tc>
          <w:tcPr>
            <w:tcW w:w="720" w:type="dxa"/>
            <w:hideMark/>
          </w:tcPr>
          <w:p w14:paraId="4DFD8597" w14:textId="77777777" w:rsidR="00000000" w:rsidRDefault="002F725F">
            <w:pPr>
              <w:rPr>
                <w:sz w:val="20"/>
                <w:szCs w:val="20"/>
              </w:rPr>
            </w:pPr>
          </w:p>
        </w:tc>
        <w:tc>
          <w:tcPr>
            <w:tcW w:w="360" w:type="dxa"/>
            <w:hideMark/>
          </w:tcPr>
          <w:p w14:paraId="11FAD97C" w14:textId="77777777" w:rsidR="00000000" w:rsidRDefault="002F725F">
            <w:pPr>
              <w:rPr>
                <w:rFonts w:eastAsia="Times New Roman"/>
                <w:sz w:val="20"/>
                <w:szCs w:val="20"/>
              </w:rPr>
            </w:pPr>
            <w:r>
              <w:rPr>
                <w:rFonts w:eastAsia="Times New Roman"/>
                <w:sz w:val="20"/>
                <w:szCs w:val="20"/>
              </w:rPr>
              <w:t>●</w:t>
            </w:r>
          </w:p>
        </w:tc>
        <w:tc>
          <w:tcPr>
            <w:tcW w:w="0" w:type="auto"/>
            <w:hideMark/>
          </w:tcPr>
          <w:p w14:paraId="5F76258A" w14:textId="77777777" w:rsidR="00000000" w:rsidRDefault="002F725F">
            <w:pPr>
              <w:jc w:val="both"/>
              <w:rPr>
                <w:rFonts w:eastAsia="Times New Roman"/>
                <w:sz w:val="20"/>
                <w:szCs w:val="20"/>
              </w:rPr>
            </w:pPr>
            <w:r>
              <w:rPr>
                <w:rFonts w:eastAsia="Times New Roman"/>
                <w:sz w:val="20"/>
                <w:szCs w:val="20"/>
              </w:rPr>
              <w:t>the terms and conditions of the Merger Agreement were the product of extensive negotiations between the Special Committee and its advisors, on the one hand, and the Buyer Group and its advisor, on the other hand;</w:t>
            </w:r>
          </w:p>
        </w:tc>
      </w:tr>
    </w:tbl>
    <w:p w14:paraId="39C5EB63"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6A8DA9B" w14:textId="77777777">
        <w:trPr>
          <w:divId w:val="415980837"/>
          <w:tblCellSpacing w:w="0" w:type="dxa"/>
        </w:trPr>
        <w:tc>
          <w:tcPr>
            <w:tcW w:w="720" w:type="dxa"/>
            <w:hideMark/>
          </w:tcPr>
          <w:p w14:paraId="78E404E9" w14:textId="77777777" w:rsidR="00000000" w:rsidRDefault="002F725F">
            <w:pPr>
              <w:rPr>
                <w:sz w:val="20"/>
                <w:szCs w:val="20"/>
              </w:rPr>
            </w:pPr>
          </w:p>
        </w:tc>
        <w:tc>
          <w:tcPr>
            <w:tcW w:w="360" w:type="dxa"/>
            <w:hideMark/>
          </w:tcPr>
          <w:p w14:paraId="5E9D5794" w14:textId="77777777" w:rsidR="00000000" w:rsidRDefault="002F725F">
            <w:pPr>
              <w:rPr>
                <w:rFonts w:eastAsia="Times New Roman"/>
                <w:sz w:val="20"/>
                <w:szCs w:val="20"/>
              </w:rPr>
            </w:pPr>
            <w:r>
              <w:rPr>
                <w:rFonts w:eastAsia="Times New Roman"/>
                <w:sz w:val="20"/>
                <w:szCs w:val="20"/>
              </w:rPr>
              <w:t>●</w:t>
            </w:r>
          </w:p>
        </w:tc>
        <w:tc>
          <w:tcPr>
            <w:tcW w:w="0" w:type="auto"/>
            <w:hideMark/>
          </w:tcPr>
          <w:p w14:paraId="5535A933" w14:textId="77777777" w:rsidR="00000000" w:rsidRDefault="002F725F">
            <w:pPr>
              <w:jc w:val="both"/>
              <w:rPr>
                <w:rFonts w:eastAsia="Times New Roman"/>
                <w:sz w:val="20"/>
                <w:szCs w:val="20"/>
              </w:rPr>
            </w:pPr>
            <w:r>
              <w:rPr>
                <w:rFonts w:eastAsia="Times New Roman"/>
                <w:sz w:val="20"/>
                <w:szCs w:val="20"/>
              </w:rPr>
              <w:t>the Special Committee held regular me</w:t>
            </w:r>
            <w:r>
              <w:rPr>
                <w:rFonts w:eastAsia="Times New Roman"/>
                <w:sz w:val="20"/>
                <w:szCs w:val="20"/>
              </w:rPr>
              <w:t>etings to consider and review the terms of the Merger Agreement and the Transactions and was fully briefed throughout the process;</w:t>
            </w:r>
          </w:p>
        </w:tc>
      </w:tr>
    </w:tbl>
    <w:p w14:paraId="16D70DF4"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FD6E6F9" w14:textId="77777777">
        <w:trPr>
          <w:divId w:val="415980837"/>
          <w:tblCellSpacing w:w="0" w:type="dxa"/>
        </w:trPr>
        <w:tc>
          <w:tcPr>
            <w:tcW w:w="720" w:type="dxa"/>
            <w:hideMark/>
          </w:tcPr>
          <w:p w14:paraId="533F1278" w14:textId="77777777" w:rsidR="00000000" w:rsidRDefault="002F725F">
            <w:pPr>
              <w:rPr>
                <w:sz w:val="20"/>
                <w:szCs w:val="20"/>
              </w:rPr>
            </w:pPr>
          </w:p>
        </w:tc>
        <w:tc>
          <w:tcPr>
            <w:tcW w:w="360" w:type="dxa"/>
            <w:hideMark/>
          </w:tcPr>
          <w:p w14:paraId="35B474B7" w14:textId="77777777" w:rsidR="00000000" w:rsidRDefault="002F725F">
            <w:pPr>
              <w:rPr>
                <w:rFonts w:eastAsia="Times New Roman"/>
                <w:sz w:val="20"/>
                <w:szCs w:val="20"/>
              </w:rPr>
            </w:pPr>
            <w:r>
              <w:rPr>
                <w:rFonts w:eastAsia="Times New Roman"/>
                <w:sz w:val="20"/>
                <w:szCs w:val="20"/>
              </w:rPr>
              <w:t>●</w:t>
            </w:r>
          </w:p>
        </w:tc>
        <w:tc>
          <w:tcPr>
            <w:tcW w:w="0" w:type="auto"/>
            <w:hideMark/>
          </w:tcPr>
          <w:p w14:paraId="66EE5244" w14:textId="77777777" w:rsidR="00000000" w:rsidRDefault="002F725F">
            <w:pPr>
              <w:jc w:val="both"/>
              <w:rPr>
                <w:rFonts w:eastAsia="Times New Roman"/>
                <w:sz w:val="20"/>
                <w:szCs w:val="20"/>
              </w:rPr>
            </w:pPr>
            <w:r>
              <w:rPr>
                <w:rFonts w:eastAsia="Times New Roman"/>
                <w:sz w:val="20"/>
                <w:szCs w:val="20"/>
              </w:rPr>
              <w:t>the recognition by the Special Committee that the Special Committee had no obligation to recommend the Merger or any ot</w:t>
            </w:r>
            <w:r>
              <w:rPr>
                <w:rFonts w:eastAsia="Times New Roman"/>
                <w:sz w:val="20"/>
                <w:szCs w:val="20"/>
              </w:rPr>
              <w:t>her Transactions;</w:t>
            </w:r>
          </w:p>
        </w:tc>
      </w:tr>
    </w:tbl>
    <w:p w14:paraId="5267CA5A"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F18D86A" w14:textId="77777777">
        <w:trPr>
          <w:divId w:val="415980837"/>
          <w:tblCellSpacing w:w="0" w:type="dxa"/>
        </w:trPr>
        <w:tc>
          <w:tcPr>
            <w:tcW w:w="720" w:type="dxa"/>
            <w:hideMark/>
          </w:tcPr>
          <w:p w14:paraId="72CACE1C" w14:textId="77777777" w:rsidR="00000000" w:rsidRDefault="002F725F">
            <w:pPr>
              <w:rPr>
                <w:sz w:val="20"/>
                <w:szCs w:val="20"/>
              </w:rPr>
            </w:pPr>
          </w:p>
        </w:tc>
        <w:tc>
          <w:tcPr>
            <w:tcW w:w="360" w:type="dxa"/>
            <w:hideMark/>
          </w:tcPr>
          <w:p w14:paraId="69520C31" w14:textId="77777777" w:rsidR="00000000" w:rsidRDefault="002F725F">
            <w:pPr>
              <w:rPr>
                <w:rFonts w:eastAsia="Times New Roman"/>
                <w:sz w:val="20"/>
                <w:szCs w:val="20"/>
              </w:rPr>
            </w:pPr>
            <w:r>
              <w:rPr>
                <w:rFonts w:eastAsia="Times New Roman"/>
                <w:sz w:val="20"/>
                <w:szCs w:val="20"/>
              </w:rPr>
              <w:t>●</w:t>
            </w:r>
          </w:p>
        </w:tc>
        <w:tc>
          <w:tcPr>
            <w:tcW w:w="0" w:type="auto"/>
            <w:hideMark/>
          </w:tcPr>
          <w:p w14:paraId="0BAAB61B" w14:textId="77777777" w:rsidR="00000000" w:rsidRDefault="002F725F">
            <w:pPr>
              <w:jc w:val="both"/>
              <w:rPr>
                <w:rFonts w:eastAsia="Times New Roman"/>
                <w:sz w:val="20"/>
                <w:szCs w:val="20"/>
              </w:rPr>
            </w:pPr>
            <w:r>
              <w:rPr>
                <w:rFonts w:eastAsia="Times New Roman"/>
                <w:sz w:val="20"/>
                <w:szCs w:val="20"/>
              </w:rPr>
              <w:t>the fact that the Company is able, subject to compliance with the terms and conditions of the Merger Agreement, to terminate the Merger Agreement prior to the receipt of the approval of the Company’s shareholders of the Merger Agree</w:t>
            </w:r>
            <w:r>
              <w:rPr>
                <w:rFonts w:eastAsia="Times New Roman"/>
                <w:sz w:val="20"/>
                <w:szCs w:val="20"/>
              </w:rPr>
              <w:t>ment and the Transactions at the extraordinary general meeting convened for such purpose in order to enter into an alternative agreement with respect to an acquisition proposal that is a Superior Proposal;</w:t>
            </w:r>
          </w:p>
        </w:tc>
      </w:tr>
    </w:tbl>
    <w:p w14:paraId="67333398"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324F4D4C" w14:textId="77777777" w:rsidR="00000000" w:rsidRDefault="002F725F">
      <w:pPr>
        <w:pStyle w:val="NormalWeb"/>
        <w:spacing w:before="0" w:beforeAutospacing="0" w:after="0" w:afterAutospacing="0"/>
        <w:jc w:val="center"/>
        <w:divId w:val="1270311969"/>
        <w:rPr>
          <w:sz w:val="20"/>
          <w:szCs w:val="20"/>
        </w:rPr>
      </w:pPr>
      <w:r>
        <w:rPr>
          <w:sz w:val="20"/>
          <w:szCs w:val="20"/>
        </w:rPr>
        <w:t>3</w:t>
      </w:r>
      <w:r>
        <w:rPr>
          <w:sz w:val="20"/>
          <w:szCs w:val="20"/>
        </w:rPr>
        <w:t>2</w:t>
      </w:r>
    </w:p>
    <w:p w14:paraId="275538D9" w14:textId="77777777" w:rsidR="00000000" w:rsidRDefault="002F725F">
      <w:pPr>
        <w:pStyle w:val="NormalWeb"/>
        <w:spacing w:before="0" w:beforeAutospacing="0" w:after="0" w:afterAutospacing="0"/>
        <w:divId w:val="1493065564"/>
        <w:rPr>
          <w:sz w:val="20"/>
          <w:szCs w:val="20"/>
        </w:rPr>
      </w:pPr>
      <w:r>
        <w:rPr>
          <w:sz w:val="20"/>
          <w:szCs w:val="20"/>
        </w:rPr>
        <w:t> </w:t>
      </w:r>
    </w:p>
    <w:p w14:paraId="0B72A750"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D2E2E7A" w14:textId="77777777">
        <w:trPr>
          <w:divId w:val="415980837"/>
          <w:tblCellSpacing w:w="0" w:type="dxa"/>
        </w:trPr>
        <w:tc>
          <w:tcPr>
            <w:tcW w:w="720" w:type="dxa"/>
            <w:hideMark/>
          </w:tcPr>
          <w:p w14:paraId="488970AB" w14:textId="77777777" w:rsidR="00000000" w:rsidRDefault="002F725F">
            <w:pPr>
              <w:rPr>
                <w:sz w:val="20"/>
                <w:szCs w:val="20"/>
              </w:rPr>
            </w:pPr>
          </w:p>
        </w:tc>
        <w:tc>
          <w:tcPr>
            <w:tcW w:w="360" w:type="dxa"/>
            <w:hideMark/>
          </w:tcPr>
          <w:p w14:paraId="5BB42A55" w14:textId="77777777" w:rsidR="00000000" w:rsidRDefault="002F725F">
            <w:pPr>
              <w:rPr>
                <w:rFonts w:eastAsia="Times New Roman"/>
                <w:sz w:val="20"/>
                <w:szCs w:val="20"/>
              </w:rPr>
            </w:pPr>
            <w:r>
              <w:rPr>
                <w:rFonts w:eastAsia="Times New Roman"/>
                <w:sz w:val="20"/>
                <w:szCs w:val="20"/>
              </w:rPr>
              <w:t>●</w:t>
            </w:r>
          </w:p>
        </w:tc>
        <w:tc>
          <w:tcPr>
            <w:tcW w:w="0" w:type="auto"/>
            <w:hideMark/>
          </w:tcPr>
          <w:p w14:paraId="29C8F365" w14:textId="77777777" w:rsidR="00000000" w:rsidRDefault="002F725F">
            <w:pPr>
              <w:jc w:val="both"/>
              <w:rPr>
                <w:rFonts w:eastAsia="Times New Roman"/>
                <w:sz w:val="20"/>
                <w:szCs w:val="20"/>
              </w:rPr>
            </w:pPr>
            <w:r>
              <w:rPr>
                <w:rFonts w:eastAsia="Times New Roman"/>
                <w:sz w:val="20"/>
                <w:szCs w:val="20"/>
              </w:rPr>
              <w:t>the ability of the Special Committee to change, withhold, withdraw, qualify or modify its recommendation that the shareholders vote to approve the Merger Agreement in the event of a Superior Proposal;</w:t>
            </w:r>
          </w:p>
        </w:tc>
      </w:tr>
    </w:tbl>
    <w:p w14:paraId="0FB9CE6C"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0F8E95A" w14:textId="77777777">
        <w:trPr>
          <w:divId w:val="415980837"/>
          <w:tblCellSpacing w:w="0" w:type="dxa"/>
        </w:trPr>
        <w:tc>
          <w:tcPr>
            <w:tcW w:w="720" w:type="dxa"/>
            <w:hideMark/>
          </w:tcPr>
          <w:p w14:paraId="6630BF60" w14:textId="77777777" w:rsidR="00000000" w:rsidRDefault="002F725F">
            <w:pPr>
              <w:rPr>
                <w:sz w:val="20"/>
                <w:szCs w:val="20"/>
              </w:rPr>
            </w:pPr>
          </w:p>
        </w:tc>
        <w:tc>
          <w:tcPr>
            <w:tcW w:w="360" w:type="dxa"/>
            <w:hideMark/>
          </w:tcPr>
          <w:p w14:paraId="772AC447" w14:textId="77777777" w:rsidR="00000000" w:rsidRDefault="002F725F">
            <w:pPr>
              <w:rPr>
                <w:rFonts w:eastAsia="Times New Roman"/>
                <w:sz w:val="20"/>
                <w:szCs w:val="20"/>
              </w:rPr>
            </w:pPr>
            <w:r>
              <w:rPr>
                <w:rFonts w:eastAsia="Times New Roman"/>
                <w:sz w:val="20"/>
                <w:szCs w:val="20"/>
              </w:rPr>
              <w:t>●</w:t>
            </w:r>
          </w:p>
        </w:tc>
        <w:tc>
          <w:tcPr>
            <w:tcW w:w="0" w:type="auto"/>
            <w:hideMark/>
          </w:tcPr>
          <w:p w14:paraId="3EB8C20B" w14:textId="77777777" w:rsidR="00000000" w:rsidRDefault="002F725F">
            <w:pPr>
              <w:jc w:val="both"/>
              <w:rPr>
                <w:rFonts w:eastAsia="Times New Roman"/>
                <w:sz w:val="20"/>
                <w:szCs w:val="20"/>
              </w:rPr>
            </w:pPr>
            <w:r>
              <w:rPr>
                <w:rFonts w:eastAsia="Times New Roman"/>
                <w:sz w:val="20"/>
                <w:szCs w:val="20"/>
              </w:rPr>
              <w:t xml:space="preserve">the ability of the Special Committee to evaluate </w:t>
            </w:r>
            <w:r>
              <w:rPr>
                <w:rFonts w:eastAsia="Times New Roman"/>
                <w:sz w:val="20"/>
                <w:szCs w:val="20"/>
              </w:rPr>
              <w:t>bona fide unsolicited alternative acquisition proposals that may arise between the date of the Merger Agreement and the date of the approval of the Merger by the Company’s shareholders, to furnish confidential information to and conduct negotiations with s</w:t>
            </w:r>
            <w:r>
              <w:rPr>
                <w:rFonts w:eastAsia="Times New Roman"/>
                <w:sz w:val="20"/>
                <w:szCs w:val="20"/>
              </w:rPr>
              <w:t>uch third parties and, in certain circumstances, to terminate the Merger Agreement, subject to the payment to Parent or its designees of a termination fee, and accept a Superior Proposal, consistent with the Special Committee’s fiduciary obligations; and</w:t>
            </w:r>
          </w:p>
        </w:tc>
      </w:tr>
    </w:tbl>
    <w:p w14:paraId="781CF4DD"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72D5299" w14:textId="77777777">
        <w:trPr>
          <w:divId w:val="415980837"/>
          <w:tblCellSpacing w:w="0" w:type="dxa"/>
        </w:trPr>
        <w:tc>
          <w:tcPr>
            <w:tcW w:w="720" w:type="dxa"/>
            <w:hideMark/>
          </w:tcPr>
          <w:p w14:paraId="09EAB3F4" w14:textId="77777777" w:rsidR="00000000" w:rsidRDefault="002F725F">
            <w:pPr>
              <w:rPr>
                <w:sz w:val="20"/>
                <w:szCs w:val="20"/>
              </w:rPr>
            </w:pPr>
          </w:p>
        </w:tc>
        <w:tc>
          <w:tcPr>
            <w:tcW w:w="360" w:type="dxa"/>
            <w:hideMark/>
          </w:tcPr>
          <w:p w14:paraId="0C066040" w14:textId="77777777" w:rsidR="00000000" w:rsidRDefault="002F725F">
            <w:pPr>
              <w:rPr>
                <w:rFonts w:eastAsia="Times New Roman"/>
                <w:sz w:val="20"/>
                <w:szCs w:val="20"/>
              </w:rPr>
            </w:pPr>
            <w:r>
              <w:rPr>
                <w:rFonts w:eastAsia="Times New Roman"/>
                <w:sz w:val="20"/>
                <w:szCs w:val="20"/>
              </w:rPr>
              <w:t>●</w:t>
            </w:r>
          </w:p>
        </w:tc>
        <w:tc>
          <w:tcPr>
            <w:tcW w:w="0" w:type="auto"/>
            <w:hideMark/>
          </w:tcPr>
          <w:p w14:paraId="6BA72B19" w14:textId="77777777" w:rsidR="00000000" w:rsidRDefault="002F725F">
            <w:pPr>
              <w:jc w:val="both"/>
              <w:rPr>
                <w:rFonts w:eastAsia="Times New Roman"/>
                <w:sz w:val="20"/>
                <w:szCs w:val="20"/>
              </w:rPr>
            </w:pPr>
            <w:r>
              <w:rPr>
                <w:rFonts w:eastAsia="Times New Roman"/>
                <w:sz w:val="20"/>
                <w:szCs w:val="20"/>
              </w:rPr>
              <w:t>the availability of dissenters’ rights to the Unaffiliated Security Holders who comply with all of the required procedures under the Cayman Islands Companies Act for exercising dissenters’ rights, which allow such shareholders to receive payment of th</w:t>
            </w:r>
            <w:r>
              <w:rPr>
                <w:rFonts w:eastAsia="Times New Roman"/>
                <w:sz w:val="20"/>
                <w:szCs w:val="20"/>
              </w:rPr>
              <w:t>e fair value of their Shares as determined by the Grand Court of the Cayman Islands.</w:t>
            </w:r>
          </w:p>
        </w:tc>
      </w:tr>
    </w:tbl>
    <w:p w14:paraId="70C67C7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9A0D21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w:t>
      </w:r>
      <w:r>
        <w:rPr>
          <w:sz w:val="20"/>
          <w:szCs w:val="20"/>
        </w:rPr>
        <w:t>Special Committee and the Board also considered a variety of potentially negative factors concerning the Merger Agreement and the Merger, including the following, which are not listed in any relative order of importance:</w:t>
      </w:r>
    </w:p>
    <w:p w14:paraId="79A9A56F"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D9A32EF" w14:textId="77777777">
        <w:trPr>
          <w:divId w:val="415980837"/>
          <w:tblCellSpacing w:w="0" w:type="dxa"/>
        </w:trPr>
        <w:tc>
          <w:tcPr>
            <w:tcW w:w="720" w:type="dxa"/>
            <w:hideMark/>
          </w:tcPr>
          <w:p w14:paraId="7C3C79AC" w14:textId="77777777" w:rsidR="00000000" w:rsidRDefault="002F725F">
            <w:pPr>
              <w:rPr>
                <w:sz w:val="20"/>
                <w:szCs w:val="20"/>
              </w:rPr>
            </w:pPr>
          </w:p>
        </w:tc>
        <w:tc>
          <w:tcPr>
            <w:tcW w:w="360" w:type="dxa"/>
            <w:hideMark/>
          </w:tcPr>
          <w:p w14:paraId="3714C07C" w14:textId="77777777" w:rsidR="00000000" w:rsidRDefault="002F725F">
            <w:pPr>
              <w:rPr>
                <w:rFonts w:eastAsia="Times New Roman"/>
                <w:sz w:val="20"/>
                <w:szCs w:val="20"/>
              </w:rPr>
            </w:pPr>
            <w:r>
              <w:rPr>
                <w:rFonts w:eastAsia="Times New Roman"/>
                <w:sz w:val="20"/>
                <w:szCs w:val="20"/>
              </w:rPr>
              <w:t>●</w:t>
            </w:r>
          </w:p>
        </w:tc>
        <w:tc>
          <w:tcPr>
            <w:tcW w:w="0" w:type="auto"/>
            <w:hideMark/>
          </w:tcPr>
          <w:p w14:paraId="32291869" w14:textId="77777777" w:rsidR="00000000" w:rsidRDefault="002F725F">
            <w:pPr>
              <w:jc w:val="both"/>
              <w:rPr>
                <w:rFonts w:eastAsia="Times New Roman"/>
                <w:sz w:val="20"/>
                <w:szCs w:val="20"/>
              </w:rPr>
            </w:pPr>
            <w:r>
              <w:rPr>
                <w:rFonts w:eastAsia="Times New Roman"/>
                <w:sz w:val="20"/>
                <w:szCs w:val="20"/>
              </w:rPr>
              <w:t>approval of the Merger Agreement is not subject to the authorization and approval of holders of a majority of the Company’s outstanding Shares unaffiliated with the Buyer Group and given that the Buyer Group holds approximately 53.35% of the voting power o</w:t>
            </w:r>
            <w:r>
              <w:rPr>
                <w:rFonts w:eastAsia="Times New Roman"/>
                <w:sz w:val="20"/>
                <w:szCs w:val="20"/>
              </w:rPr>
              <w:t xml:space="preserve">f the total issued and outstanding Shares as of the date of this proxy statement, the Buyer Group has the ability to substantially influence the outcome of the matters to be voted upon at the extraordinary general meeting even if the Unaffiliated Security </w:t>
            </w:r>
            <w:r>
              <w:rPr>
                <w:rFonts w:eastAsia="Times New Roman"/>
                <w:sz w:val="20"/>
                <w:szCs w:val="20"/>
              </w:rPr>
              <w:t>Holders overwhelmingly vote against the proposal to authorize and approve the Merger Agreement;</w:t>
            </w:r>
          </w:p>
        </w:tc>
      </w:tr>
    </w:tbl>
    <w:p w14:paraId="4FA0DCE8"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EDB2E5C" w14:textId="77777777">
        <w:trPr>
          <w:divId w:val="415980837"/>
          <w:tblCellSpacing w:w="0" w:type="dxa"/>
        </w:trPr>
        <w:tc>
          <w:tcPr>
            <w:tcW w:w="720" w:type="dxa"/>
            <w:hideMark/>
          </w:tcPr>
          <w:p w14:paraId="69478147" w14:textId="77777777" w:rsidR="00000000" w:rsidRDefault="002F725F">
            <w:pPr>
              <w:rPr>
                <w:sz w:val="20"/>
                <w:szCs w:val="20"/>
              </w:rPr>
            </w:pPr>
          </w:p>
        </w:tc>
        <w:tc>
          <w:tcPr>
            <w:tcW w:w="360" w:type="dxa"/>
            <w:hideMark/>
          </w:tcPr>
          <w:p w14:paraId="77376831" w14:textId="77777777" w:rsidR="00000000" w:rsidRDefault="002F725F">
            <w:pPr>
              <w:rPr>
                <w:rFonts w:eastAsia="Times New Roman"/>
                <w:sz w:val="20"/>
                <w:szCs w:val="20"/>
              </w:rPr>
            </w:pPr>
            <w:r>
              <w:rPr>
                <w:rFonts w:eastAsia="Times New Roman"/>
                <w:sz w:val="20"/>
                <w:szCs w:val="20"/>
              </w:rPr>
              <w:t>●</w:t>
            </w:r>
          </w:p>
        </w:tc>
        <w:tc>
          <w:tcPr>
            <w:tcW w:w="0" w:type="auto"/>
            <w:hideMark/>
          </w:tcPr>
          <w:p w14:paraId="23A5131E" w14:textId="77777777" w:rsidR="00000000" w:rsidRDefault="002F725F">
            <w:pPr>
              <w:jc w:val="both"/>
              <w:rPr>
                <w:rFonts w:eastAsia="Times New Roman"/>
                <w:sz w:val="20"/>
                <w:szCs w:val="20"/>
              </w:rPr>
            </w:pPr>
            <w:r>
              <w:rPr>
                <w:rFonts w:eastAsia="Times New Roman"/>
                <w:sz w:val="20"/>
                <w:szCs w:val="20"/>
              </w:rPr>
              <w:t>the significant portion of the voting power of the Shares owned by the Buyer Group may have discouraged, and may continue to discourage, other potentially</w:t>
            </w:r>
            <w:r>
              <w:rPr>
                <w:rFonts w:eastAsia="Times New Roman"/>
                <w:sz w:val="20"/>
                <w:szCs w:val="20"/>
              </w:rPr>
              <w:t xml:space="preserve"> interested parties from proposing to acquire the Company at a price that is higher than US$0.066 per Share;</w:t>
            </w:r>
          </w:p>
        </w:tc>
      </w:tr>
    </w:tbl>
    <w:p w14:paraId="098E2557"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3EE20AF" w14:textId="77777777">
        <w:trPr>
          <w:divId w:val="415980837"/>
          <w:tblCellSpacing w:w="0" w:type="dxa"/>
        </w:trPr>
        <w:tc>
          <w:tcPr>
            <w:tcW w:w="720" w:type="dxa"/>
            <w:hideMark/>
          </w:tcPr>
          <w:p w14:paraId="2D3B2AA3" w14:textId="77777777" w:rsidR="00000000" w:rsidRDefault="002F725F">
            <w:pPr>
              <w:rPr>
                <w:rFonts w:eastAsia="Times New Roman"/>
                <w:sz w:val="20"/>
                <w:szCs w:val="20"/>
              </w:rPr>
            </w:pPr>
            <w:r>
              <w:rPr>
                <w:rFonts w:eastAsia="Times New Roman"/>
                <w:sz w:val="20"/>
                <w:szCs w:val="20"/>
              </w:rPr>
              <w:t> </w:t>
            </w:r>
          </w:p>
        </w:tc>
        <w:tc>
          <w:tcPr>
            <w:tcW w:w="360" w:type="dxa"/>
            <w:hideMark/>
          </w:tcPr>
          <w:p w14:paraId="51DF7340" w14:textId="77777777" w:rsidR="00000000" w:rsidRDefault="002F725F">
            <w:pPr>
              <w:rPr>
                <w:rFonts w:eastAsia="Times New Roman"/>
                <w:sz w:val="20"/>
                <w:szCs w:val="20"/>
              </w:rPr>
            </w:pPr>
            <w:r>
              <w:rPr>
                <w:rFonts w:eastAsia="Times New Roman"/>
                <w:sz w:val="20"/>
                <w:szCs w:val="20"/>
              </w:rPr>
              <w:t>●</w:t>
            </w:r>
          </w:p>
        </w:tc>
        <w:tc>
          <w:tcPr>
            <w:tcW w:w="0" w:type="auto"/>
            <w:hideMark/>
          </w:tcPr>
          <w:p w14:paraId="04553565" w14:textId="77777777" w:rsidR="00000000" w:rsidRDefault="002F725F">
            <w:pPr>
              <w:jc w:val="both"/>
              <w:rPr>
                <w:rFonts w:eastAsia="Times New Roman"/>
                <w:sz w:val="20"/>
                <w:szCs w:val="20"/>
              </w:rPr>
            </w:pPr>
            <w:r>
              <w:rPr>
                <w:rFonts w:eastAsia="Times New Roman"/>
                <w:sz w:val="20"/>
                <w:szCs w:val="20"/>
              </w:rPr>
              <w:t xml:space="preserve">the possibility, although considered highly unlikely, that the Awards may be revoked, invalidated or otherwise not enforced, in whole or in </w:t>
            </w:r>
            <w:r>
              <w:rPr>
                <w:rFonts w:eastAsia="Times New Roman"/>
                <w:sz w:val="20"/>
                <w:szCs w:val="20"/>
              </w:rPr>
              <w:t>part, which could materially reduce or eliminate the associated financial liability and, as a result, enhance the Company’s financial condition and standalone value, potentially to a level exceeding that implied by the Per Share Merger Consideration;</w:t>
            </w:r>
          </w:p>
        </w:tc>
      </w:tr>
    </w:tbl>
    <w:p w14:paraId="7168ADDE"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EC02CED" w14:textId="77777777">
        <w:trPr>
          <w:divId w:val="415980837"/>
          <w:tblCellSpacing w:w="0" w:type="dxa"/>
        </w:trPr>
        <w:tc>
          <w:tcPr>
            <w:tcW w:w="720" w:type="dxa"/>
            <w:hideMark/>
          </w:tcPr>
          <w:p w14:paraId="57E304C0" w14:textId="77777777" w:rsidR="00000000" w:rsidRDefault="002F725F">
            <w:pPr>
              <w:rPr>
                <w:sz w:val="20"/>
                <w:szCs w:val="20"/>
              </w:rPr>
            </w:pPr>
          </w:p>
        </w:tc>
        <w:tc>
          <w:tcPr>
            <w:tcW w:w="360" w:type="dxa"/>
            <w:hideMark/>
          </w:tcPr>
          <w:p w14:paraId="3B3A1131" w14:textId="77777777" w:rsidR="00000000" w:rsidRDefault="002F725F">
            <w:pPr>
              <w:rPr>
                <w:rFonts w:eastAsia="Times New Roman"/>
                <w:sz w:val="20"/>
                <w:szCs w:val="20"/>
              </w:rPr>
            </w:pPr>
            <w:r>
              <w:rPr>
                <w:rFonts w:eastAsia="Times New Roman"/>
                <w:sz w:val="20"/>
                <w:szCs w:val="20"/>
              </w:rPr>
              <w:t>●</w:t>
            </w:r>
          </w:p>
        </w:tc>
        <w:tc>
          <w:tcPr>
            <w:tcW w:w="0" w:type="auto"/>
            <w:hideMark/>
          </w:tcPr>
          <w:p w14:paraId="3DB25DAB" w14:textId="77777777" w:rsidR="00000000" w:rsidRDefault="002F725F">
            <w:pPr>
              <w:jc w:val="both"/>
              <w:rPr>
                <w:rFonts w:eastAsia="Times New Roman"/>
                <w:sz w:val="20"/>
                <w:szCs w:val="20"/>
              </w:rPr>
            </w:pPr>
            <w:r>
              <w:rPr>
                <w:rFonts w:eastAsia="Times New Roman"/>
                <w:sz w:val="20"/>
                <w:szCs w:val="20"/>
              </w:rPr>
              <w:t>the Unaffiliated Security Holders will have no on-going equity participation in the Company following the Merger, and they will cease to participate in the Company’</w:t>
            </w:r>
            <w:r>
              <w:rPr>
                <w:rFonts w:eastAsia="Times New Roman"/>
                <w:sz w:val="20"/>
                <w:szCs w:val="20"/>
              </w:rPr>
              <w:t>s future earnings or growth, if any, or to benefit from increases, if any, in the value of Shares, and will not participate in any potential future sale of the Company to a third party or any potential recapitalization of the Company, which could include a</w:t>
            </w:r>
            <w:r>
              <w:rPr>
                <w:rFonts w:eastAsia="Times New Roman"/>
                <w:sz w:val="20"/>
                <w:szCs w:val="20"/>
              </w:rPr>
              <w:t xml:space="preserve"> dividend to shareholders;</w:t>
            </w:r>
          </w:p>
        </w:tc>
      </w:tr>
    </w:tbl>
    <w:p w14:paraId="2D888F10"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A4F8412" w14:textId="77777777">
        <w:trPr>
          <w:divId w:val="415980837"/>
          <w:tblCellSpacing w:w="0" w:type="dxa"/>
        </w:trPr>
        <w:tc>
          <w:tcPr>
            <w:tcW w:w="720" w:type="dxa"/>
            <w:hideMark/>
          </w:tcPr>
          <w:p w14:paraId="6AE5222A" w14:textId="77777777" w:rsidR="00000000" w:rsidRDefault="002F725F">
            <w:pPr>
              <w:rPr>
                <w:sz w:val="20"/>
                <w:szCs w:val="20"/>
              </w:rPr>
            </w:pPr>
          </w:p>
        </w:tc>
        <w:tc>
          <w:tcPr>
            <w:tcW w:w="360" w:type="dxa"/>
            <w:hideMark/>
          </w:tcPr>
          <w:p w14:paraId="735C9ECA" w14:textId="77777777" w:rsidR="00000000" w:rsidRDefault="002F725F">
            <w:pPr>
              <w:rPr>
                <w:rFonts w:eastAsia="Times New Roman"/>
                <w:sz w:val="20"/>
                <w:szCs w:val="20"/>
              </w:rPr>
            </w:pPr>
            <w:r>
              <w:rPr>
                <w:rFonts w:eastAsia="Times New Roman"/>
                <w:sz w:val="20"/>
                <w:szCs w:val="20"/>
              </w:rPr>
              <w:t>●</w:t>
            </w:r>
          </w:p>
        </w:tc>
        <w:tc>
          <w:tcPr>
            <w:tcW w:w="0" w:type="auto"/>
            <w:hideMark/>
          </w:tcPr>
          <w:p w14:paraId="43449D33" w14:textId="77777777" w:rsidR="00000000" w:rsidRDefault="002F725F">
            <w:pPr>
              <w:jc w:val="both"/>
              <w:rPr>
                <w:rFonts w:eastAsia="Times New Roman"/>
                <w:sz w:val="20"/>
                <w:szCs w:val="20"/>
              </w:rPr>
            </w:pPr>
            <w:r>
              <w:rPr>
                <w:rFonts w:eastAsia="Times New Roman"/>
                <w:sz w:val="20"/>
                <w:szCs w:val="20"/>
              </w:rPr>
              <w:t>the restrictions on the conduct of the Company’s business prior to the consummation of the Merger, which may delay or prevent the Company from undertaking business opportunities that may arise or any other action it would o</w:t>
            </w:r>
            <w:r>
              <w:rPr>
                <w:rFonts w:eastAsia="Times New Roman"/>
                <w:sz w:val="20"/>
                <w:szCs w:val="20"/>
              </w:rPr>
              <w:t>therwise take with respect to the operations of the Company pending the consummation of the Merger;</w:t>
            </w:r>
          </w:p>
        </w:tc>
      </w:tr>
    </w:tbl>
    <w:p w14:paraId="178A7883"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EB5CF25" w14:textId="77777777">
        <w:trPr>
          <w:divId w:val="415980837"/>
          <w:tblCellSpacing w:w="0" w:type="dxa"/>
        </w:trPr>
        <w:tc>
          <w:tcPr>
            <w:tcW w:w="720" w:type="dxa"/>
            <w:hideMark/>
          </w:tcPr>
          <w:p w14:paraId="363E087E" w14:textId="77777777" w:rsidR="00000000" w:rsidRDefault="002F725F">
            <w:pPr>
              <w:rPr>
                <w:rFonts w:eastAsia="Times New Roman"/>
                <w:sz w:val="20"/>
                <w:szCs w:val="20"/>
              </w:rPr>
            </w:pPr>
            <w:r>
              <w:rPr>
                <w:rFonts w:eastAsia="Times New Roman"/>
                <w:sz w:val="20"/>
                <w:szCs w:val="20"/>
              </w:rPr>
              <w:t> </w:t>
            </w:r>
          </w:p>
        </w:tc>
        <w:tc>
          <w:tcPr>
            <w:tcW w:w="360" w:type="dxa"/>
            <w:hideMark/>
          </w:tcPr>
          <w:p w14:paraId="04D88785" w14:textId="77777777" w:rsidR="00000000" w:rsidRDefault="002F725F">
            <w:pPr>
              <w:rPr>
                <w:rFonts w:eastAsia="Times New Roman"/>
                <w:sz w:val="20"/>
                <w:szCs w:val="20"/>
              </w:rPr>
            </w:pPr>
            <w:r>
              <w:rPr>
                <w:rFonts w:eastAsia="Times New Roman"/>
                <w:sz w:val="20"/>
                <w:szCs w:val="20"/>
              </w:rPr>
              <w:t>●</w:t>
            </w:r>
          </w:p>
        </w:tc>
        <w:tc>
          <w:tcPr>
            <w:tcW w:w="0" w:type="auto"/>
            <w:hideMark/>
          </w:tcPr>
          <w:p w14:paraId="01D3A035" w14:textId="77777777" w:rsidR="00000000" w:rsidRDefault="002F725F">
            <w:pPr>
              <w:jc w:val="both"/>
              <w:rPr>
                <w:rFonts w:eastAsia="Times New Roman"/>
                <w:sz w:val="20"/>
                <w:szCs w:val="20"/>
              </w:rPr>
            </w:pPr>
            <w:r>
              <w:rPr>
                <w:rFonts w:eastAsia="Times New Roman"/>
                <w:sz w:val="20"/>
                <w:szCs w:val="20"/>
              </w:rPr>
              <w:t>the historical closing price of the Shares was as high as US$2.75 per Share during the 52-week period prior to and including March 24, 2026, the last</w:t>
            </w:r>
            <w:r>
              <w:rPr>
                <w:rFonts w:eastAsia="Times New Roman"/>
                <w:sz w:val="20"/>
                <w:szCs w:val="20"/>
              </w:rPr>
              <w:t xml:space="preserve"> trading day before the Company announced its receipt of the March 24, 2026 Proposal;</w:t>
            </w:r>
          </w:p>
        </w:tc>
      </w:tr>
    </w:tbl>
    <w:p w14:paraId="0FD899A2"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E40EC73" w14:textId="77777777">
        <w:trPr>
          <w:divId w:val="415980837"/>
          <w:tblCellSpacing w:w="0" w:type="dxa"/>
        </w:trPr>
        <w:tc>
          <w:tcPr>
            <w:tcW w:w="720" w:type="dxa"/>
            <w:hideMark/>
          </w:tcPr>
          <w:p w14:paraId="038AA882" w14:textId="77777777" w:rsidR="00000000" w:rsidRDefault="002F725F">
            <w:pPr>
              <w:rPr>
                <w:sz w:val="20"/>
                <w:szCs w:val="20"/>
              </w:rPr>
            </w:pPr>
          </w:p>
        </w:tc>
        <w:tc>
          <w:tcPr>
            <w:tcW w:w="360" w:type="dxa"/>
            <w:hideMark/>
          </w:tcPr>
          <w:p w14:paraId="796F2FBB" w14:textId="77777777" w:rsidR="00000000" w:rsidRDefault="002F725F">
            <w:pPr>
              <w:rPr>
                <w:rFonts w:eastAsia="Times New Roman"/>
                <w:sz w:val="20"/>
                <w:szCs w:val="20"/>
              </w:rPr>
            </w:pPr>
            <w:r>
              <w:rPr>
                <w:rFonts w:eastAsia="Times New Roman"/>
                <w:sz w:val="20"/>
                <w:szCs w:val="20"/>
              </w:rPr>
              <w:t>●</w:t>
            </w:r>
          </w:p>
        </w:tc>
        <w:tc>
          <w:tcPr>
            <w:tcW w:w="0" w:type="auto"/>
            <w:hideMark/>
          </w:tcPr>
          <w:p w14:paraId="39871517" w14:textId="77777777" w:rsidR="00000000" w:rsidRDefault="002F725F">
            <w:pPr>
              <w:jc w:val="both"/>
              <w:rPr>
                <w:rFonts w:eastAsia="Times New Roman"/>
                <w:sz w:val="20"/>
                <w:szCs w:val="20"/>
              </w:rPr>
            </w:pPr>
            <w:r>
              <w:rPr>
                <w:rFonts w:eastAsia="Times New Roman"/>
                <w:sz w:val="20"/>
                <w:szCs w:val="20"/>
              </w:rPr>
              <w:t xml:space="preserve">the risks and costs to the Company if the Merger is not consummated, including the diversion of management and employee attention, potential employee attrition and </w:t>
            </w:r>
            <w:r>
              <w:rPr>
                <w:rFonts w:eastAsia="Times New Roman"/>
                <w:sz w:val="20"/>
                <w:szCs w:val="20"/>
              </w:rPr>
              <w:t>the potential disruptive effect on the Company’s business and customer relationships;</w:t>
            </w:r>
          </w:p>
        </w:tc>
      </w:tr>
    </w:tbl>
    <w:p w14:paraId="6BBBAA20"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1EC111F" w14:textId="77777777">
        <w:trPr>
          <w:divId w:val="415980837"/>
          <w:tblCellSpacing w:w="0" w:type="dxa"/>
        </w:trPr>
        <w:tc>
          <w:tcPr>
            <w:tcW w:w="720" w:type="dxa"/>
            <w:hideMark/>
          </w:tcPr>
          <w:p w14:paraId="197A903A" w14:textId="77777777" w:rsidR="00000000" w:rsidRDefault="002F725F">
            <w:pPr>
              <w:rPr>
                <w:sz w:val="20"/>
                <w:szCs w:val="20"/>
              </w:rPr>
            </w:pPr>
          </w:p>
        </w:tc>
        <w:tc>
          <w:tcPr>
            <w:tcW w:w="360" w:type="dxa"/>
            <w:hideMark/>
          </w:tcPr>
          <w:p w14:paraId="0DFBCBA1" w14:textId="77777777" w:rsidR="00000000" w:rsidRDefault="002F725F">
            <w:pPr>
              <w:rPr>
                <w:rFonts w:eastAsia="Times New Roman"/>
                <w:sz w:val="20"/>
                <w:szCs w:val="20"/>
              </w:rPr>
            </w:pPr>
            <w:r>
              <w:rPr>
                <w:rFonts w:eastAsia="Times New Roman"/>
                <w:sz w:val="20"/>
                <w:szCs w:val="20"/>
              </w:rPr>
              <w:t>●</w:t>
            </w:r>
          </w:p>
        </w:tc>
        <w:tc>
          <w:tcPr>
            <w:tcW w:w="0" w:type="auto"/>
            <w:hideMark/>
          </w:tcPr>
          <w:p w14:paraId="0FBF88B4" w14:textId="77777777" w:rsidR="00000000" w:rsidRDefault="002F725F">
            <w:pPr>
              <w:jc w:val="both"/>
              <w:rPr>
                <w:rFonts w:eastAsia="Times New Roman"/>
                <w:sz w:val="20"/>
                <w:szCs w:val="20"/>
              </w:rPr>
            </w:pPr>
            <w:r>
              <w:rPr>
                <w:rFonts w:eastAsia="Times New Roman"/>
                <w:sz w:val="20"/>
                <w:szCs w:val="20"/>
              </w:rPr>
              <w:t>the Company may be required, under certain circumstances, to pay Parent a termination fee of US$50,000 in connection with termination of the Merger Agreement;</w:t>
            </w:r>
          </w:p>
        </w:tc>
      </w:tr>
    </w:tbl>
    <w:p w14:paraId="1859A0CA"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D293D35" w14:textId="77777777">
        <w:trPr>
          <w:divId w:val="415980837"/>
          <w:tblCellSpacing w:w="0" w:type="dxa"/>
        </w:trPr>
        <w:tc>
          <w:tcPr>
            <w:tcW w:w="720" w:type="dxa"/>
            <w:hideMark/>
          </w:tcPr>
          <w:p w14:paraId="417A26A5" w14:textId="77777777" w:rsidR="00000000" w:rsidRDefault="002F725F">
            <w:pPr>
              <w:rPr>
                <w:sz w:val="20"/>
                <w:szCs w:val="20"/>
              </w:rPr>
            </w:pPr>
          </w:p>
        </w:tc>
        <w:tc>
          <w:tcPr>
            <w:tcW w:w="360" w:type="dxa"/>
            <w:hideMark/>
          </w:tcPr>
          <w:p w14:paraId="062969CD" w14:textId="77777777" w:rsidR="00000000" w:rsidRDefault="002F725F">
            <w:pPr>
              <w:rPr>
                <w:rFonts w:eastAsia="Times New Roman"/>
                <w:sz w:val="20"/>
                <w:szCs w:val="20"/>
              </w:rPr>
            </w:pPr>
            <w:r>
              <w:rPr>
                <w:rFonts w:eastAsia="Times New Roman"/>
                <w:sz w:val="20"/>
                <w:szCs w:val="20"/>
              </w:rPr>
              <w:t>●</w:t>
            </w:r>
          </w:p>
        </w:tc>
        <w:tc>
          <w:tcPr>
            <w:tcW w:w="0" w:type="auto"/>
            <w:hideMark/>
          </w:tcPr>
          <w:p w14:paraId="7DCC997D" w14:textId="77777777" w:rsidR="00000000" w:rsidRDefault="002F725F">
            <w:pPr>
              <w:jc w:val="both"/>
              <w:rPr>
                <w:rFonts w:eastAsia="Times New Roman"/>
                <w:sz w:val="20"/>
                <w:szCs w:val="20"/>
              </w:rPr>
            </w:pPr>
            <w:r>
              <w:rPr>
                <w:rFonts w:eastAsia="Times New Roman"/>
                <w:sz w:val="20"/>
                <w:szCs w:val="20"/>
              </w:rPr>
              <w:t>the Company’s remedy in the event of a breach of the Merger Agreement by Parent and Merger Sub is limited, under certain circumstances, to receipt of a reverse termination fee of US$100,000, and under certain circumstances the Company may not be entitled</w:t>
            </w:r>
            <w:r>
              <w:rPr>
                <w:rFonts w:eastAsia="Times New Roman"/>
                <w:sz w:val="20"/>
                <w:szCs w:val="20"/>
              </w:rPr>
              <w:t xml:space="preserve"> to a reverse termination fee or expenses at all;</w:t>
            </w:r>
          </w:p>
        </w:tc>
      </w:tr>
    </w:tbl>
    <w:p w14:paraId="221DEA34"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0AE9F75" w14:textId="77777777" w:rsidR="00000000" w:rsidRDefault="002F725F">
      <w:pPr>
        <w:pStyle w:val="NormalWeb"/>
        <w:spacing w:before="0" w:beforeAutospacing="0" w:after="0" w:afterAutospacing="0"/>
        <w:jc w:val="center"/>
        <w:divId w:val="2029595258"/>
        <w:rPr>
          <w:sz w:val="20"/>
          <w:szCs w:val="20"/>
        </w:rPr>
      </w:pPr>
      <w:r>
        <w:rPr>
          <w:sz w:val="20"/>
          <w:szCs w:val="20"/>
        </w:rPr>
        <w:t>3</w:t>
      </w:r>
      <w:r>
        <w:rPr>
          <w:sz w:val="20"/>
          <w:szCs w:val="20"/>
        </w:rPr>
        <w:t>3</w:t>
      </w:r>
    </w:p>
    <w:p w14:paraId="76285226" w14:textId="77777777" w:rsidR="00000000" w:rsidRDefault="002F725F">
      <w:pPr>
        <w:pStyle w:val="NormalWeb"/>
        <w:spacing w:before="0" w:beforeAutospacing="0" w:after="0" w:afterAutospacing="0"/>
        <w:divId w:val="759647170"/>
        <w:rPr>
          <w:sz w:val="20"/>
          <w:szCs w:val="20"/>
        </w:rPr>
      </w:pPr>
      <w:r>
        <w:rPr>
          <w:sz w:val="20"/>
          <w:szCs w:val="20"/>
        </w:rPr>
        <w:t> </w:t>
      </w:r>
    </w:p>
    <w:p w14:paraId="03E46562"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E909919" w14:textId="77777777">
        <w:trPr>
          <w:divId w:val="415980837"/>
          <w:tblCellSpacing w:w="0" w:type="dxa"/>
        </w:trPr>
        <w:tc>
          <w:tcPr>
            <w:tcW w:w="720" w:type="dxa"/>
            <w:hideMark/>
          </w:tcPr>
          <w:p w14:paraId="6C121187" w14:textId="77777777" w:rsidR="00000000" w:rsidRDefault="002F725F">
            <w:pPr>
              <w:rPr>
                <w:sz w:val="20"/>
                <w:szCs w:val="20"/>
              </w:rPr>
            </w:pPr>
          </w:p>
        </w:tc>
        <w:tc>
          <w:tcPr>
            <w:tcW w:w="360" w:type="dxa"/>
            <w:hideMark/>
          </w:tcPr>
          <w:p w14:paraId="0C375957" w14:textId="77777777" w:rsidR="00000000" w:rsidRDefault="002F725F">
            <w:pPr>
              <w:rPr>
                <w:rFonts w:eastAsia="Times New Roman"/>
                <w:sz w:val="20"/>
                <w:szCs w:val="20"/>
              </w:rPr>
            </w:pPr>
            <w:r>
              <w:rPr>
                <w:rFonts w:eastAsia="Times New Roman"/>
                <w:sz w:val="20"/>
                <w:szCs w:val="20"/>
              </w:rPr>
              <w:t>●</w:t>
            </w:r>
          </w:p>
        </w:tc>
        <w:tc>
          <w:tcPr>
            <w:tcW w:w="0" w:type="auto"/>
            <w:hideMark/>
          </w:tcPr>
          <w:p w14:paraId="426B044B" w14:textId="77777777" w:rsidR="00000000" w:rsidRDefault="002F725F">
            <w:pPr>
              <w:jc w:val="both"/>
              <w:rPr>
                <w:rFonts w:eastAsia="Times New Roman"/>
                <w:sz w:val="20"/>
                <w:szCs w:val="20"/>
              </w:rPr>
            </w:pPr>
            <w:r>
              <w:rPr>
                <w:rFonts w:eastAsia="Times New Roman"/>
                <w:sz w:val="20"/>
                <w:szCs w:val="20"/>
              </w:rPr>
              <w:t xml:space="preserve">the fact that members of the Buyer Group may have interests in the Merger that are different from, or in addition to, those of the Unaffiliated Security Holders (see “Special Factors—Interests </w:t>
            </w:r>
            <w:r>
              <w:rPr>
                <w:rFonts w:eastAsia="Times New Roman"/>
                <w:sz w:val="20"/>
                <w:szCs w:val="20"/>
              </w:rPr>
              <w:t>of Certain Persons in the Merger” beginning on page 66 for additional information);</w:t>
            </w:r>
          </w:p>
        </w:tc>
      </w:tr>
    </w:tbl>
    <w:p w14:paraId="2C4E247B"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0F7C006" w14:textId="77777777">
        <w:trPr>
          <w:divId w:val="415980837"/>
          <w:tblCellSpacing w:w="0" w:type="dxa"/>
        </w:trPr>
        <w:tc>
          <w:tcPr>
            <w:tcW w:w="720" w:type="dxa"/>
            <w:hideMark/>
          </w:tcPr>
          <w:p w14:paraId="4CDA58B3" w14:textId="77777777" w:rsidR="00000000" w:rsidRDefault="002F725F">
            <w:pPr>
              <w:rPr>
                <w:sz w:val="20"/>
                <w:szCs w:val="20"/>
              </w:rPr>
            </w:pPr>
          </w:p>
        </w:tc>
        <w:tc>
          <w:tcPr>
            <w:tcW w:w="360" w:type="dxa"/>
            <w:hideMark/>
          </w:tcPr>
          <w:p w14:paraId="6F89B8F2" w14:textId="77777777" w:rsidR="00000000" w:rsidRDefault="002F725F">
            <w:pPr>
              <w:rPr>
                <w:rFonts w:eastAsia="Times New Roman"/>
                <w:sz w:val="20"/>
                <w:szCs w:val="20"/>
              </w:rPr>
            </w:pPr>
            <w:r>
              <w:rPr>
                <w:rFonts w:eastAsia="Times New Roman"/>
                <w:sz w:val="20"/>
                <w:szCs w:val="20"/>
              </w:rPr>
              <w:t>●</w:t>
            </w:r>
          </w:p>
        </w:tc>
        <w:tc>
          <w:tcPr>
            <w:tcW w:w="0" w:type="auto"/>
            <w:hideMark/>
          </w:tcPr>
          <w:p w14:paraId="118907AA" w14:textId="77777777" w:rsidR="00000000" w:rsidRDefault="002F725F">
            <w:pPr>
              <w:jc w:val="both"/>
              <w:rPr>
                <w:rFonts w:eastAsia="Times New Roman"/>
                <w:sz w:val="20"/>
                <w:szCs w:val="20"/>
              </w:rPr>
            </w:pPr>
            <w:r>
              <w:rPr>
                <w:rFonts w:eastAsia="Times New Roman"/>
                <w:sz w:val="20"/>
                <w:szCs w:val="20"/>
              </w:rPr>
              <w:t>the possibility that the Merger might not be consummated and the negative impact of such a public announcement on the Company’s sales and operating results, and the C</w:t>
            </w:r>
            <w:r>
              <w:rPr>
                <w:rFonts w:eastAsia="Times New Roman"/>
                <w:sz w:val="20"/>
                <w:szCs w:val="20"/>
              </w:rPr>
              <w:t>ompany’s ability to attract and retain key management, marketing and technical personnel; and</w:t>
            </w:r>
          </w:p>
        </w:tc>
      </w:tr>
    </w:tbl>
    <w:p w14:paraId="4B8E9A05"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C50C2E6" w14:textId="77777777">
        <w:trPr>
          <w:divId w:val="415980837"/>
          <w:tblCellSpacing w:w="0" w:type="dxa"/>
        </w:trPr>
        <w:tc>
          <w:tcPr>
            <w:tcW w:w="720" w:type="dxa"/>
            <w:hideMark/>
          </w:tcPr>
          <w:p w14:paraId="38B7849D" w14:textId="77777777" w:rsidR="00000000" w:rsidRDefault="002F725F">
            <w:pPr>
              <w:rPr>
                <w:sz w:val="20"/>
                <w:szCs w:val="20"/>
              </w:rPr>
            </w:pPr>
          </w:p>
        </w:tc>
        <w:tc>
          <w:tcPr>
            <w:tcW w:w="360" w:type="dxa"/>
            <w:hideMark/>
          </w:tcPr>
          <w:p w14:paraId="736749DB" w14:textId="77777777" w:rsidR="00000000" w:rsidRDefault="002F725F">
            <w:pPr>
              <w:rPr>
                <w:rFonts w:eastAsia="Times New Roman"/>
                <w:sz w:val="20"/>
                <w:szCs w:val="20"/>
              </w:rPr>
            </w:pPr>
            <w:r>
              <w:rPr>
                <w:rFonts w:eastAsia="Times New Roman"/>
                <w:sz w:val="20"/>
                <w:szCs w:val="20"/>
              </w:rPr>
              <w:t>●</w:t>
            </w:r>
          </w:p>
        </w:tc>
        <w:tc>
          <w:tcPr>
            <w:tcW w:w="0" w:type="auto"/>
            <w:hideMark/>
          </w:tcPr>
          <w:p w14:paraId="5C895A0E" w14:textId="77777777" w:rsidR="00000000" w:rsidRDefault="002F725F">
            <w:pPr>
              <w:jc w:val="both"/>
              <w:rPr>
                <w:rFonts w:eastAsia="Times New Roman"/>
                <w:sz w:val="20"/>
                <w:szCs w:val="20"/>
              </w:rPr>
            </w:pPr>
            <w:r>
              <w:rPr>
                <w:rFonts w:eastAsia="Times New Roman"/>
                <w:sz w:val="20"/>
                <w:szCs w:val="20"/>
              </w:rPr>
              <w:t>the taxability of an all-cash transaction to the Unaffiliated Security Holders who are U.S. Holders (as defined under “Special Factors—U.S. Federal Income Tax Consequences”) for U.S. federal income tax purposes, and the likely taxability of such a transact</w:t>
            </w:r>
            <w:r>
              <w:rPr>
                <w:rFonts w:eastAsia="Times New Roman"/>
                <w:sz w:val="20"/>
                <w:szCs w:val="20"/>
              </w:rPr>
              <w:t>ion to the Unaffiliated Security Holders in other jurisdictions.</w:t>
            </w:r>
          </w:p>
        </w:tc>
      </w:tr>
    </w:tbl>
    <w:p w14:paraId="6151B60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6C1783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foregoing discussion of information and factors considered by the Special Committee and the Board is not intended to be exhaustive, but includes certain material factors considered by </w:t>
      </w:r>
      <w:r>
        <w:rPr>
          <w:sz w:val="20"/>
          <w:szCs w:val="20"/>
        </w:rPr>
        <w:t>the Special Committee and the Board. In view of the wide variety of factors considered by the Special Committee and the Board, neither the Special Committee nor the Board found it practicable to quantify or otherwise assign relative weights to the foregoin</w:t>
      </w:r>
      <w:r>
        <w:rPr>
          <w:sz w:val="20"/>
          <w:szCs w:val="20"/>
        </w:rPr>
        <w:t>g factors in reaching its conclusions. In addition, individual members of the Special Committee and the Board may have given different weights to different factors and may have viewed some factors more positively or negatively than others. The Special Comm</w:t>
      </w:r>
      <w:r>
        <w:rPr>
          <w:sz w:val="20"/>
          <w:szCs w:val="20"/>
        </w:rPr>
        <w:t>ittee recommended that the Board authorize and approve, and the Board authorized and approved, the Merger Agreement, the Plan of Merger and the Transactions, based upon the totality of the information presented to and considered by it.</w:t>
      </w:r>
    </w:p>
    <w:p w14:paraId="172DED5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7F6D2C9"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The Special Commit</w:t>
      </w:r>
      <w:r>
        <w:rPr>
          <w:sz w:val="20"/>
          <w:szCs w:val="20"/>
        </w:rPr>
        <w:t xml:space="preserve">tee and the Board noted that the authorization and approval of the execution of the Merger Agreement, the Plan of Merger and the consummation of the Transactions are not subject to approval by a majority of the Unaffiliated Security Holders. Nevertheless, </w:t>
      </w:r>
      <w:r>
        <w:rPr>
          <w:sz w:val="20"/>
          <w:szCs w:val="20"/>
        </w:rPr>
        <w:t>the Special Committee and the Board believe the Merger is procedurally fair to the Unaffiliated Security Holders given, among other things, (i) that the majority-of-the-minority voting requirement is not customary in going-private transactions involving Ca</w:t>
      </w:r>
      <w:r>
        <w:rPr>
          <w:sz w:val="20"/>
          <w:szCs w:val="20"/>
        </w:rPr>
        <w:t xml:space="preserve">yman Islands companies, (ii) the financial analysis performed by Duff &amp; Phelps, and (iii) that various safeguards and protective measures have been adopted to ensure the procedural fairness of the Transactions, including without limitation (a) the Board’s </w:t>
      </w:r>
      <w:r>
        <w:rPr>
          <w:sz w:val="20"/>
          <w:szCs w:val="20"/>
        </w:rPr>
        <w:t xml:space="preserve">formation of the Special Committee and granting to the Special Committee of the authority to review, evaluate, and negotiate (and to ultimately either authorize or reject) the terms of the Merger Agreement, the Plan of Merger and the Transactions, (b) the </w:t>
      </w:r>
      <w:r>
        <w:rPr>
          <w:sz w:val="20"/>
          <w:szCs w:val="20"/>
        </w:rPr>
        <w:t>Special Committee’s retention of, and receipt of advice from, competent and experienced independent legal counsels and independent financial advisor for purposes of negotiating the terms of the Transactions and/or preparing a report concerning the fairness</w:t>
      </w:r>
      <w:r>
        <w:rPr>
          <w:sz w:val="20"/>
          <w:szCs w:val="20"/>
        </w:rPr>
        <w:t xml:space="preserve"> of the Transactions, (c) the execution of the Merger Agreement, the Plan of Merger and the consummation of the Transactions have been approved by all of the directors who are neither employees of the Company nor affiliated with the management of the Compa</w:t>
      </w:r>
      <w:r>
        <w:rPr>
          <w:sz w:val="20"/>
          <w:szCs w:val="20"/>
        </w:rPr>
        <w:t>ny or the Buyer Group, and (d) the right of the Company to evaluate bona fide unsolicited alternative acquisition proposals that may arise before the Company’s shareholders vote to approve the Merger.</w:t>
      </w:r>
    </w:p>
    <w:p w14:paraId="33013AF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140F12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In reaching its conclusion regarding the fairness of </w:t>
      </w:r>
      <w:r>
        <w:rPr>
          <w:sz w:val="20"/>
          <w:szCs w:val="20"/>
        </w:rPr>
        <w:t>the Merger to the Unaffiliated Security Holders and its decision to recommend the authorization and approval of the Merger Agreement, the Plan of Merger and the consummation of the Transactions, the Special Committee considered financial analyses presented</w:t>
      </w:r>
      <w:r>
        <w:rPr>
          <w:sz w:val="20"/>
          <w:szCs w:val="20"/>
        </w:rPr>
        <w:t xml:space="preserve"> by Duff &amp; Phelps. These analyses included, among other things, premiums analyses, discounted cash flows analysis, comparable companies analysis and precedent transactions analysis. The material analyses as presented to the Special Committee on April 28, 2</w:t>
      </w:r>
      <w:r>
        <w:rPr>
          <w:sz w:val="20"/>
          <w:szCs w:val="20"/>
        </w:rPr>
        <w:t>026 are summarized below under the section entitled “Special Factors</w:t>
      </w:r>
      <w:r>
        <w:rPr>
          <w:sz w:val="20"/>
          <w:szCs w:val="20"/>
        </w:rPr>
        <w:t> </w:t>
      </w:r>
      <w:r>
        <w:rPr>
          <w:sz w:val="20"/>
          <w:szCs w:val="20"/>
        </w:rPr>
        <w:t>—</w:t>
      </w:r>
      <w:r>
        <w:rPr>
          <w:sz w:val="20"/>
          <w:szCs w:val="20"/>
        </w:rPr>
        <w:t> </w:t>
      </w:r>
      <w:r>
        <w:rPr>
          <w:sz w:val="20"/>
          <w:szCs w:val="20"/>
        </w:rPr>
        <w:t>Opinion of the Special Committee’s Financial Advisor dated April 28, 2026” beginning on page 48. The Special Committee and the Board expressly adopted these analyses and opinions, among</w:t>
      </w:r>
      <w:r>
        <w:rPr>
          <w:sz w:val="20"/>
          <w:szCs w:val="20"/>
        </w:rPr>
        <w:t xml:space="preserve"> other factors considered, in reaching their respective determination as to the fairness of the Transactions.</w:t>
      </w:r>
    </w:p>
    <w:p w14:paraId="4371091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276849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Neither the Special Committee nor the Board considered the liquidation value of the Company’s assets because each considers the Company to be a </w:t>
      </w:r>
      <w:r>
        <w:rPr>
          <w:sz w:val="20"/>
          <w:szCs w:val="20"/>
        </w:rPr>
        <w:t xml:space="preserve">viable going-concern business where value is derived from cash flows generated from its continuing operations. In addition, the Special Committee and the Board believe that the value of the Company’s assets that might be realized in a liquidation would be </w:t>
      </w:r>
      <w:r>
        <w:rPr>
          <w:sz w:val="20"/>
          <w:szCs w:val="20"/>
        </w:rPr>
        <w:t>significantly less than its going-concern value for the reasons that (i) liquidation sales generally result in proceeds substantially less than the sales of a going concern; (ii) it is impracticable to determine a liquidation value given the significant ex</w:t>
      </w:r>
      <w:r>
        <w:rPr>
          <w:sz w:val="20"/>
          <w:szCs w:val="20"/>
        </w:rPr>
        <w:t xml:space="preserve">ecution risk involved in any breakup of a company; (iii) an ongoing operation has the potential to become profitable, while a liquidated company does not, such that the “going-concern value” will be higher than the “liquidation value” of a company because </w:t>
      </w:r>
      <w:r>
        <w:rPr>
          <w:sz w:val="20"/>
          <w:szCs w:val="20"/>
        </w:rPr>
        <w:t>the “going-concern value” includes the liquidation value of a company’s tangible assets as well as the value of its intangible assets, such as goodwill; and (iv) a liquidation process would involve additional legal fees, costs of sale and other expenses th</w:t>
      </w:r>
      <w:r>
        <w:rPr>
          <w:sz w:val="20"/>
          <w:szCs w:val="20"/>
        </w:rPr>
        <w:t>at would reduce any amounts that shareholders might receive upon liquidation. Furthermore, the Company has no intention of liquidation and the Merger will not result in the liquidation of the Company. Each of the Special Committee and the Board believes th</w:t>
      </w:r>
      <w:r>
        <w:rPr>
          <w:sz w:val="20"/>
          <w:szCs w:val="20"/>
        </w:rPr>
        <w:t>e analyses and additional factors it reviewed provided an indication of the Company’s going-concern value. Each of the Special Committee and the Board also considered the historical market prices of the Shares as described under the section entitled “Marke</w:t>
      </w:r>
      <w:r>
        <w:rPr>
          <w:sz w:val="20"/>
          <w:szCs w:val="20"/>
        </w:rPr>
        <w:t>t Price of the Company’s Shares, Dividends and Other Matters—Market Price of the Shares” beginning on page 75. Each of the Special Committee and the Board considered the purchase prices paid in previous purchases as described under “Transactions in the Sha</w:t>
      </w:r>
      <w:r>
        <w:rPr>
          <w:sz w:val="20"/>
          <w:szCs w:val="20"/>
        </w:rPr>
        <w:t>res and Warrants” beginning on page 102.</w:t>
      </w:r>
    </w:p>
    <w:p w14:paraId="77CA128F"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E36F981" w14:textId="77777777" w:rsidR="00000000" w:rsidRDefault="002F725F">
      <w:pPr>
        <w:pStyle w:val="NormalWeb"/>
        <w:spacing w:before="0" w:beforeAutospacing="0" w:after="0" w:afterAutospacing="0"/>
        <w:jc w:val="center"/>
        <w:divId w:val="102389104"/>
        <w:rPr>
          <w:sz w:val="20"/>
          <w:szCs w:val="20"/>
        </w:rPr>
      </w:pPr>
      <w:r>
        <w:rPr>
          <w:sz w:val="20"/>
          <w:szCs w:val="20"/>
        </w:rPr>
        <w:t>3</w:t>
      </w:r>
      <w:r>
        <w:rPr>
          <w:sz w:val="20"/>
          <w:szCs w:val="20"/>
        </w:rPr>
        <w:t>4</w:t>
      </w:r>
    </w:p>
    <w:p w14:paraId="3E0E7F96" w14:textId="77777777" w:rsidR="00000000" w:rsidRDefault="002F725F">
      <w:pPr>
        <w:pStyle w:val="NormalWeb"/>
        <w:spacing w:before="0" w:beforeAutospacing="0" w:after="0" w:afterAutospacing="0"/>
        <w:divId w:val="1385985858"/>
        <w:rPr>
          <w:sz w:val="20"/>
          <w:szCs w:val="20"/>
        </w:rPr>
      </w:pPr>
      <w:r>
        <w:rPr>
          <w:sz w:val="20"/>
          <w:szCs w:val="20"/>
        </w:rPr>
        <w:t> </w:t>
      </w:r>
    </w:p>
    <w:p w14:paraId="4D418066"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4E799E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Neither the Special Committee nor the Board, however, consider the Company’s net book value, which is defined as total assets minus total </w:t>
      </w:r>
      <w:r>
        <w:rPr>
          <w:sz w:val="20"/>
          <w:szCs w:val="20"/>
        </w:rPr>
        <w:t>liabilities, attributable to the Company’s shareholders, as a factor. The Special Committee and the Board believe that net book value is not a material indicator of the value of the Company as a going concern as it does not take into account the future pro</w:t>
      </w:r>
      <w:r>
        <w:rPr>
          <w:sz w:val="20"/>
          <w:szCs w:val="20"/>
        </w:rPr>
        <w:t xml:space="preserve">spects of the Company, market conditions, trends in the </w:t>
      </w:r>
      <w:r>
        <w:rPr>
          <w:sz w:val="20"/>
          <w:szCs w:val="20"/>
        </w:rPr>
        <w:lastRenderedPageBreak/>
        <w:t>industry or the business risks inherent in competing with larger companies in that industry. The Company’s net book value per Share as of March 31, 2025 was approximately US$3.35 based on 20,766,531 S</w:t>
      </w:r>
      <w:r>
        <w:rPr>
          <w:sz w:val="20"/>
          <w:szCs w:val="20"/>
        </w:rPr>
        <w:t>hares outstanding as of that date. See “Where You Can Find More Information” beginning on page 108 for a description of how to obtain a copy of the Company’s Annual Report.</w:t>
      </w:r>
    </w:p>
    <w:p w14:paraId="24080C6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3CFE0C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is not aware of any firm offers made by any unaffiliated person, othe</w:t>
      </w:r>
      <w:r>
        <w:rPr>
          <w:sz w:val="20"/>
          <w:szCs w:val="20"/>
        </w:rPr>
        <w:t>r than the Buyer Group, during the past two years for (i) the merger or consolidation of the Company with or into another company, (ii) the sale of all or a substantial part of the Company’s assets or (iii) the purchase of the Company’s voting securities t</w:t>
      </w:r>
      <w:r>
        <w:rPr>
          <w:sz w:val="20"/>
          <w:szCs w:val="20"/>
        </w:rPr>
        <w:t>hat would enable the holder to exercise control over the Company.</w:t>
      </w:r>
    </w:p>
    <w:p w14:paraId="38EFB9B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FB57A6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In reaching its determination that the Merger Agreement, the Plan of Merger and the Transactions are fair to, and in the best interests of, the Company and the Unaffiliated Security Holder</w:t>
      </w:r>
      <w:r>
        <w:rPr>
          <w:sz w:val="20"/>
          <w:szCs w:val="20"/>
        </w:rPr>
        <w:t>s and its decision to authorize and approve the Merger Agreement, the Plan of Merger and the consummation of the Transactions, and recommend the authorization and approval of the Merger Agreement, the Plan of Merger and the Transactions, by the Company’s s</w:t>
      </w:r>
      <w:r>
        <w:rPr>
          <w:sz w:val="20"/>
          <w:szCs w:val="20"/>
        </w:rPr>
        <w:t>hareholders, the Board, on behalf of the Company, considered the analysis and factors described above under this section and under “Special Factors</w:t>
      </w:r>
      <w:r>
        <w:rPr>
          <w:sz w:val="20"/>
          <w:szCs w:val="20"/>
        </w:rPr>
        <w:t> </w:t>
      </w:r>
      <w:r>
        <w:rPr>
          <w:sz w:val="20"/>
          <w:szCs w:val="20"/>
        </w:rPr>
        <w:t>—</w:t>
      </w:r>
      <w:r>
        <w:rPr>
          <w:sz w:val="20"/>
          <w:szCs w:val="20"/>
        </w:rPr>
        <w:t> </w:t>
      </w:r>
      <w:r>
        <w:rPr>
          <w:sz w:val="20"/>
          <w:szCs w:val="20"/>
        </w:rPr>
        <w:t>Background of the Merger” and expressly adopted such determination, recommendation and analysis. During it</w:t>
      </w:r>
      <w:r>
        <w:rPr>
          <w:sz w:val="20"/>
          <w:szCs w:val="20"/>
        </w:rPr>
        <w:t>s consideration of the Merger Agreement and the Transactions, the Board was also aware that some of the Company’s shareholders, including members of the Buyer Group, and certain directors and employees of the Company, have interests with respect to the Mer</w:t>
      </w:r>
      <w:r>
        <w:rPr>
          <w:sz w:val="20"/>
          <w:szCs w:val="20"/>
        </w:rPr>
        <w:t>ger that are, or may be, different from, or in addition to those of the Unaffiliated Security Holders generally, as described under the section entitled “Special Factors</w:t>
      </w:r>
      <w:r>
        <w:rPr>
          <w:sz w:val="20"/>
          <w:szCs w:val="20"/>
        </w:rPr>
        <w:t> </w:t>
      </w:r>
      <w:r>
        <w:rPr>
          <w:sz w:val="20"/>
          <w:szCs w:val="20"/>
        </w:rPr>
        <w:t>—</w:t>
      </w:r>
      <w:r>
        <w:rPr>
          <w:sz w:val="20"/>
          <w:szCs w:val="20"/>
        </w:rPr>
        <w:t> </w:t>
      </w:r>
      <w:r>
        <w:rPr>
          <w:sz w:val="20"/>
          <w:szCs w:val="20"/>
        </w:rPr>
        <w:t>Interests of Certain Persons in the Merger” beginning on page 66.</w:t>
      </w:r>
    </w:p>
    <w:p w14:paraId="5024923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60AEE1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Except as set fo</w:t>
      </w:r>
      <w:r>
        <w:rPr>
          <w:sz w:val="20"/>
          <w:szCs w:val="20"/>
        </w:rPr>
        <w:t>rth under “Special Factors—Background of the Merger” beginning on page 16, “Special Factors—Reasons for the Merger and Recommendation of the Special Committee and the Board” beginning on page 29, “Special Factors—Prior Opinion of the Special Committee’s Fi</w:t>
      </w:r>
      <w:r>
        <w:rPr>
          <w:sz w:val="20"/>
          <w:szCs w:val="20"/>
        </w:rPr>
        <w:t>nancial Advisor” beginning on page 41, and “Special Factors—Opinion of the Special Committee’s Financial Advisor dated April 28, 2026” beginning on page 48, no director who is not an employee of the Company has retained an unaffiliated representative to ac</w:t>
      </w:r>
      <w:r>
        <w:rPr>
          <w:sz w:val="20"/>
          <w:szCs w:val="20"/>
        </w:rPr>
        <w:t>t solely on behalf of Unaffiliated Security Holders for purposes of negotiating the terms of the Transaction and/or preparing a report concerning the fairness of the Transaction.</w:t>
      </w:r>
    </w:p>
    <w:p w14:paraId="0C5C266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63AB6B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For the foregoing reasons, the Company and the Board believe that the Merge</w:t>
      </w:r>
      <w:r>
        <w:rPr>
          <w:sz w:val="20"/>
          <w:szCs w:val="20"/>
        </w:rPr>
        <w:t>r Agreement, the Plan of Merger and the Transactions are fair to, and in the best interests of, the Company and the Unaffiliated Security Holders.</w:t>
      </w:r>
    </w:p>
    <w:p w14:paraId="557FFD71"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2A2AC107" w14:textId="77777777" w:rsidR="00000000" w:rsidRDefault="002F725F">
      <w:pPr>
        <w:pStyle w:val="NormalWeb"/>
        <w:spacing w:before="0" w:beforeAutospacing="0" w:after="0" w:afterAutospacing="0"/>
        <w:jc w:val="both"/>
        <w:divId w:val="415980837"/>
        <w:rPr>
          <w:sz w:val="20"/>
          <w:szCs w:val="20"/>
        </w:rPr>
      </w:pPr>
      <w:r>
        <w:rPr>
          <w:b/>
          <w:bCs/>
          <w:sz w:val="20"/>
          <w:szCs w:val="20"/>
        </w:rPr>
        <w:t>Position of the Buyer Filing Persons as to the Fairness of the Merger</w:t>
      </w:r>
    </w:p>
    <w:p w14:paraId="453BEF6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75B1AC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Under SEC rules governing “going-pr</w:t>
      </w:r>
      <w:r>
        <w:rPr>
          <w:sz w:val="20"/>
          <w:szCs w:val="20"/>
        </w:rPr>
        <w:t>ivate” transactions, each Buyer Filing Person is required to express its belief as to the fairness of the Merger to the Unaffiliated Security Holders. Each Buyer Filing Person is making the statements included in this section solely for the purpose of comp</w:t>
      </w:r>
      <w:r>
        <w:rPr>
          <w:sz w:val="20"/>
          <w:szCs w:val="20"/>
        </w:rPr>
        <w:t>lying with the requirements of Rule 13e-3 and related rules under the Exchange Act. The views of the Buyer Filing Persons as to the fairness of the Merger are not intended to be and should not be construed as a recommendation to any shareholder as to how t</w:t>
      </w:r>
      <w:r>
        <w:rPr>
          <w:sz w:val="20"/>
          <w:szCs w:val="20"/>
        </w:rPr>
        <w:t>hat shareholder should vote on the proposal to authorize and approve the Merger Agreement, the Plan of Merger and the consummation of the Transactions. The Buyer Filing Persons have interests in the Merger that are different from, and/or in addition to, th</w:t>
      </w:r>
      <w:r>
        <w:rPr>
          <w:sz w:val="20"/>
          <w:szCs w:val="20"/>
        </w:rPr>
        <w:t>ose of the Unaffiliated Security Holders by virtue of their continuing interests in the Surviving Company after the completion of the Merger. These interests are described under the caption “Special Factors—Interests of Certain Persons in the Merger—Intere</w:t>
      </w:r>
      <w:r>
        <w:rPr>
          <w:sz w:val="20"/>
          <w:szCs w:val="20"/>
        </w:rPr>
        <w:t>sts of the Buyer Filing Persons.”</w:t>
      </w:r>
    </w:p>
    <w:p w14:paraId="6D201E0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42C366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Buyer Filing Persons believe that the interests of the Unaffiliated Security Holders were represented by the Special Committee, which negotiated the terms and conditions of the Merger Agreement with the assistance of</w:t>
      </w:r>
      <w:r>
        <w:rPr>
          <w:sz w:val="20"/>
          <w:szCs w:val="20"/>
        </w:rPr>
        <w:t xml:space="preserve"> its independent legal and financial advisors. The Buyer Filing Persons attempted to negotiate a transaction that would be most favorable to it, rather than to the Unaffiliated Security Holders and, accordingly, did not negotiate the Merger Agreement with </w:t>
      </w:r>
      <w:r>
        <w:rPr>
          <w:sz w:val="20"/>
          <w:szCs w:val="20"/>
        </w:rPr>
        <w:t>a goal of obtaining terms that were substantively and procedurally fair to the Unaffiliated Security Holders. None of the Buyer Filing Persons or their respective affiliates participated in the deliberations of the Special Committee regarding, nor received</w:t>
      </w:r>
      <w:r>
        <w:rPr>
          <w:sz w:val="20"/>
          <w:szCs w:val="20"/>
        </w:rPr>
        <w:t xml:space="preserve"> any advice from the Special Committee’s independent legal or financial advisors as to, the fairness of the Transactions, to the Unaffiliated Security Holders.</w:t>
      </w:r>
    </w:p>
    <w:p w14:paraId="2F2EE043"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345E2695" w14:textId="77777777" w:rsidR="00000000" w:rsidRDefault="002F725F">
      <w:pPr>
        <w:pStyle w:val="NormalWeb"/>
        <w:spacing w:before="0" w:beforeAutospacing="0" w:after="0" w:afterAutospacing="0"/>
        <w:jc w:val="center"/>
        <w:divId w:val="1456025741"/>
        <w:rPr>
          <w:sz w:val="20"/>
          <w:szCs w:val="20"/>
        </w:rPr>
      </w:pPr>
      <w:r>
        <w:rPr>
          <w:sz w:val="20"/>
          <w:szCs w:val="20"/>
        </w:rPr>
        <w:lastRenderedPageBreak/>
        <w:t>3</w:t>
      </w:r>
      <w:r>
        <w:rPr>
          <w:sz w:val="20"/>
          <w:szCs w:val="20"/>
        </w:rPr>
        <w:t>5</w:t>
      </w:r>
    </w:p>
    <w:p w14:paraId="1AFAFD78" w14:textId="77777777" w:rsidR="00000000" w:rsidRDefault="002F725F">
      <w:pPr>
        <w:pStyle w:val="NormalWeb"/>
        <w:spacing w:before="0" w:beforeAutospacing="0" w:after="0" w:afterAutospacing="0"/>
        <w:divId w:val="369453579"/>
        <w:rPr>
          <w:sz w:val="20"/>
          <w:szCs w:val="20"/>
        </w:rPr>
      </w:pPr>
      <w:r>
        <w:rPr>
          <w:sz w:val="20"/>
          <w:szCs w:val="20"/>
        </w:rPr>
        <w:t> </w:t>
      </w:r>
    </w:p>
    <w:p w14:paraId="29DAA82E"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472C06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Furthermore, the Buyer Filing Persons did not undertake a formal evaluation of the fair</w:t>
      </w:r>
      <w:r>
        <w:rPr>
          <w:sz w:val="20"/>
          <w:szCs w:val="20"/>
        </w:rPr>
        <w:t>ness of the Transactions. No financial advisor provided the Buyer Filing Persons or their respective affiliates with any analysis or opinion with respect to the fairness of the Per Share Merger Consideration to the Unaffiliated Security Holders.</w:t>
      </w:r>
    </w:p>
    <w:p w14:paraId="014C2B8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22D9F8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Based on</w:t>
      </w:r>
      <w:r>
        <w:rPr>
          <w:sz w:val="20"/>
          <w:szCs w:val="20"/>
        </w:rPr>
        <w:t xml:space="preserve"> their knowledge and analysis of available information regarding the Company, as well as discussions with the Company’s senior management regarding the Company and its business and the factors considered by, and findings of, the Special Committee and the B</w:t>
      </w:r>
      <w:r>
        <w:rPr>
          <w:sz w:val="20"/>
          <w:szCs w:val="20"/>
        </w:rPr>
        <w:t>oard discussed under the caption “Special Factors—Reasons for the Merger and Recommendation of the Special Committee and the Board,” the Buyer Filing Persons believe that the Transactions are substantively fair to the Unaffiliated Security Holders based on</w:t>
      </w:r>
      <w:r>
        <w:rPr>
          <w:sz w:val="20"/>
          <w:szCs w:val="20"/>
        </w:rPr>
        <w:t xml:space="preserve"> its consideration of the following factors, which are not listed in any relative order of importance:</w:t>
      </w:r>
    </w:p>
    <w:p w14:paraId="0B4E93BB"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BB6854D" w14:textId="77777777">
        <w:trPr>
          <w:divId w:val="415980837"/>
          <w:tblCellSpacing w:w="0" w:type="dxa"/>
        </w:trPr>
        <w:tc>
          <w:tcPr>
            <w:tcW w:w="720" w:type="dxa"/>
            <w:hideMark/>
          </w:tcPr>
          <w:p w14:paraId="60863204" w14:textId="77777777" w:rsidR="00000000" w:rsidRDefault="002F725F">
            <w:pPr>
              <w:rPr>
                <w:sz w:val="20"/>
                <w:szCs w:val="20"/>
              </w:rPr>
            </w:pPr>
          </w:p>
        </w:tc>
        <w:tc>
          <w:tcPr>
            <w:tcW w:w="360" w:type="dxa"/>
            <w:hideMark/>
          </w:tcPr>
          <w:p w14:paraId="1739AF6D" w14:textId="77777777" w:rsidR="00000000" w:rsidRDefault="002F725F">
            <w:pPr>
              <w:rPr>
                <w:rFonts w:eastAsia="Times New Roman"/>
                <w:sz w:val="20"/>
                <w:szCs w:val="20"/>
              </w:rPr>
            </w:pPr>
            <w:r>
              <w:rPr>
                <w:rFonts w:eastAsia="Times New Roman"/>
                <w:sz w:val="20"/>
                <w:szCs w:val="20"/>
              </w:rPr>
              <w:t>●</w:t>
            </w:r>
          </w:p>
        </w:tc>
        <w:tc>
          <w:tcPr>
            <w:tcW w:w="0" w:type="auto"/>
            <w:hideMark/>
          </w:tcPr>
          <w:p w14:paraId="1B0BB8A0" w14:textId="77777777" w:rsidR="00000000" w:rsidRDefault="002F725F">
            <w:pPr>
              <w:jc w:val="both"/>
              <w:rPr>
                <w:rFonts w:eastAsia="Times New Roman"/>
                <w:sz w:val="20"/>
                <w:szCs w:val="20"/>
              </w:rPr>
            </w:pPr>
            <w:r>
              <w:rPr>
                <w:rFonts w:eastAsia="Times New Roman"/>
                <w:sz w:val="20"/>
                <w:szCs w:val="20"/>
              </w:rPr>
              <w:t>the substantial decrease in the market price of the Shares from the closing price of US$0.85 per Share on January 28, 2026, the last trading day prior to the Company’s disclosure of the Awards on January 29, 2026, to a closing price of US$0.045 per Share o</w:t>
            </w:r>
            <w:r>
              <w:rPr>
                <w:rFonts w:eastAsia="Times New Roman"/>
                <w:sz w:val="20"/>
                <w:szCs w:val="20"/>
              </w:rPr>
              <w:t>n March 24, 2026, the last trading day prior to the Company’s announcement of its receipt of the March 24, 2026 Proposal on March 24, 2026;</w:t>
            </w:r>
          </w:p>
        </w:tc>
      </w:tr>
      <w:tr w:rsidR="00000000" w14:paraId="15D4F9F4" w14:textId="77777777">
        <w:trPr>
          <w:divId w:val="415980837"/>
          <w:tblCellSpacing w:w="0" w:type="dxa"/>
        </w:trPr>
        <w:tc>
          <w:tcPr>
            <w:tcW w:w="0" w:type="auto"/>
            <w:hideMark/>
          </w:tcPr>
          <w:p w14:paraId="1424B723" w14:textId="77777777" w:rsidR="00000000" w:rsidRDefault="002F725F">
            <w:pPr>
              <w:rPr>
                <w:rFonts w:eastAsia="Times New Roman"/>
                <w:sz w:val="20"/>
                <w:szCs w:val="20"/>
              </w:rPr>
            </w:pPr>
            <w:r>
              <w:rPr>
                <w:rFonts w:eastAsia="Times New Roman"/>
                <w:sz w:val="20"/>
                <w:szCs w:val="20"/>
              </w:rPr>
              <w:t> </w:t>
            </w:r>
          </w:p>
        </w:tc>
        <w:tc>
          <w:tcPr>
            <w:tcW w:w="0" w:type="auto"/>
            <w:hideMark/>
          </w:tcPr>
          <w:p w14:paraId="5F927D39" w14:textId="77777777" w:rsidR="00000000" w:rsidRDefault="002F725F">
            <w:pPr>
              <w:rPr>
                <w:rFonts w:eastAsia="Times New Roman"/>
                <w:sz w:val="20"/>
                <w:szCs w:val="20"/>
              </w:rPr>
            </w:pPr>
            <w:r>
              <w:rPr>
                <w:rFonts w:eastAsia="Times New Roman"/>
                <w:sz w:val="20"/>
                <w:szCs w:val="20"/>
              </w:rPr>
              <w:t> </w:t>
            </w:r>
          </w:p>
        </w:tc>
        <w:tc>
          <w:tcPr>
            <w:tcW w:w="0" w:type="auto"/>
            <w:hideMark/>
          </w:tcPr>
          <w:p w14:paraId="11DAE6CD" w14:textId="77777777" w:rsidR="00000000" w:rsidRDefault="002F725F">
            <w:pPr>
              <w:jc w:val="both"/>
              <w:rPr>
                <w:rFonts w:eastAsia="Times New Roman"/>
                <w:sz w:val="20"/>
                <w:szCs w:val="20"/>
              </w:rPr>
            </w:pPr>
            <w:r>
              <w:rPr>
                <w:rFonts w:eastAsia="Times New Roman"/>
                <w:sz w:val="20"/>
                <w:szCs w:val="20"/>
              </w:rPr>
              <w:t> </w:t>
            </w:r>
          </w:p>
        </w:tc>
      </w:tr>
      <w:tr w:rsidR="00000000" w14:paraId="23A52316" w14:textId="77777777">
        <w:trPr>
          <w:divId w:val="415980837"/>
          <w:tblCellSpacing w:w="0" w:type="dxa"/>
        </w:trPr>
        <w:tc>
          <w:tcPr>
            <w:tcW w:w="0" w:type="auto"/>
            <w:hideMark/>
          </w:tcPr>
          <w:p w14:paraId="2685B0F3" w14:textId="77777777" w:rsidR="00000000" w:rsidRDefault="002F725F">
            <w:pPr>
              <w:rPr>
                <w:rFonts w:eastAsia="Times New Roman"/>
                <w:sz w:val="20"/>
                <w:szCs w:val="20"/>
              </w:rPr>
            </w:pPr>
            <w:r>
              <w:rPr>
                <w:rFonts w:eastAsia="Times New Roman"/>
                <w:sz w:val="20"/>
                <w:szCs w:val="20"/>
              </w:rPr>
              <w:t> </w:t>
            </w:r>
          </w:p>
        </w:tc>
        <w:tc>
          <w:tcPr>
            <w:tcW w:w="0" w:type="auto"/>
            <w:hideMark/>
          </w:tcPr>
          <w:p w14:paraId="71E233AA" w14:textId="77777777" w:rsidR="00000000" w:rsidRDefault="002F725F">
            <w:pPr>
              <w:rPr>
                <w:rFonts w:eastAsia="Times New Roman"/>
                <w:sz w:val="20"/>
                <w:szCs w:val="20"/>
              </w:rPr>
            </w:pPr>
            <w:r>
              <w:rPr>
                <w:rFonts w:eastAsia="Times New Roman"/>
                <w:sz w:val="20"/>
                <w:szCs w:val="20"/>
              </w:rPr>
              <w:t>●</w:t>
            </w:r>
          </w:p>
        </w:tc>
        <w:tc>
          <w:tcPr>
            <w:tcW w:w="0" w:type="auto"/>
            <w:hideMark/>
          </w:tcPr>
          <w:p w14:paraId="0DE4F55A" w14:textId="77777777" w:rsidR="00000000" w:rsidRDefault="002F725F">
            <w:pPr>
              <w:jc w:val="both"/>
              <w:rPr>
                <w:rFonts w:eastAsia="Times New Roman"/>
                <w:sz w:val="20"/>
                <w:szCs w:val="20"/>
              </w:rPr>
            </w:pPr>
            <w:r>
              <w:rPr>
                <w:rFonts w:eastAsia="Times New Roman"/>
                <w:sz w:val="20"/>
                <w:szCs w:val="20"/>
              </w:rPr>
              <w:t>the current and historical market prices of the Shares, including the fact that the Per Share Merger Con</w:t>
            </w:r>
            <w:r>
              <w:rPr>
                <w:rFonts w:eastAsia="Times New Roman"/>
                <w:sz w:val="20"/>
                <w:szCs w:val="20"/>
              </w:rPr>
              <w:t>sideration of US$0.066 offered to the Unaffiliated Security Holders represents a premium of approximately 46.7% to the closing price of the Shares on March 24, 2026, the last trading day before the Company announced its receipt of the March 24, 2026 Propos</w:t>
            </w:r>
            <w:r>
              <w:rPr>
                <w:rFonts w:eastAsia="Times New Roman"/>
                <w:sz w:val="20"/>
                <w:szCs w:val="20"/>
              </w:rPr>
              <w:t>al, and a premium of approximately 23.3% to the volume-weighted average closing price of the Shares during the last 10 trading days prior to and including March 24, 2026;</w:t>
            </w:r>
          </w:p>
        </w:tc>
      </w:tr>
    </w:tbl>
    <w:p w14:paraId="113FCEF9"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A35A855" w14:textId="77777777">
        <w:trPr>
          <w:divId w:val="415980837"/>
          <w:tblCellSpacing w:w="0" w:type="dxa"/>
        </w:trPr>
        <w:tc>
          <w:tcPr>
            <w:tcW w:w="720" w:type="dxa"/>
            <w:hideMark/>
          </w:tcPr>
          <w:p w14:paraId="57F3E0FA" w14:textId="77777777" w:rsidR="00000000" w:rsidRDefault="002F725F">
            <w:pPr>
              <w:rPr>
                <w:sz w:val="20"/>
                <w:szCs w:val="20"/>
              </w:rPr>
            </w:pPr>
          </w:p>
        </w:tc>
        <w:tc>
          <w:tcPr>
            <w:tcW w:w="360" w:type="dxa"/>
            <w:hideMark/>
          </w:tcPr>
          <w:p w14:paraId="420AAB57" w14:textId="77777777" w:rsidR="00000000" w:rsidRDefault="002F725F">
            <w:pPr>
              <w:rPr>
                <w:rFonts w:eastAsia="Times New Roman"/>
                <w:sz w:val="20"/>
                <w:szCs w:val="20"/>
              </w:rPr>
            </w:pPr>
            <w:r>
              <w:rPr>
                <w:rFonts w:eastAsia="Times New Roman"/>
                <w:sz w:val="20"/>
                <w:szCs w:val="20"/>
              </w:rPr>
              <w:t>●</w:t>
            </w:r>
          </w:p>
        </w:tc>
        <w:tc>
          <w:tcPr>
            <w:tcW w:w="0" w:type="auto"/>
            <w:hideMark/>
          </w:tcPr>
          <w:p w14:paraId="2E5BFE40" w14:textId="77777777" w:rsidR="00000000" w:rsidRDefault="002F725F">
            <w:pPr>
              <w:jc w:val="both"/>
              <w:rPr>
                <w:rFonts w:eastAsia="Times New Roman"/>
                <w:sz w:val="20"/>
                <w:szCs w:val="20"/>
              </w:rPr>
            </w:pPr>
            <w:r>
              <w:rPr>
                <w:rFonts w:eastAsia="Times New Roman"/>
                <w:sz w:val="20"/>
                <w:szCs w:val="20"/>
              </w:rPr>
              <w:t>the recent delisting of the Company’s securities from NASDAQ, the limited liqui</w:t>
            </w:r>
            <w:r>
              <w:rPr>
                <w:rFonts w:eastAsia="Times New Roman"/>
                <w:sz w:val="20"/>
                <w:szCs w:val="20"/>
              </w:rPr>
              <w:t>dity and limited trading volume of the Shares on OTC Pink, and the associated depressed trading price;</w:t>
            </w:r>
          </w:p>
        </w:tc>
      </w:tr>
    </w:tbl>
    <w:p w14:paraId="17877882"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57BDCBB" w14:textId="77777777">
        <w:trPr>
          <w:divId w:val="415980837"/>
          <w:tblCellSpacing w:w="0" w:type="dxa"/>
        </w:trPr>
        <w:tc>
          <w:tcPr>
            <w:tcW w:w="720" w:type="dxa"/>
            <w:hideMark/>
          </w:tcPr>
          <w:p w14:paraId="4326CC79" w14:textId="77777777" w:rsidR="00000000" w:rsidRDefault="002F725F">
            <w:pPr>
              <w:rPr>
                <w:sz w:val="20"/>
                <w:szCs w:val="20"/>
              </w:rPr>
            </w:pPr>
          </w:p>
        </w:tc>
        <w:tc>
          <w:tcPr>
            <w:tcW w:w="360" w:type="dxa"/>
            <w:hideMark/>
          </w:tcPr>
          <w:p w14:paraId="427F0F1B" w14:textId="77777777" w:rsidR="00000000" w:rsidRDefault="002F725F">
            <w:pPr>
              <w:rPr>
                <w:rFonts w:eastAsia="Times New Roman"/>
                <w:sz w:val="20"/>
                <w:szCs w:val="20"/>
              </w:rPr>
            </w:pPr>
            <w:r>
              <w:rPr>
                <w:rFonts w:eastAsia="Times New Roman"/>
                <w:sz w:val="20"/>
                <w:szCs w:val="20"/>
              </w:rPr>
              <w:t>●</w:t>
            </w:r>
          </w:p>
        </w:tc>
        <w:tc>
          <w:tcPr>
            <w:tcW w:w="0" w:type="auto"/>
            <w:hideMark/>
          </w:tcPr>
          <w:p w14:paraId="1F734DC9" w14:textId="77777777" w:rsidR="00000000" w:rsidRDefault="002F725F">
            <w:pPr>
              <w:jc w:val="both"/>
              <w:rPr>
                <w:rFonts w:eastAsia="Times New Roman"/>
                <w:sz w:val="20"/>
                <w:szCs w:val="20"/>
              </w:rPr>
            </w:pPr>
            <w:r>
              <w:rPr>
                <w:rFonts w:eastAsia="Times New Roman"/>
                <w:sz w:val="20"/>
                <w:szCs w:val="20"/>
              </w:rPr>
              <w:t>the Special Committee and, acting upon the unanimous recommendation of the Special Committee, the Board (other than Ms. Rui (Rachel) Yu who recused herself from the meeting of the Board and Dr. Hui (David) Shao who abstained from voting at the meeting of t</w:t>
            </w:r>
            <w:r>
              <w:rPr>
                <w:rFonts w:eastAsia="Times New Roman"/>
                <w:sz w:val="20"/>
                <w:szCs w:val="20"/>
              </w:rPr>
              <w:t>he Board) determined that the Merger contemplated in the Merger Agreement and the Plan of Merger is fair to and in the best interests of the Unaffiliated Security Holders;</w:t>
            </w:r>
          </w:p>
        </w:tc>
      </w:tr>
    </w:tbl>
    <w:p w14:paraId="1BCFBB11"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59ABA23" w14:textId="77777777">
        <w:trPr>
          <w:divId w:val="415980837"/>
          <w:tblCellSpacing w:w="0" w:type="dxa"/>
        </w:trPr>
        <w:tc>
          <w:tcPr>
            <w:tcW w:w="720" w:type="dxa"/>
            <w:hideMark/>
          </w:tcPr>
          <w:p w14:paraId="0B483972" w14:textId="77777777" w:rsidR="00000000" w:rsidRDefault="002F725F">
            <w:pPr>
              <w:rPr>
                <w:sz w:val="20"/>
                <w:szCs w:val="20"/>
              </w:rPr>
            </w:pPr>
          </w:p>
        </w:tc>
        <w:tc>
          <w:tcPr>
            <w:tcW w:w="360" w:type="dxa"/>
            <w:hideMark/>
          </w:tcPr>
          <w:p w14:paraId="6CD07BB7" w14:textId="77777777" w:rsidR="00000000" w:rsidRDefault="002F725F">
            <w:pPr>
              <w:rPr>
                <w:rFonts w:eastAsia="Times New Roman"/>
                <w:sz w:val="20"/>
                <w:szCs w:val="20"/>
              </w:rPr>
            </w:pPr>
            <w:r>
              <w:rPr>
                <w:rFonts w:eastAsia="Times New Roman"/>
                <w:sz w:val="20"/>
                <w:szCs w:val="20"/>
              </w:rPr>
              <w:t>●</w:t>
            </w:r>
          </w:p>
        </w:tc>
        <w:tc>
          <w:tcPr>
            <w:tcW w:w="0" w:type="auto"/>
            <w:hideMark/>
          </w:tcPr>
          <w:p w14:paraId="15270941" w14:textId="77777777" w:rsidR="00000000" w:rsidRDefault="002F725F">
            <w:pPr>
              <w:jc w:val="both"/>
              <w:rPr>
                <w:rFonts w:eastAsia="Times New Roman"/>
                <w:sz w:val="20"/>
                <w:szCs w:val="20"/>
              </w:rPr>
            </w:pPr>
            <w:r>
              <w:rPr>
                <w:rFonts w:eastAsia="Times New Roman"/>
                <w:sz w:val="20"/>
                <w:szCs w:val="20"/>
              </w:rPr>
              <w:t>the merger consideration to be paid to the Unaffiliated Security Holders in th</w:t>
            </w:r>
            <w:r>
              <w:rPr>
                <w:rFonts w:eastAsia="Times New Roman"/>
                <w:sz w:val="20"/>
                <w:szCs w:val="20"/>
              </w:rPr>
              <w:t>e Merger is all cash, which allows the Unaffiliated Security Holders to immediately realize certainty of value and liquidity without incurring brokerage and other costs typically associated with market sales and allows the Unaffiliated Security Holders not</w:t>
            </w:r>
            <w:r>
              <w:rPr>
                <w:rFonts w:eastAsia="Times New Roman"/>
                <w:sz w:val="20"/>
                <w:szCs w:val="20"/>
              </w:rPr>
              <w:t xml:space="preserve"> to be exposed to risks and uncertainties relating to the prospects of the Company;</w:t>
            </w:r>
          </w:p>
        </w:tc>
      </w:tr>
    </w:tbl>
    <w:p w14:paraId="6BE39B0B"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9C9F349" w14:textId="77777777">
        <w:trPr>
          <w:divId w:val="415980837"/>
          <w:tblCellSpacing w:w="0" w:type="dxa"/>
        </w:trPr>
        <w:tc>
          <w:tcPr>
            <w:tcW w:w="720" w:type="dxa"/>
            <w:hideMark/>
          </w:tcPr>
          <w:p w14:paraId="15BFD608" w14:textId="77777777" w:rsidR="00000000" w:rsidRDefault="002F725F">
            <w:pPr>
              <w:rPr>
                <w:sz w:val="20"/>
                <w:szCs w:val="20"/>
              </w:rPr>
            </w:pPr>
          </w:p>
        </w:tc>
        <w:tc>
          <w:tcPr>
            <w:tcW w:w="360" w:type="dxa"/>
            <w:hideMark/>
          </w:tcPr>
          <w:p w14:paraId="7B82AD12" w14:textId="77777777" w:rsidR="00000000" w:rsidRDefault="002F725F">
            <w:pPr>
              <w:rPr>
                <w:rFonts w:eastAsia="Times New Roman"/>
                <w:sz w:val="20"/>
                <w:szCs w:val="20"/>
              </w:rPr>
            </w:pPr>
            <w:r>
              <w:rPr>
                <w:rFonts w:eastAsia="Times New Roman"/>
                <w:sz w:val="20"/>
                <w:szCs w:val="20"/>
              </w:rPr>
              <w:t>●</w:t>
            </w:r>
          </w:p>
        </w:tc>
        <w:tc>
          <w:tcPr>
            <w:tcW w:w="0" w:type="auto"/>
            <w:hideMark/>
          </w:tcPr>
          <w:p w14:paraId="5F368645" w14:textId="77777777" w:rsidR="00000000" w:rsidRDefault="002F725F">
            <w:pPr>
              <w:jc w:val="both"/>
              <w:rPr>
                <w:rFonts w:eastAsia="Times New Roman"/>
                <w:sz w:val="20"/>
                <w:szCs w:val="20"/>
              </w:rPr>
            </w:pPr>
            <w:r>
              <w:rPr>
                <w:rFonts w:eastAsia="Times New Roman"/>
                <w:sz w:val="20"/>
                <w:szCs w:val="20"/>
              </w:rPr>
              <w:t>notwithstanding that the Buyer Filing Persons may not rely upon the opinion provided by Duff &amp; Phelps as the financial advisor to the Special Committee, the Special C</w:t>
            </w:r>
            <w:r>
              <w:rPr>
                <w:rFonts w:eastAsia="Times New Roman"/>
                <w:sz w:val="20"/>
                <w:szCs w:val="20"/>
              </w:rPr>
              <w:t>ommittee received an opinion from Duff &amp; Phelps, dated April 28, 2026, as to the fairness, from a financial point of view, of the Per Share Merger Consideration to be received by the holders of the Shares (other than the Excluded Shares and Dissenting Shar</w:t>
            </w:r>
            <w:r>
              <w:rPr>
                <w:rFonts w:eastAsia="Times New Roman"/>
                <w:sz w:val="20"/>
                <w:szCs w:val="20"/>
              </w:rPr>
              <w:t>es) in the Merger, as of the date of such opinion, based upon and subject to the procedures followed, assumptions made, qualifications and limitations on the review undertaken and other matters considered by Duff &amp; Phelps in preparing its opinion;</w:t>
            </w:r>
          </w:p>
        </w:tc>
      </w:tr>
    </w:tbl>
    <w:p w14:paraId="638718C6"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348C856" w14:textId="77777777">
        <w:trPr>
          <w:divId w:val="415980837"/>
          <w:tblCellSpacing w:w="0" w:type="dxa"/>
        </w:trPr>
        <w:tc>
          <w:tcPr>
            <w:tcW w:w="720" w:type="dxa"/>
            <w:hideMark/>
          </w:tcPr>
          <w:p w14:paraId="50CE5B4A" w14:textId="77777777" w:rsidR="00000000" w:rsidRDefault="002F725F">
            <w:pPr>
              <w:rPr>
                <w:sz w:val="20"/>
                <w:szCs w:val="20"/>
              </w:rPr>
            </w:pPr>
          </w:p>
        </w:tc>
        <w:tc>
          <w:tcPr>
            <w:tcW w:w="360" w:type="dxa"/>
            <w:hideMark/>
          </w:tcPr>
          <w:p w14:paraId="17910D49" w14:textId="77777777" w:rsidR="00000000" w:rsidRDefault="002F725F">
            <w:pPr>
              <w:rPr>
                <w:rFonts w:eastAsia="Times New Roman"/>
                <w:sz w:val="20"/>
                <w:szCs w:val="20"/>
              </w:rPr>
            </w:pPr>
            <w:r>
              <w:rPr>
                <w:rFonts w:eastAsia="Times New Roman"/>
                <w:sz w:val="20"/>
                <w:szCs w:val="20"/>
              </w:rPr>
              <w:t>●</w:t>
            </w:r>
          </w:p>
        </w:tc>
        <w:tc>
          <w:tcPr>
            <w:tcW w:w="0" w:type="auto"/>
            <w:hideMark/>
          </w:tcPr>
          <w:p w14:paraId="32B77679" w14:textId="77777777" w:rsidR="00000000" w:rsidRDefault="002F725F">
            <w:pPr>
              <w:jc w:val="both"/>
              <w:rPr>
                <w:rFonts w:eastAsia="Times New Roman"/>
                <w:sz w:val="20"/>
                <w:szCs w:val="20"/>
              </w:rPr>
            </w:pPr>
            <w:r>
              <w:rPr>
                <w:rFonts w:eastAsia="Times New Roman"/>
                <w:sz w:val="20"/>
                <w:szCs w:val="20"/>
              </w:rPr>
              <w:t>th</w:t>
            </w:r>
            <w:r>
              <w:rPr>
                <w:rFonts w:eastAsia="Times New Roman"/>
                <w:sz w:val="20"/>
                <w:szCs w:val="20"/>
              </w:rPr>
              <w:t>e Company, under certain circumstances, is able to specifically enforce the terms of the Merger Agreement, the Support Agreement, the Equity Commitment Letter and the Limited Guarantee;</w:t>
            </w:r>
          </w:p>
        </w:tc>
      </w:tr>
    </w:tbl>
    <w:p w14:paraId="5A3A76EA"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75481AB" w14:textId="77777777">
        <w:trPr>
          <w:divId w:val="415980837"/>
          <w:tblCellSpacing w:w="0" w:type="dxa"/>
        </w:trPr>
        <w:tc>
          <w:tcPr>
            <w:tcW w:w="720" w:type="dxa"/>
            <w:hideMark/>
          </w:tcPr>
          <w:p w14:paraId="0FF0C986" w14:textId="77777777" w:rsidR="00000000" w:rsidRDefault="002F725F">
            <w:pPr>
              <w:rPr>
                <w:sz w:val="20"/>
                <w:szCs w:val="20"/>
              </w:rPr>
            </w:pPr>
          </w:p>
        </w:tc>
        <w:tc>
          <w:tcPr>
            <w:tcW w:w="360" w:type="dxa"/>
            <w:hideMark/>
          </w:tcPr>
          <w:p w14:paraId="236FDD58" w14:textId="77777777" w:rsidR="00000000" w:rsidRDefault="002F725F">
            <w:pPr>
              <w:rPr>
                <w:rFonts w:eastAsia="Times New Roman"/>
                <w:sz w:val="20"/>
                <w:szCs w:val="20"/>
              </w:rPr>
            </w:pPr>
            <w:r>
              <w:rPr>
                <w:rFonts w:eastAsia="Times New Roman"/>
                <w:sz w:val="20"/>
                <w:szCs w:val="20"/>
              </w:rPr>
              <w:t>●</w:t>
            </w:r>
          </w:p>
        </w:tc>
        <w:tc>
          <w:tcPr>
            <w:tcW w:w="0" w:type="auto"/>
            <w:hideMark/>
          </w:tcPr>
          <w:p w14:paraId="158B2D46" w14:textId="77777777" w:rsidR="00000000" w:rsidRDefault="002F725F">
            <w:pPr>
              <w:jc w:val="both"/>
              <w:rPr>
                <w:rFonts w:eastAsia="Times New Roman"/>
                <w:sz w:val="20"/>
                <w:szCs w:val="20"/>
              </w:rPr>
            </w:pPr>
            <w:r>
              <w:rPr>
                <w:rFonts w:eastAsia="Times New Roman"/>
                <w:sz w:val="20"/>
                <w:szCs w:val="20"/>
              </w:rPr>
              <w:t>pursuant to and subject to limitations set forth in the Limited Guarantee, the Sponsor has guaranteed to the Company the due and punctual performance and discharge as and when due of the payment obligations of Parent with respect to (i) the payment of Pare</w:t>
            </w:r>
            <w:r>
              <w:rPr>
                <w:rFonts w:eastAsia="Times New Roman"/>
                <w:sz w:val="20"/>
                <w:szCs w:val="20"/>
              </w:rPr>
              <w:t xml:space="preserve">nt Termination Fee pursuant to Section 9.3(b) </w:t>
            </w:r>
            <w:r>
              <w:rPr>
                <w:rFonts w:eastAsia="Times New Roman"/>
                <w:sz w:val="20"/>
                <w:szCs w:val="20"/>
              </w:rPr>
              <w:lastRenderedPageBreak/>
              <w:t>of the Merger Agreement and (ii) the reimbursement obligations of Parent pursuant to Section 9.3(c) of the Merger Agreement, subject to a cap of US$110,000;</w:t>
            </w:r>
          </w:p>
        </w:tc>
      </w:tr>
    </w:tbl>
    <w:p w14:paraId="1FFF292E"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3A54128" w14:textId="77777777">
        <w:trPr>
          <w:divId w:val="415980837"/>
          <w:tblCellSpacing w:w="0" w:type="dxa"/>
        </w:trPr>
        <w:tc>
          <w:tcPr>
            <w:tcW w:w="720" w:type="dxa"/>
            <w:hideMark/>
          </w:tcPr>
          <w:p w14:paraId="1ADB9C0F" w14:textId="77777777" w:rsidR="00000000" w:rsidRDefault="002F725F">
            <w:pPr>
              <w:rPr>
                <w:sz w:val="20"/>
                <w:szCs w:val="20"/>
              </w:rPr>
            </w:pPr>
          </w:p>
        </w:tc>
        <w:tc>
          <w:tcPr>
            <w:tcW w:w="360" w:type="dxa"/>
            <w:hideMark/>
          </w:tcPr>
          <w:p w14:paraId="75FEB6D3" w14:textId="77777777" w:rsidR="00000000" w:rsidRDefault="002F725F">
            <w:pPr>
              <w:rPr>
                <w:rFonts w:eastAsia="Times New Roman"/>
                <w:sz w:val="20"/>
                <w:szCs w:val="20"/>
              </w:rPr>
            </w:pPr>
            <w:r>
              <w:rPr>
                <w:rFonts w:eastAsia="Times New Roman"/>
                <w:sz w:val="20"/>
                <w:szCs w:val="20"/>
              </w:rPr>
              <w:t>●</w:t>
            </w:r>
          </w:p>
        </w:tc>
        <w:tc>
          <w:tcPr>
            <w:tcW w:w="0" w:type="auto"/>
            <w:hideMark/>
          </w:tcPr>
          <w:p w14:paraId="47B8B284" w14:textId="77777777" w:rsidR="00000000" w:rsidRDefault="002F725F">
            <w:pPr>
              <w:jc w:val="both"/>
              <w:rPr>
                <w:rFonts w:eastAsia="Times New Roman"/>
                <w:sz w:val="20"/>
                <w:szCs w:val="20"/>
              </w:rPr>
            </w:pPr>
            <w:r>
              <w:rPr>
                <w:rFonts w:eastAsia="Times New Roman"/>
                <w:sz w:val="20"/>
                <w:szCs w:val="20"/>
              </w:rPr>
              <w:t xml:space="preserve">the Merger is not conditioned on any financing </w:t>
            </w:r>
            <w:r>
              <w:rPr>
                <w:rFonts w:eastAsia="Times New Roman"/>
                <w:sz w:val="20"/>
                <w:szCs w:val="20"/>
              </w:rPr>
              <w:t>being obtained by Parent or Merger Sub or the sufficiency of the available cash of the Company for the Merger, thus increasing the likelihood that the Merger will be consummated and the merger consideration will be paid to holders of the Shares (other than</w:t>
            </w:r>
            <w:r>
              <w:rPr>
                <w:rFonts w:eastAsia="Times New Roman"/>
                <w:sz w:val="20"/>
                <w:szCs w:val="20"/>
              </w:rPr>
              <w:t xml:space="preserve"> the Excluded Shares and Dissenting Shares);</w:t>
            </w:r>
          </w:p>
        </w:tc>
      </w:tr>
    </w:tbl>
    <w:p w14:paraId="45C14EC8"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74D1739" w14:textId="77777777">
        <w:trPr>
          <w:divId w:val="415980837"/>
          <w:tblCellSpacing w:w="0" w:type="dxa"/>
        </w:trPr>
        <w:tc>
          <w:tcPr>
            <w:tcW w:w="720" w:type="dxa"/>
            <w:hideMark/>
          </w:tcPr>
          <w:p w14:paraId="23F831CA" w14:textId="77777777" w:rsidR="00000000" w:rsidRDefault="002F725F">
            <w:pPr>
              <w:rPr>
                <w:sz w:val="20"/>
                <w:szCs w:val="20"/>
              </w:rPr>
            </w:pPr>
          </w:p>
        </w:tc>
        <w:tc>
          <w:tcPr>
            <w:tcW w:w="360" w:type="dxa"/>
            <w:hideMark/>
          </w:tcPr>
          <w:p w14:paraId="039AD1C7" w14:textId="77777777" w:rsidR="00000000" w:rsidRDefault="002F725F">
            <w:pPr>
              <w:rPr>
                <w:rFonts w:eastAsia="Times New Roman"/>
                <w:sz w:val="20"/>
                <w:szCs w:val="20"/>
              </w:rPr>
            </w:pPr>
            <w:r>
              <w:rPr>
                <w:rFonts w:eastAsia="Times New Roman"/>
                <w:sz w:val="20"/>
                <w:szCs w:val="20"/>
              </w:rPr>
              <w:t>●</w:t>
            </w:r>
          </w:p>
        </w:tc>
        <w:tc>
          <w:tcPr>
            <w:tcW w:w="0" w:type="auto"/>
            <w:hideMark/>
          </w:tcPr>
          <w:p w14:paraId="656E6607" w14:textId="77777777" w:rsidR="00000000" w:rsidRDefault="002F725F">
            <w:pPr>
              <w:jc w:val="both"/>
              <w:rPr>
                <w:rFonts w:eastAsia="Times New Roman"/>
                <w:sz w:val="20"/>
                <w:szCs w:val="20"/>
              </w:rPr>
            </w:pPr>
            <w:r>
              <w:rPr>
                <w:rFonts w:eastAsia="Times New Roman"/>
                <w:sz w:val="20"/>
                <w:szCs w:val="20"/>
              </w:rPr>
              <w:t>the potential adverse effects on the Company’s business, financial condition and results of operations caused by the general economic slowdown in the PRC and globally and challenges in the macroeconomic en</w:t>
            </w:r>
            <w:r>
              <w:rPr>
                <w:rFonts w:eastAsia="Times New Roman"/>
                <w:sz w:val="20"/>
                <w:szCs w:val="20"/>
              </w:rPr>
              <w:t>vironment;</w:t>
            </w:r>
          </w:p>
        </w:tc>
      </w:tr>
    </w:tbl>
    <w:p w14:paraId="4380C923"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16DB33A" w14:textId="77777777">
        <w:trPr>
          <w:divId w:val="415980837"/>
          <w:tblCellSpacing w:w="0" w:type="dxa"/>
        </w:trPr>
        <w:tc>
          <w:tcPr>
            <w:tcW w:w="720" w:type="dxa"/>
            <w:hideMark/>
          </w:tcPr>
          <w:p w14:paraId="3EB11EFA" w14:textId="77777777" w:rsidR="00000000" w:rsidRDefault="002F725F">
            <w:pPr>
              <w:rPr>
                <w:sz w:val="20"/>
                <w:szCs w:val="20"/>
              </w:rPr>
            </w:pPr>
          </w:p>
        </w:tc>
        <w:tc>
          <w:tcPr>
            <w:tcW w:w="360" w:type="dxa"/>
            <w:hideMark/>
          </w:tcPr>
          <w:p w14:paraId="2BFE3FCD" w14:textId="77777777" w:rsidR="00000000" w:rsidRDefault="002F725F">
            <w:pPr>
              <w:rPr>
                <w:rFonts w:eastAsia="Times New Roman"/>
                <w:sz w:val="20"/>
                <w:szCs w:val="20"/>
              </w:rPr>
            </w:pPr>
            <w:r>
              <w:rPr>
                <w:rFonts w:eastAsia="Times New Roman"/>
                <w:sz w:val="20"/>
                <w:szCs w:val="20"/>
              </w:rPr>
              <w:t>●</w:t>
            </w:r>
          </w:p>
        </w:tc>
        <w:tc>
          <w:tcPr>
            <w:tcW w:w="0" w:type="auto"/>
            <w:hideMark/>
          </w:tcPr>
          <w:p w14:paraId="53E2734A" w14:textId="77777777" w:rsidR="00000000" w:rsidRDefault="002F725F">
            <w:pPr>
              <w:jc w:val="both"/>
              <w:rPr>
                <w:rFonts w:eastAsia="Times New Roman"/>
                <w:sz w:val="20"/>
                <w:szCs w:val="20"/>
              </w:rPr>
            </w:pPr>
            <w:r>
              <w:rPr>
                <w:rFonts w:eastAsia="Times New Roman"/>
                <w:sz w:val="20"/>
                <w:szCs w:val="20"/>
              </w:rPr>
              <w:t>the possibility that PRC-based U.S.-listed public companies would be subject to additional costs and burden of regulatory compliance by reason of any newly enacted law or regulation such as the Holding Foreign Companies Accountable Act;</w:t>
            </w:r>
          </w:p>
        </w:tc>
      </w:tr>
    </w:tbl>
    <w:p w14:paraId="58818DA3"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D2390AF" w14:textId="77777777" w:rsidR="00000000" w:rsidRDefault="002F725F">
      <w:pPr>
        <w:pStyle w:val="NormalWeb"/>
        <w:spacing w:before="0" w:beforeAutospacing="0" w:after="0" w:afterAutospacing="0"/>
        <w:jc w:val="center"/>
        <w:divId w:val="1251814724"/>
        <w:rPr>
          <w:sz w:val="20"/>
          <w:szCs w:val="20"/>
        </w:rPr>
      </w:pPr>
      <w:r>
        <w:rPr>
          <w:sz w:val="20"/>
          <w:szCs w:val="20"/>
        </w:rPr>
        <w:t>3</w:t>
      </w:r>
      <w:r>
        <w:rPr>
          <w:sz w:val="20"/>
          <w:szCs w:val="20"/>
        </w:rPr>
        <w:t>6</w:t>
      </w:r>
    </w:p>
    <w:p w14:paraId="58728E0C" w14:textId="77777777" w:rsidR="00000000" w:rsidRDefault="002F725F">
      <w:pPr>
        <w:pStyle w:val="NormalWeb"/>
        <w:spacing w:before="0" w:beforeAutospacing="0" w:after="0" w:afterAutospacing="0"/>
        <w:divId w:val="510267853"/>
        <w:rPr>
          <w:sz w:val="20"/>
          <w:szCs w:val="20"/>
        </w:rPr>
      </w:pPr>
      <w:r>
        <w:rPr>
          <w:sz w:val="20"/>
          <w:szCs w:val="20"/>
        </w:rPr>
        <w:t> </w:t>
      </w:r>
    </w:p>
    <w:p w14:paraId="3DC04198"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79A8BE7" w14:textId="77777777">
        <w:trPr>
          <w:divId w:val="415980837"/>
          <w:tblCellSpacing w:w="0" w:type="dxa"/>
        </w:trPr>
        <w:tc>
          <w:tcPr>
            <w:tcW w:w="720" w:type="dxa"/>
            <w:hideMark/>
          </w:tcPr>
          <w:p w14:paraId="13A138E4" w14:textId="77777777" w:rsidR="00000000" w:rsidRDefault="002F725F">
            <w:pPr>
              <w:rPr>
                <w:sz w:val="20"/>
                <w:szCs w:val="20"/>
              </w:rPr>
            </w:pPr>
          </w:p>
        </w:tc>
        <w:tc>
          <w:tcPr>
            <w:tcW w:w="360" w:type="dxa"/>
            <w:hideMark/>
          </w:tcPr>
          <w:p w14:paraId="2B10400C" w14:textId="77777777" w:rsidR="00000000" w:rsidRDefault="002F725F">
            <w:pPr>
              <w:rPr>
                <w:rFonts w:eastAsia="Times New Roman"/>
                <w:sz w:val="20"/>
                <w:szCs w:val="20"/>
              </w:rPr>
            </w:pPr>
            <w:r>
              <w:rPr>
                <w:rFonts w:eastAsia="Times New Roman"/>
                <w:sz w:val="20"/>
                <w:szCs w:val="20"/>
              </w:rPr>
              <w:t>●</w:t>
            </w:r>
          </w:p>
        </w:tc>
        <w:tc>
          <w:tcPr>
            <w:tcW w:w="0" w:type="auto"/>
            <w:hideMark/>
          </w:tcPr>
          <w:p w14:paraId="2975CF32" w14:textId="77777777" w:rsidR="00000000" w:rsidRDefault="002F725F">
            <w:pPr>
              <w:jc w:val="both"/>
              <w:rPr>
                <w:rFonts w:eastAsia="Times New Roman"/>
                <w:sz w:val="20"/>
                <w:szCs w:val="20"/>
              </w:rPr>
            </w:pPr>
            <w:r>
              <w:rPr>
                <w:rFonts w:eastAsia="Times New Roman"/>
                <w:sz w:val="20"/>
                <w:szCs w:val="20"/>
              </w:rPr>
              <w:t xml:space="preserve">the availability of dissenters’ rights to the Unaffiliated Security Holders who comply with all </w:t>
            </w:r>
            <w:r>
              <w:rPr>
                <w:rFonts w:eastAsia="Times New Roman"/>
                <w:sz w:val="20"/>
                <w:szCs w:val="20"/>
              </w:rPr>
              <w:t>of the required procedures under the Cayman Islands Companies Act for exercising dissenters’ rights, which allow such shareholders to receive payment of the fair value of their Shares as determined by the Grand Court of the Cayman Islands;</w:t>
            </w:r>
          </w:p>
        </w:tc>
      </w:tr>
    </w:tbl>
    <w:p w14:paraId="6EF5F57B" w14:textId="77777777" w:rsidR="00000000" w:rsidRDefault="002F725F">
      <w:pPr>
        <w:pStyle w:val="NormalWeb"/>
        <w:spacing w:before="0" w:beforeAutospacing="0" w:after="0" w:afterAutospacing="0"/>
        <w:ind w:left="1440" w:hanging="360"/>
        <w:jc w:val="both"/>
        <w:divId w:val="415980837"/>
        <w:rPr>
          <w:sz w:val="20"/>
          <w:szCs w:val="20"/>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445CD92" w14:textId="77777777">
        <w:trPr>
          <w:divId w:val="415980837"/>
          <w:tblCellSpacing w:w="0" w:type="dxa"/>
        </w:trPr>
        <w:tc>
          <w:tcPr>
            <w:tcW w:w="720" w:type="dxa"/>
            <w:hideMark/>
          </w:tcPr>
          <w:p w14:paraId="6CD76458" w14:textId="77777777" w:rsidR="00000000" w:rsidRDefault="002F725F">
            <w:pPr>
              <w:rPr>
                <w:sz w:val="20"/>
                <w:szCs w:val="20"/>
              </w:rPr>
            </w:pPr>
          </w:p>
        </w:tc>
        <w:tc>
          <w:tcPr>
            <w:tcW w:w="360" w:type="dxa"/>
            <w:hideMark/>
          </w:tcPr>
          <w:p w14:paraId="1E317D21" w14:textId="77777777" w:rsidR="00000000" w:rsidRDefault="002F725F">
            <w:pPr>
              <w:rPr>
                <w:rFonts w:eastAsia="Times New Roman"/>
                <w:sz w:val="20"/>
                <w:szCs w:val="20"/>
              </w:rPr>
            </w:pPr>
            <w:r>
              <w:rPr>
                <w:rFonts w:eastAsia="Times New Roman"/>
                <w:sz w:val="20"/>
                <w:szCs w:val="20"/>
              </w:rPr>
              <w:t>●</w:t>
            </w:r>
          </w:p>
        </w:tc>
        <w:tc>
          <w:tcPr>
            <w:tcW w:w="0" w:type="auto"/>
            <w:hideMark/>
          </w:tcPr>
          <w:p w14:paraId="6B9A29E3" w14:textId="77777777" w:rsidR="00000000" w:rsidRDefault="002F725F">
            <w:pPr>
              <w:jc w:val="both"/>
              <w:rPr>
                <w:rFonts w:eastAsia="Times New Roman"/>
                <w:sz w:val="20"/>
                <w:szCs w:val="20"/>
              </w:rPr>
            </w:pPr>
            <w:r>
              <w:rPr>
                <w:rFonts w:eastAsia="Times New Roman"/>
                <w:sz w:val="20"/>
                <w:szCs w:val="20"/>
              </w:rPr>
              <w:t>the fact t</w:t>
            </w:r>
            <w:r>
              <w:rPr>
                <w:rFonts w:eastAsia="Times New Roman"/>
                <w:sz w:val="20"/>
                <w:szCs w:val="20"/>
              </w:rPr>
              <w:t>hat the purpose of the Variation of Share Capital is to align the Surviving Company’s authorized share capital to be the same as that of Merger Sub as set forth in the Plan of Merger and the Variation of Share Capital will not affect the merger considerati</w:t>
            </w:r>
            <w:r>
              <w:rPr>
                <w:rFonts w:eastAsia="Times New Roman"/>
                <w:sz w:val="20"/>
                <w:szCs w:val="20"/>
              </w:rPr>
              <w:t>on to be received by the Unaffiliated Security Holders;</w:t>
            </w:r>
          </w:p>
        </w:tc>
      </w:tr>
    </w:tbl>
    <w:p w14:paraId="54EC274A" w14:textId="77777777" w:rsidR="00000000" w:rsidRDefault="002F725F">
      <w:pPr>
        <w:pStyle w:val="NormalWeb"/>
        <w:spacing w:before="0" w:beforeAutospacing="0" w:after="0" w:afterAutospacing="0"/>
        <w:ind w:left="1440" w:hanging="360"/>
        <w:jc w:val="both"/>
        <w:divId w:val="415980837"/>
        <w:rPr>
          <w:sz w:val="20"/>
          <w:szCs w:val="20"/>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91CF167" w14:textId="77777777">
        <w:trPr>
          <w:divId w:val="415980837"/>
          <w:tblCellSpacing w:w="0" w:type="dxa"/>
        </w:trPr>
        <w:tc>
          <w:tcPr>
            <w:tcW w:w="720" w:type="dxa"/>
            <w:hideMark/>
          </w:tcPr>
          <w:p w14:paraId="02AC2624" w14:textId="77777777" w:rsidR="00000000" w:rsidRDefault="002F725F">
            <w:pPr>
              <w:rPr>
                <w:sz w:val="20"/>
                <w:szCs w:val="20"/>
              </w:rPr>
            </w:pPr>
          </w:p>
        </w:tc>
        <w:tc>
          <w:tcPr>
            <w:tcW w:w="360" w:type="dxa"/>
            <w:hideMark/>
          </w:tcPr>
          <w:p w14:paraId="213FE7E8" w14:textId="77777777" w:rsidR="00000000" w:rsidRDefault="002F725F">
            <w:pPr>
              <w:rPr>
                <w:rFonts w:eastAsia="Times New Roman"/>
                <w:sz w:val="20"/>
                <w:szCs w:val="20"/>
              </w:rPr>
            </w:pPr>
            <w:r>
              <w:rPr>
                <w:rFonts w:eastAsia="Times New Roman"/>
                <w:sz w:val="20"/>
                <w:szCs w:val="20"/>
              </w:rPr>
              <w:t>●</w:t>
            </w:r>
          </w:p>
        </w:tc>
        <w:tc>
          <w:tcPr>
            <w:tcW w:w="0" w:type="auto"/>
            <w:hideMark/>
          </w:tcPr>
          <w:p w14:paraId="2BB064EF" w14:textId="77777777" w:rsidR="00000000" w:rsidRDefault="002F725F">
            <w:pPr>
              <w:jc w:val="both"/>
              <w:rPr>
                <w:rFonts w:eastAsia="Times New Roman"/>
                <w:sz w:val="20"/>
                <w:szCs w:val="20"/>
              </w:rPr>
            </w:pPr>
            <w:r>
              <w:rPr>
                <w:rFonts w:eastAsia="Times New Roman"/>
                <w:sz w:val="20"/>
                <w:szCs w:val="20"/>
              </w:rPr>
              <w:t>the Company’s business remains dependent on one marketed product in China, the YSJA</w:t>
            </w:r>
            <w:r>
              <w:rPr>
                <w:rFonts w:eastAsia="Times New Roman"/>
                <w:sz w:val="20"/>
                <w:szCs w:val="20"/>
                <w:vertAlign w:val="superscript"/>
              </w:rPr>
              <w:t>TM</w:t>
            </w:r>
            <w:r>
              <w:rPr>
                <w:rFonts w:eastAsia="Times New Roman"/>
                <w:sz w:val="20"/>
                <w:szCs w:val="20"/>
              </w:rPr>
              <w:t xml:space="preserve"> rabies vaccine, to generate substantially all of its revenue, with aging production facilities operating in </w:t>
            </w:r>
            <w:r>
              <w:rPr>
                <w:rFonts w:eastAsia="Times New Roman"/>
                <w:sz w:val="20"/>
                <w:szCs w:val="20"/>
              </w:rPr>
              <w:t>an increasingly competitive market environment, the structural constraints of which would represent meaningful downside risk to the Company’s financial projections;</w:t>
            </w:r>
          </w:p>
        </w:tc>
      </w:tr>
      <w:tr w:rsidR="00000000" w14:paraId="6081B52C" w14:textId="77777777">
        <w:trPr>
          <w:divId w:val="415980837"/>
          <w:tblCellSpacing w:w="0" w:type="dxa"/>
        </w:trPr>
        <w:tc>
          <w:tcPr>
            <w:tcW w:w="0" w:type="auto"/>
            <w:hideMark/>
          </w:tcPr>
          <w:p w14:paraId="5665C852" w14:textId="77777777" w:rsidR="00000000" w:rsidRDefault="002F725F">
            <w:pPr>
              <w:rPr>
                <w:rFonts w:eastAsia="Times New Roman"/>
                <w:sz w:val="20"/>
                <w:szCs w:val="20"/>
              </w:rPr>
            </w:pPr>
            <w:r>
              <w:rPr>
                <w:rFonts w:eastAsia="Times New Roman"/>
                <w:sz w:val="20"/>
                <w:szCs w:val="20"/>
              </w:rPr>
              <w:t> </w:t>
            </w:r>
          </w:p>
        </w:tc>
        <w:tc>
          <w:tcPr>
            <w:tcW w:w="0" w:type="auto"/>
            <w:hideMark/>
          </w:tcPr>
          <w:p w14:paraId="19C2CBB5" w14:textId="77777777" w:rsidR="00000000" w:rsidRDefault="002F725F">
            <w:pPr>
              <w:rPr>
                <w:rFonts w:eastAsia="Times New Roman"/>
                <w:sz w:val="20"/>
                <w:szCs w:val="20"/>
              </w:rPr>
            </w:pPr>
            <w:r>
              <w:rPr>
                <w:rFonts w:eastAsia="Times New Roman"/>
                <w:sz w:val="20"/>
                <w:szCs w:val="20"/>
              </w:rPr>
              <w:t> </w:t>
            </w:r>
          </w:p>
        </w:tc>
        <w:tc>
          <w:tcPr>
            <w:tcW w:w="0" w:type="auto"/>
            <w:hideMark/>
          </w:tcPr>
          <w:p w14:paraId="610D9107" w14:textId="77777777" w:rsidR="00000000" w:rsidRDefault="002F725F">
            <w:pPr>
              <w:jc w:val="both"/>
              <w:rPr>
                <w:rFonts w:eastAsia="Times New Roman"/>
                <w:sz w:val="20"/>
                <w:szCs w:val="20"/>
              </w:rPr>
            </w:pPr>
            <w:r>
              <w:rPr>
                <w:rFonts w:eastAsia="Times New Roman"/>
                <w:sz w:val="20"/>
                <w:szCs w:val="20"/>
              </w:rPr>
              <w:t> </w:t>
            </w:r>
          </w:p>
        </w:tc>
      </w:tr>
      <w:tr w:rsidR="00000000" w14:paraId="07057B34" w14:textId="77777777">
        <w:trPr>
          <w:divId w:val="415980837"/>
          <w:tblCellSpacing w:w="0" w:type="dxa"/>
        </w:trPr>
        <w:tc>
          <w:tcPr>
            <w:tcW w:w="0" w:type="auto"/>
            <w:hideMark/>
          </w:tcPr>
          <w:p w14:paraId="6B104DF2" w14:textId="77777777" w:rsidR="00000000" w:rsidRDefault="002F725F">
            <w:pPr>
              <w:rPr>
                <w:rFonts w:eastAsia="Times New Roman"/>
                <w:sz w:val="20"/>
                <w:szCs w:val="20"/>
              </w:rPr>
            </w:pPr>
            <w:r>
              <w:rPr>
                <w:rFonts w:eastAsia="Times New Roman"/>
                <w:sz w:val="20"/>
                <w:szCs w:val="20"/>
              </w:rPr>
              <w:t> </w:t>
            </w:r>
          </w:p>
        </w:tc>
        <w:tc>
          <w:tcPr>
            <w:tcW w:w="0" w:type="auto"/>
            <w:hideMark/>
          </w:tcPr>
          <w:p w14:paraId="6B8B2B82" w14:textId="77777777" w:rsidR="00000000" w:rsidRDefault="002F725F">
            <w:pPr>
              <w:rPr>
                <w:rFonts w:eastAsia="Times New Roman"/>
                <w:sz w:val="20"/>
                <w:szCs w:val="20"/>
              </w:rPr>
            </w:pPr>
            <w:r>
              <w:rPr>
                <w:rFonts w:eastAsia="Times New Roman"/>
                <w:sz w:val="20"/>
                <w:szCs w:val="20"/>
              </w:rPr>
              <w:t>●</w:t>
            </w:r>
          </w:p>
        </w:tc>
        <w:tc>
          <w:tcPr>
            <w:tcW w:w="0" w:type="auto"/>
            <w:hideMark/>
          </w:tcPr>
          <w:p w14:paraId="5510F7F6" w14:textId="77777777" w:rsidR="00000000" w:rsidRDefault="002F725F">
            <w:pPr>
              <w:jc w:val="both"/>
              <w:rPr>
                <w:rFonts w:eastAsia="Times New Roman"/>
                <w:sz w:val="20"/>
                <w:szCs w:val="20"/>
              </w:rPr>
            </w:pPr>
            <w:r>
              <w:rPr>
                <w:rFonts w:eastAsia="Times New Roman"/>
                <w:sz w:val="20"/>
                <w:szCs w:val="20"/>
              </w:rPr>
              <w:t>the change in applicable value-added tax (“VAT”) policy in the PRC, pursuant to which, effective from January 1, 2026, sales of biopharmaceutical products are no longer eligible for the simplified VAT computation method, resulting in an increase in the app</w:t>
            </w:r>
            <w:r>
              <w:rPr>
                <w:rFonts w:eastAsia="Times New Roman"/>
                <w:sz w:val="20"/>
                <w:szCs w:val="20"/>
              </w:rPr>
              <w:t>licable VAT rate for the Company’s biopharmaceutical products from 3% to 13%, which has had, and would reasonably be expected to continue to have, a direct and material adverse effect on the Company’s financial condition, revenue, profitability, and cash f</w:t>
            </w:r>
            <w:r>
              <w:rPr>
                <w:rFonts w:eastAsia="Times New Roman"/>
                <w:sz w:val="20"/>
                <w:szCs w:val="20"/>
              </w:rPr>
              <w:t>lows;</w:t>
            </w:r>
          </w:p>
        </w:tc>
      </w:tr>
      <w:tr w:rsidR="00000000" w14:paraId="0141B31F" w14:textId="77777777">
        <w:trPr>
          <w:divId w:val="415980837"/>
          <w:tblCellSpacing w:w="0" w:type="dxa"/>
        </w:trPr>
        <w:tc>
          <w:tcPr>
            <w:tcW w:w="0" w:type="auto"/>
            <w:hideMark/>
          </w:tcPr>
          <w:p w14:paraId="78541D67" w14:textId="77777777" w:rsidR="00000000" w:rsidRDefault="002F725F">
            <w:pPr>
              <w:rPr>
                <w:rFonts w:eastAsia="Times New Roman"/>
                <w:sz w:val="20"/>
                <w:szCs w:val="20"/>
              </w:rPr>
            </w:pPr>
            <w:r>
              <w:rPr>
                <w:rFonts w:eastAsia="Times New Roman"/>
                <w:sz w:val="20"/>
                <w:szCs w:val="20"/>
              </w:rPr>
              <w:t> </w:t>
            </w:r>
          </w:p>
        </w:tc>
        <w:tc>
          <w:tcPr>
            <w:tcW w:w="0" w:type="auto"/>
            <w:hideMark/>
          </w:tcPr>
          <w:p w14:paraId="4DF8FC5E" w14:textId="77777777" w:rsidR="00000000" w:rsidRDefault="002F725F">
            <w:pPr>
              <w:rPr>
                <w:rFonts w:eastAsia="Times New Roman"/>
                <w:sz w:val="20"/>
                <w:szCs w:val="20"/>
              </w:rPr>
            </w:pPr>
            <w:r>
              <w:rPr>
                <w:rFonts w:eastAsia="Times New Roman"/>
                <w:sz w:val="20"/>
                <w:szCs w:val="20"/>
              </w:rPr>
              <w:t> </w:t>
            </w:r>
          </w:p>
        </w:tc>
        <w:tc>
          <w:tcPr>
            <w:tcW w:w="0" w:type="auto"/>
            <w:hideMark/>
          </w:tcPr>
          <w:p w14:paraId="63F6770A" w14:textId="77777777" w:rsidR="00000000" w:rsidRDefault="002F725F">
            <w:pPr>
              <w:jc w:val="both"/>
              <w:rPr>
                <w:rFonts w:eastAsia="Times New Roman"/>
                <w:sz w:val="20"/>
                <w:szCs w:val="20"/>
              </w:rPr>
            </w:pPr>
            <w:r>
              <w:rPr>
                <w:rFonts w:eastAsia="Times New Roman"/>
                <w:sz w:val="20"/>
                <w:szCs w:val="20"/>
              </w:rPr>
              <w:t> </w:t>
            </w:r>
          </w:p>
        </w:tc>
      </w:tr>
      <w:tr w:rsidR="00000000" w14:paraId="45EB169E" w14:textId="77777777">
        <w:trPr>
          <w:divId w:val="415980837"/>
          <w:tblCellSpacing w:w="0" w:type="dxa"/>
        </w:trPr>
        <w:tc>
          <w:tcPr>
            <w:tcW w:w="0" w:type="auto"/>
            <w:hideMark/>
          </w:tcPr>
          <w:p w14:paraId="508162BC" w14:textId="77777777" w:rsidR="00000000" w:rsidRDefault="002F725F">
            <w:pPr>
              <w:rPr>
                <w:rFonts w:eastAsia="Times New Roman"/>
                <w:sz w:val="20"/>
                <w:szCs w:val="20"/>
              </w:rPr>
            </w:pPr>
            <w:r>
              <w:rPr>
                <w:rFonts w:eastAsia="Times New Roman"/>
                <w:sz w:val="20"/>
                <w:szCs w:val="20"/>
              </w:rPr>
              <w:t> </w:t>
            </w:r>
          </w:p>
        </w:tc>
        <w:tc>
          <w:tcPr>
            <w:tcW w:w="0" w:type="auto"/>
            <w:hideMark/>
          </w:tcPr>
          <w:p w14:paraId="0EB5A22A" w14:textId="77777777" w:rsidR="00000000" w:rsidRDefault="002F725F">
            <w:pPr>
              <w:rPr>
                <w:rFonts w:eastAsia="Times New Roman"/>
                <w:sz w:val="20"/>
                <w:szCs w:val="20"/>
              </w:rPr>
            </w:pPr>
            <w:r>
              <w:rPr>
                <w:rFonts w:eastAsia="Times New Roman"/>
                <w:sz w:val="20"/>
                <w:szCs w:val="20"/>
              </w:rPr>
              <w:t>●</w:t>
            </w:r>
          </w:p>
        </w:tc>
        <w:tc>
          <w:tcPr>
            <w:tcW w:w="0" w:type="auto"/>
            <w:hideMark/>
          </w:tcPr>
          <w:p w14:paraId="691AD85B" w14:textId="77777777" w:rsidR="00000000" w:rsidRDefault="002F725F">
            <w:pPr>
              <w:jc w:val="both"/>
              <w:rPr>
                <w:rFonts w:eastAsia="Times New Roman"/>
                <w:sz w:val="20"/>
                <w:szCs w:val="20"/>
              </w:rPr>
            </w:pPr>
            <w:r>
              <w:rPr>
                <w:rFonts w:eastAsia="Times New Roman"/>
                <w:sz w:val="20"/>
                <w:szCs w:val="20"/>
              </w:rPr>
              <w:t>the success rate of applications to set aside or to refuse enforcement of the Awards by a competent court in the PRC is low, as reflected in official judicial statistics and publicly available data and supported by HMGG’s analysis, and ac</w:t>
            </w:r>
            <w:r>
              <w:rPr>
                <w:rFonts w:eastAsia="Times New Roman"/>
                <w:sz w:val="20"/>
                <w:szCs w:val="20"/>
              </w:rPr>
              <w:t>cordingly, the substantial monetary liabilities of approximately RMB576.5 million in aggregation imposed by the Awards have had, and would reasonably be expected to continue to have, a material adverse effect on the Company’s financial condition, including</w:t>
            </w:r>
            <w:r>
              <w:rPr>
                <w:rFonts w:eastAsia="Times New Roman"/>
                <w:sz w:val="20"/>
                <w:szCs w:val="20"/>
              </w:rPr>
              <w:t xml:space="preserve"> potentially rendering the Company unable to pay its debts as they become due and payable;</w:t>
            </w:r>
          </w:p>
        </w:tc>
      </w:tr>
      <w:tr w:rsidR="00000000" w14:paraId="04295C86" w14:textId="77777777">
        <w:trPr>
          <w:divId w:val="415980837"/>
          <w:tblCellSpacing w:w="0" w:type="dxa"/>
        </w:trPr>
        <w:tc>
          <w:tcPr>
            <w:tcW w:w="0" w:type="auto"/>
            <w:hideMark/>
          </w:tcPr>
          <w:p w14:paraId="66CF7307" w14:textId="77777777" w:rsidR="00000000" w:rsidRDefault="002F725F">
            <w:pPr>
              <w:rPr>
                <w:rFonts w:eastAsia="Times New Roman"/>
                <w:sz w:val="20"/>
                <w:szCs w:val="20"/>
              </w:rPr>
            </w:pPr>
            <w:r>
              <w:rPr>
                <w:rFonts w:eastAsia="Times New Roman"/>
                <w:sz w:val="20"/>
                <w:szCs w:val="20"/>
              </w:rPr>
              <w:t> </w:t>
            </w:r>
          </w:p>
        </w:tc>
        <w:tc>
          <w:tcPr>
            <w:tcW w:w="0" w:type="auto"/>
            <w:hideMark/>
          </w:tcPr>
          <w:p w14:paraId="3F7CC642" w14:textId="77777777" w:rsidR="00000000" w:rsidRDefault="002F725F">
            <w:pPr>
              <w:rPr>
                <w:rFonts w:eastAsia="Times New Roman"/>
                <w:sz w:val="20"/>
                <w:szCs w:val="20"/>
              </w:rPr>
            </w:pPr>
            <w:r>
              <w:rPr>
                <w:rFonts w:eastAsia="Times New Roman"/>
                <w:sz w:val="20"/>
                <w:szCs w:val="20"/>
              </w:rPr>
              <w:t> </w:t>
            </w:r>
          </w:p>
        </w:tc>
        <w:tc>
          <w:tcPr>
            <w:tcW w:w="0" w:type="auto"/>
            <w:hideMark/>
          </w:tcPr>
          <w:p w14:paraId="30CEAF57" w14:textId="77777777" w:rsidR="00000000" w:rsidRDefault="002F725F">
            <w:pPr>
              <w:jc w:val="both"/>
              <w:rPr>
                <w:rFonts w:eastAsia="Times New Roman"/>
                <w:sz w:val="20"/>
                <w:szCs w:val="20"/>
              </w:rPr>
            </w:pPr>
            <w:r>
              <w:rPr>
                <w:rFonts w:eastAsia="Times New Roman"/>
                <w:sz w:val="20"/>
                <w:szCs w:val="20"/>
              </w:rPr>
              <w:t> </w:t>
            </w:r>
          </w:p>
        </w:tc>
      </w:tr>
      <w:tr w:rsidR="00000000" w14:paraId="76B2CA18" w14:textId="77777777">
        <w:trPr>
          <w:divId w:val="415980837"/>
          <w:tblCellSpacing w:w="0" w:type="dxa"/>
        </w:trPr>
        <w:tc>
          <w:tcPr>
            <w:tcW w:w="0" w:type="auto"/>
            <w:hideMark/>
          </w:tcPr>
          <w:p w14:paraId="41CF31D5" w14:textId="77777777" w:rsidR="00000000" w:rsidRDefault="002F725F">
            <w:pPr>
              <w:rPr>
                <w:rFonts w:eastAsia="Times New Roman"/>
                <w:sz w:val="20"/>
                <w:szCs w:val="20"/>
              </w:rPr>
            </w:pPr>
            <w:r>
              <w:rPr>
                <w:rFonts w:eastAsia="Times New Roman"/>
                <w:sz w:val="20"/>
                <w:szCs w:val="20"/>
              </w:rPr>
              <w:t> </w:t>
            </w:r>
          </w:p>
        </w:tc>
        <w:tc>
          <w:tcPr>
            <w:tcW w:w="0" w:type="auto"/>
            <w:hideMark/>
          </w:tcPr>
          <w:p w14:paraId="44B79836" w14:textId="77777777" w:rsidR="00000000" w:rsidRDefault="002F725F">
            <w:pPr>
              <w:rPr>
                <w:rFonts w:eastAsia="Times New Roman"/>
                <w:sz w:val="20"/>
                <w:szCs w:val="20"/>
              </w:rPr>
            </w:pPr>
            <w:r>
              <w:rPr>
                <w:rFonts w:eastAsia="Times New Roman"/>
                <w:sz w:val="20"/>
                <w:szCs w:val="20"/>
              </w:rPr>
              <w:t>●</w:t>
            </w:r>
          </w:p>
        </w:tc>
        <w:tc>
          <w:tcPr>
            <w:tcW w:w="0" w:type="auto"/>
            <w:hideMark/>
          </w:tcPr>
          <w:p w14:paraId="525735AB" w14:textId="77777777" w:rsidR="00000000" w:rsidRDefault="002F725F">
            <w:pPr>
              <w:jc w:val="both"/>
              <w:rPr>
                <w:rFonts w:eastAsia="Times New Roman"/>
                <w:sz w:val="20"/>
                <w:szCs w:val="20"/>
              </w:rPr>
            </w:pPr>
            <w:r>
              <w:rPr>
                <w:rFonts w:eastAsia="Times New Roman"/>
                <w:sz w:val="20"/>
                <w:szCs w:val="20"/>
              </w:rPr>
              <w:t>overturning the Awards and obtaining a judgment in favor of the Company would require several rounds of court proceedings, the outcome of which is subjec</w:t>
            </w:r>
            <w:r>
              <w:rPr>
                <w:rFonts w:eastAsia="Times New Roman"/>
                <w:sz w:val="20"/>
                <w:szCs w:val="20"/>
              </w:rPr>
              <w:t>t to significant uncertainty;</w:t>
            </w:r>
          </w:p>
        </w:tc>
      </w:tr>
      <w:tr w:rsidR="00000000" w14:paraId="1621DC13" w14:textId="77777777">
        <w:trPr>
          <w:divId w:val="415980837"/>
          <w:tblCellSpacing w:w="0" w:type="dxa"/>
        </w:trPr>
        <w:tc>
          <w:tcPr>
            <w:tcW w:w="0" w:type="auto"/>
            <w:hideMark/>
          </w:tcPr>
          <w:p w14:paraId="43FFE6EA" w14:textId="77777777" w:rsidR="00000000" w:rsidRDefault="002F725F">
            <w:pPr>
              <w:rPr>
                <w:rFonts w:eastAsia="Times New Roman"/>
                <w:sz w:val="20"/>
                <w:szCs w:val="20"/>
              </w:rPr>
            </w:pPr>
            <w:r>
              <w:rPr>
                <w:rFonts w:eastAsia="Times New Roman"/>
                <w:sz w:val="20"/>
                <w:szCs w:val="20"/>
              </w:rPr>
              <w:t> </w:t>
            </w:r>
          </w:p>
        </w:tc>
        <w:tc>
          <w:tcPr>
            <w:tcW w:w="0" w:type="auto"/>
            <w:hideMark/>
          </w:tcPr>
          <w:p w14:paraId="4B4A83F0" w14:textId="77777777" w:rsidR="00000000" w:rsidRDefault="002F725F">
            <w:pPr>
              <w:rPr>
                <w:rFonts w:eastAsia="Times New Roman"/>
                <w:sz w:val="20"/>
                <w:szCs w:val="20"/>
              </w:rPr>
            </w:pPr>
            <w:r>
              <w:rPr>
                <w:rFonts w:eastAsia="Times New Roman"/>
                <w:sz w:val="20"/>
                <w:szCs w:val="20"/>
              </w:rPr>
              <w:t> </w:t>
            </w:r>
          </w:p>
        </w:tc>
        <w:tc>
          <w:tcPr>
            <w:tcW w:w="0" w:type="auto"/>
            <w:hideMark/>
          </w:tcPr>
          <w:p w14:paraId="04B45B5E" w14:textId="77777777" w:rsidR="00000000" w:rsidRDefault="002F725F">
            <w:pPr>
              <w:jc w:val="both"/>
              <w:rPr>
                <w:rFonts w:eastAsia="Times New Roman"/>
                <w:sz w:val="20"/>
                <w:szCs w:val="20"/>
              </w:rPr>
            </w:pPr>
            <w:r>
              <w:rPr>
                <w:rFonts w:eastAsia="Times New Roman"/>
                <w:sz w:val="20"/>
                <w:szCs w:val="20"/>
              </w:rPr>
              <w:t> </w:t>
            </w:r>
          </w:p>
        </w:tc>
      </w:tr>
      <w:tr w:rsidR="00000000" w14:paraId="65053C4B" w14:textId="77777777">
        <w:trPr>
          <w:divId w:val="415980837"/>
          <w:tblCellSpacing w:w="0" w:type="dxa"/>
        </w:trPr>
        <w:tc>
          <w:tcPr>
            <w:tcW w:w="0" w:type="auto"/>
            <w:hideMark/>
          </w:tcPr>
          <w:p w14:paraId="2C047DD9" w14:textId="77777777" w:rsidR="00000000" w:rsidRDefault="002F725F">
            <w:pPr>
              <w:rPr>
                <w:rFonts w:eastAsia="Times New Roman"/>
                <w:sz w:val="20"/>
                <w:szCs w:val="20"/>
              </w:rPr>
            </w:pPr>
            <w:r>
              <w:rPr>
                <w:rFonts w:eastAsia="Times New Roman"/>
                <w:sz w:val="20"/>
                <w:szCs w:val="20"/>
              </w:rPr>
              <w:t> </w:t>
            </w:r>
          </w:p>
        </w:tc>
        <w:tc>
          <w:tcPr>
            <w:tcW w:w="0" w:type="auto"/>
            <w:hideMark/>
          </w:tcPr>
          <w:p w14:paraId="435CC978" w14:textId="77777777" w:rsidR="00000000" w:rsidRDefault="002F725F">
            <w:pPr>
              <w:rPr>
                <w:rFonts w:eastAsia="Times New Roman"/>
                <w:sz w:val="20"/>
                <w:szCs w:val="20"/>
              </w:rPr>
            </w:pPr>
            <w:r>
              <w:rPr>
                <w:rFonts w:eastAsia="Times New Roman"/>
                <w:sz w:val="20"/>
                <w:szCs w:val="20"/>
              </w:rPr>
              <w:t>●</w:t>
            </w:r>
          </w:p>
        </w:tc>
        <w:tc>
          <w:tcPr>
            <w:tcW w:w="0" w:type="auto"/>
            <w:hideMark/>
          </w:tcPr>
          <w:p w14:paraId="59A9E00D" w14:textId="77777777" w:rsidR="00000000" w:rsidRDefault="002F725F">
            <w:pPr>
              <w:jc w:val="both"/>
              <w:rPr>
                <w:rFonts w:eastAsia="Times New Roman"/>
                <w:sz w:val="20"/>
                <w:szCs w:val="20"/>
              </w:rPr>
            </w:pPr>
            <w:r>
              <w:rPr>
                <w:rFonts w:eastAsia="Times New Roman"/>
                <w:sz w:val="20"/>
                <w:szCs w:val="20"/>
              </w:rPr>
              <w:t xml:space="preserve">even if the Company were ultimately to succeed in overturning the Awards and obtaining a favorable outcome, such </w:t>
            </w:r>
            <w:r>
              <w:rPr>
                <w:rFonts w:eastAsia="Times New Roman"/>
                <w:sz w:val="20"/>
                <w:szCs w:val="20"/>
              </w:rPr>
              <w:t xml:space="preserve">process would be expected to take a considerable amount of time to complete, during </w:t>
            </w:r>
            <w:r>
              <w:rPr>
                <w:rFonts w:eastAsia="Times New Roman"/>
                <w:sz w:val="20"/>
                <w:szCs w:val="20"/>
              </w:rPr>
              <w:lastRenderedPageBreak/>
              <w:t>which time the Company and its shareholders would remain exposed to the risks and uncertainties in connection therewith; and</w:t>
            </w:r>
          </w:p>
        </w:tc>
      </w:tr>
    </w:tbl>
    <w:p w14:paraId="14E706D4" w14:textId="77777777" w:rsidR="00000000" w:rsidRDefault="002F725F">
      <w:pPr>
        <w:pStyle w:val="NormalWeb"/>
        <w:spacing w:before="0" w:beforeAutospacing="0" w:after="0" w:afterAutospacing="0"/>
        <w:ind w:firstLine="720"/>
        <w:jc w:val="both"/>
        <w:divId w:val="415980837"/>
        <w:rPr>
          <w:sz w:val="20"/>
          <w:szCs w:val="20"/>
        </w:rPr>
      </w:pPr>
      <w:r>
        <w:rPr>
          <w:sz w:val="16"/>
          <w:szCs w:val="16"/>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DA89869" w14:textId="77777777">
        <w:trPr>
          <w:divId w:val="415980837"/>
          <w:tblCellSpacing w:w="0" w:type="dxa"/>
        </w:trPr>
        <w:tc>
          <w:tcPr>
            <w:tcW w:w="720" w:type="dxa"/>
            <w:hideMark/>
          </w:tcPr>
          <w:p w14:paraId="7DFDB6F9" w14:textId="77777777" w:rsidR="00000000" w:rsidRDefault="002F725F">
            <w:pPr>
              <w:rPr>
                <w:rFonts w:eastAsia="Times New Roman"/>
                <w:sz w:val="20"/>
                <w:szCs w:val="20"/>
              </w:rPr>
            </w:pPr>
            <w:r>
              <w:rPr>
                <w:rFonts w:eastAsia="Times New Roman"/>
                <w:sz w:val="20"/>
                <w:szCs w:val="20"/>
              </w:rPr>
              <w:t> </w:t>
            </w:r>
          </w:p>
        </w:tc>
        <w:tc>
          <w:tcPr>
            <w:tcW w:w="360" w:type="dxa"/>
            <w:hideMark/>
          </w:tcPr>
          <w:p w14:paraId="096164FF" w14:textId="77777777" w:rsidR="00000000" w:rsidRDefault="002F725F">
            <w:pPr>
              <w:rPr>
                <w:rFonts w:eastAsia="Times New Roman"/>
                <w:sz w:val="20"/>
                <w:szCs w:val="20"/>
              </w:rPr>
            </w:pPr>
            <w:r>
              <w:rPr>
                <w:rFonts w:eastAsia="Times New Roman"/>
                <w:sz w:val="20"/>
                <w:szCs w:val="20"/>
              </w:rPr>
              <w:t>●</w:t>
            </w:r>
          </w:p>
        </w:tc>
        <w:tc>
          <w:tcPr>
            <w:tcW w:w="0" w:type="auto"/>
            <w:hideMark/>
          </w:tcPr>
          <w:p w14:paraId="786C4BE5" w14:textId="77777777" w:rsidR="00000000" w:rsidRDefault="002F725F">
            <w:pPr>
              <w:jc w:val="both"/>
              <w:rPr>
                <w:rFonts w:eastAsia="Times New Roman"/>
                <w:sz w:val="20"/>
                <w:szCs w:val="20"/>
              </w:rPr>
            </w:pPr>
            <w:r>
              <w:rPr>
                <w:rFonts w:eastAsia="Times New Roman"/>
                <w:sz w:val="20"/>
                <w:szCs w:val="20"/>
              </w:rPr>
              <w:t>regardless of the final outcome of any c</w:t>
            </w:r>
            <w:r>
              <w:rPr>
                <w:rFonts w:eastAsia="Times New Roman"/>
                <w:sz w:val="20"/>
                <w:szCs w:val="20"/>
              </w:rPr>
              <w:t>hallenge to the Awards, the recognition that it is not in the best interests of the Company and its shareholders to continue to incur the significant costs and administrative burdens associated with maintaining the Company as an SEC-reporting public compan</w:t>
            </w:r>
            <w:r>
              <w:rPr>
                <w:rFonts w:eastAsia="Times New Roman"/>
                <w:sz w:val="20"/>
                <w:szCs w:val="20"/>
              </w:rPr>
              <w:t>y, including, in addition to the costs and burden of regulatory compliance, continuing to be subject to the requirement to disclose a considerable amount of business information to the public, some of which would otherwise be considered competitively sensi</w:t>
            </w:r>
            <w:r>
              <w:rPr>
                <w:rFonts w:eastAsia="Times New Roman"/>
                <w:sz w:val="20"/>
                <w:szCs w:val="20"/>
              </w:rPr>
              <w:t>tive and would not be disclosed by a non-reporting company and which potentially may help the Company’s actual or potential competitors, customers, lenders and vendors compete against the Company or make it more difficult for the Company to negotiate favor</w:t>
            </w:r>
            <w:r>
              <w:rPr>
                <w:rFonts w:eastAsia="Times New Roman"/>
                <w:sz w:val="20"/>
                <w:szCs w:val="20"/>
              </w:rPr>
              <w:t>able terms with them, as the case may be.</w:t>
            </w:r>
          </w:p>
        </w:tc>
      </w:tr>
    </w:tbl>
    <w:p w14:paraId="77EBD6A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D977F4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Buyer Filing Persons did not consider the Company’s net book value, which is an accounting concept based on historical costs, as a factor because the Buyer Filing Persons believed that net book value is not </w:t>
      </w:r>
      <w:r>
        <w:rPr>
          <w:sz w:val="20"/>
          <w:szCs w:val="20"/>
        </w:rPr>
        <w:t xml:space="preserve">a material indicator of the value of the Company as a going concern but rather is indicative of historical costs as it does not take into account the future prospects of the Company, market conditions, trends in the industry or the business risks inherent </w:t>
      </w:r>
      <w:r>
        <w:rPr>
          <w:sz w:val="20"/>
          <w:szCs w:val="20"/>
        </w:rPr>
        <w:t>in competing with larger companies in that industry, and therefore, in its view, is not a relevant measure in the determination as to the fairness of the Merger.</w:t>
      </w:r>
    </w:p>
    <w:p w14:paraId="27FB2EFF" w14:textId="77777777" w:rsidR="00000000" w:rsidRDefault="002F725F">
      <w:pPr>
        <w:pStyle w:val="NormalWeb"/>
        <w:spacing w:before="0" w:beforeAutospacing="0" w:after="0" w:afterAutospacing="0"/>
        <w:ind w:firstLine="720"/>
        <w:jc w:val="both"/>
        <w:divId w:val="415980837"/>
        <w:rPr>
          <w:sz w:val="20"/>
          <w:szCs w:val="20"/>
        </w:rPr>
      </w:pPr>
      <w:r>
        <w:rPr>
          <w:sz w:val="16"/>
          <w:szCs w:val="16"/>
        </w:rPr>
        <w:t> </w:t>
      </w:r>
    </w:p>
    <w:p w14:paraId="6A46C2C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In the consideration of the fairness of the Merger, the Buyer Filing Persons did not underta</w:t>
      </w:r>
      <w:r>
        <w:rPr>
          <w:sz w:val="20"/>
          <w:szCs w:val="20"/>
        </w:rPr>
        <w:t>ke an appraisal of the assets of the Company to determine the Company’s liquidation value for the Unaffiliated Security Holders due to the impracticability of determining a liquidation value because the Buyer Filing Persons considered the Company to be a v</w:t>
      </w:r>
      <w:r>
        <w:rPr>
          <w:sz w:val="20"/>
          <w:szCs w:val="20"/>
        </w:rPr>
        <w:t>iable going concern where value is derived from cash flows generated from its continuing operations, and because the Buyer Filing Persons intend that the Company will continue to operate its business following the Merger. Therefore, the Buyer Filing Person</w:t>
      </w:r>
      <w:r>
        <w:rPr>
          <w:sz w:val="20"/>
          <w:szCs w:val="20"/>
        </w:rPr>
        <w:t>s did not believe liquidation value to be relevant to a determination as to the fairness of the Merger.</w:t>
      </w:r>
    </w:p>
    <w:p w14:paraId="37AC2E54" w14:textId="77777777" w:rsidR="00000000" w:rsidRDefault="002F725F">
      <w:pPr>
        <w:pStyle w:val="NormalWeb"/>
        <w:spacing w:before="0" w:beforeAutospacing="0" w:after="0" w:afterAutospacing="0"/>
        <w:ind w:firstLine="720"/>
        <w:jc w:val="both"/>
        <w:divId w:val="415980837"/>
        <w:rPr>
          <w:sz w:val="20"/>
          <w:szCs w:val="20"/>
        </w:rPr>
      </w:pPr>
      <w:r>
        <w:rPr>
          <w:sz w:val="16"/>
          <w:szCs w:val="16"/>
        </w:rPr>
        <w:t> </w:t>
      </w:r>
    </w:p>
    <w:p w14:paraId="637A300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While the Buyer Filing Persons considered the Company’s current and anticipated business, financial condition, results and operations, prospects and o</w:t>
      </w:r>
      <w:r>
        <w:rPr>
          <w:sz w:val="20"/>
          <w:szCs w:val="20"/>
        </w:rPr>
        <w:t>ther forward-looking matters, the Buyer Filing Persons did not seek to establish a pre-Merger going concern value for the Shares to determine the fairness of the merger consideration to the Unaffiliated Security Holders because following the Merger, the Co</w:t>
      </w:r>
      <w:r>
        <w:rPr>
          <w:sz w:val="20"/>
          <w:szCs w:val="20"/>
        </w:rPr>
        <w:t xml:space="preserve">mpany will have a significantly different capital structure. Therefore, the Buyer Filing Persons do not believe that the going-concern value of the Company is an appropriate indicator to determine the fairness of merger consideration payable in the Merger </w:t>
      </w:r>
      <w:r>
        <w:rPr>
          <w:sz w:val="20"/>
          <w:szCs w:val="20"/>
        </w:rPr>
        <w:t>to the Unaffiliated Security Holders. However, to the extent the pre-Merger going concern value was reflected in the pre-announcement price of the Shares, the merger consideration represented a premium to the going concern value of the Company.</w:t>
      </w:r>
    </w:p>
    <w:p w14:paraId="6191120C" w14:textId="77777777" w:rsidR="00000000" w:rsidRDefault="002F725F">
      <w:pPr>
        <w:pStyle w:val="NormalWeb"/>
        <w:spacing w:before="0" w:beforeAutospacing="0" w:after="0" w:afterAutospacing="0"/>
        <w:ind w:firstLine="720"/>
        <w:jc w:val="both"/>
        <w:divId w:val="415980837"/>
        <w:rPr>
          <w:sz w:val="20"/>
          <w:szCs w:val="20"/>
        </w:rPr>
      </w:pPr>
      <w:r>
        <w:rPr>
          <w:sz w:val="16"/>
          <w:szCs w:val="16"/>
        </w:rPr>
        <w:t> </w:t>
      </w:r>
    </w:p>
    <w:p w14:paraId="156E353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Buyer</w:t>
      </w:r>
      <w:r>
        <w:rPr>
          <w:sz w:val="20"/>
          <w:szCs w:val="20"/>
        </w:rPr>
        <w:t xml:space="preserve"> Filing Persons are not aware of, and thus did not consider, any firm offers made by any unaffiliated person, other than the Buyer Group, during the past two years for (i) the merger or consolidation of the Company with or into another company, or vice ver</w:t>
      </w:r>
      <w:r>
        <w:rPr>
          <w:sz w:val="20"/>
          <w:szCs w:val="20"/>
        </w:rPr>
        <w:t>sa, (ii) the sale of all or a substantial part of the Company’s assets or (iii) the purchase of the Company’s voting securities that would enable the holder to exercise control over the Company.</w:t>
      </w:r>
    </w:p>
    <w:p w14:paraId="3FFC7D8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468C29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Buyer Filing Persons did </w:t>
      </w:r>
      <w:r>
        <w:rPr>
          <w:sz w:val="20"/>
          <w:szCs w:val="20"/>
        </w:rPr>
        <w:t>not perform or receive any independent reports, opinions or appraisals from any third party related to the Merger, and thus did not consider any such reports, opinions or appraisals in determining the substantive and procedural fairness of the Merger to th</w:t>
      </w:r>
      <w:r>
        <w:rPr>
          <w:sz w:val="20"/>
          <w:szCs w:val="20"/>
        </w:rPr>
        <w:t>e Unaffiliated Security Holders.</w:t>
      </w:r>
    </w:p>
    <w:p w14:paraId="51FE022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8A68B0F" w14:textId="77777777" w:rsidR="00000000" w:rsidRDefault="002F725F">
      <w:pPr>
        <w:pStyle w:val="NormalWeb"/>
        <w:spacing w:before="0" w:beforeAutospacing="0" w:after="0" w:afterAutospacing="0"/>
        <w:jc w:val="center"/>
        <w:divId w:val="1701583532"/>
        <w:rPr>
          <w:sz w:val="20"/>
          <w:szCs w:val="20"/>
        </w:rPr>
      </w:pPr>
      <w:r>
        <w:rPr>
          <w:sz w:val="20"/>
          <w:szCs w:val="20"/>
        </w:rPr>
        <w:t>3</w:t>
      </w:r>
      <w:r>
        <w:rPr>
          <w:sz w:val="20"/>
          <w:szCs w:val="20"/>
        </w:rPr>
        <w:t>7</w:t>
      </w:r>
    </w:p>
    <w:p w14:paraId="48318AF3" w14:textId="77777777" w:rsidR="00000000" w:rsidRDefault="002F725F">
      <w:pPr>
        <w:pStyle w:val="NormalWeb"/>
        <w:spacing w:before="0" w:beforeAutospacing="0" w:after="0" w:afterAutospacing="0"/>
        <w:divId w:val="1511794753"/>
        <w:rPr>
          <w:sz w:val="20"/>
          <w:szCs w:val="20"/>
        </w:rPr>
      </w:pPr>
      <w:r>
        <w:rPr>
          <w:sz w:val="20"/>
          <w:szCs w:val="20"/>
        </w:rPr>
        <w:t> </w:t>
      </w:r>
    </w:p>
    <w:p w14:paraId="2FAC7793"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0674207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Buyer Filing Persons believe that the transactions contemplated by the Merger Agreement, including the Merger, are procedurally fair to the Unaffiliated Security Holders based on the following factors, which ar</w:t>
      </w:r>
      <w:r>
        <w:rPr>
          <w:sz w:val="20"/>
          <w:szCs w:val="20"/>
        </w:rPr>
        <w:t>e not listed in any relative order of importance:</w:t>
      </w:r>
    </w:p>
    <w:p w14:paraId="300D40F4" w14:textId="77777777" w:rsidR="00000000" w:rsidRDefault="002F725F">
      <w:pPr>
        <w:pStyle w:val="NormalWeb"/>
        <w:spacing w:before="0" w:beforeAutospacing="0" w:after="0" w:afterAutospacing="0"/>
        <w:ind w:left="1440" w:hanging="360"/>
        <w:jc w:val="both"/>
        <w:divId w:val="415980837"/>
        <w:rPr>
          <w:sz w:val="20"/>
          <w:szCs w:val="20"/>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21A4529" w14:textId="77777777">
        <w:trPr>
          <w:divId w:val="415980837"/>
          <w:tblCellSpacing w:w="0" w:type="dxa"/>
        </w:trPr>
        <w:tc>
          <w:tcPr>
            <w:tcW w:w="720" w:type="dxa"/>
            <w:hideMark/>
          </w:tcPr>
          <w:p w14:paraId="0781A96F" w14:textId="77777777" w:rsidR="00000000" w:rsidRDefault="002F725F">
            <w:pPr>
              <w:rPr>
                <w:sz w:val="20"/>
                <w:szCs w:val="20"/>
              </w:rPr>
            </w:pPr>
          </w:p>
        </w:tc>
        <w:tc>
          <w:tcPr>
            <w:tcW w:w="360" w:type="dxa"/>
            <w:hideMark/>
          </w:tcPr>
          <w:p w14:paraId="144DC42B" w14:textId="77777777" w:rsidR="00000000" w:rsidRDefault="002F725F">
            <w:pPr>
              <w:rPr>
                <w:rFonts w:eastAsia="Times New Roman"/>
                <w:sz w:val="20"/>
                <w:szCs w:val="20"/>
              </w:rPr>
            </w:pPr>
            <w:r>
              <w:rPr>
                <w:rFonts w:eastAsia="Times New Roman"/>
                <w:sz w:val="20"/>
                <w:szCs w:val="20"/>
              </w:rPr>
              <w:t>●</w:t>
            </w:r>
          </w:p>
        </w:tc>
        <w:tc>
          <w:tcPr>
            <w:tcW w:w="0" w:type="auto"/>
            <w:hideMark/>
          </w:tcPr>
          <w:p w14:paraId="066B6BFC" w14:textId="77777777" w:rsidR="00000000" w:rsidRDefault="002F725F">
            <w:pPr>
              <w:jc w:val="both"/>
              <w:rPr>
                <w:rFonts w:eastAsia="Times New Roman"/>
                <w:sz w:val="20"/>
                <w:szCs w:val="20"/>
              </w:rPr>
            </w:pPr>
            <w:r>
              <w:rPr>
                <w:rFonts w:eastAsia="Times New Roman"/>
                <w:sz w:val="20"/>
                <w:szCs w:val="20"/>
              </w:rPr>
              <w:t>the consideration and negotiation of the Merger Agreement was conducted entirely under the control and supervision of the Special Committee, which consists of three independent directors, and that no l</w:t>
            </w:r>
            <w:r>
              <w:rPr>
                <w:rFonts w:eastAsia="Times New Roman"/>
                <w:sz w:val="20"/>
                <w:szCs w:val="20"/>
              </w:rPr>
              <w:t>imitations were placed on the Special Committee’s authority;</w:t>
            </w:r>
          </w:p>
        </w:tc>
      </w:tr>
    </w:tbl>
    <w:p w14:paraId="24DC32F4"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31D329C" w14:textId="77777777">
        <w:trPr>
          <w:divId w:val="415980837"/>
          <w:tblCellSpacing w:w="0" w:type="dxa"/>
        </w:trPr>
        <w:tc>
          <w:tcPr>
            <w:tcW w:w="720" w:type="dxa"/>
            <w:hideMark/>
          </w:tcPr>
          <w:p w14:paraId="2E9B7430" w14:textId="77777777" w:rsidR="00000000" w:rsidRDefault="002F725F">
            <w:pPr>
              <w:rPr>
                <w:sz w:val="20"/>
                <w:szCs w:val="20"/>
              </w:rPr>
            </w:pPr>
          </w:p>
        </w:tc>
        <w:tc>
          <w:tcPr>
            <w:tcW w:w="360" w:type="dxa"/>
            <w:hideMark/>
          </w:tcPr>
          <w:p w14:paraId="1CC51C19" w14:textId="77777777" w:rsidR="00000000" w:rsidRDefault="002F725F">
            <w:pPr>
              <w:rPr>
                <w:rFonts w:eastAsia="Times New Roman"/>
                <w:sz w:val="20"/>
                <w:szCs w:val="20"/>
              </w:rPr>
            </w:pPr>
            <w:r>
              <w:rPr>
                <w:rFonts w:eastAsia="Times New Roman"/>
                <w:sz w:val="20"/>
                <w:szCs w:val="20"/>
              </w:rPr>
              <w:t>●</w:t>
            </w:r>
          </w:p>
        </w:tc>
        <w:tc>
          <w:tcPr>
            <w:tcW w:w="0" w:type="auto"/>
            <w:hideMark/>
          </w:tcPr>
          <w:p w14:paraId="50D3A992" w14:textId="77777777" w:rsidR="00000000" w:rsidRDefault="002F725F">
            <w:pPr>
              <w:jc w:val="both"/>
              <w:rPr>
                <w:rFonts w:eastAsia="Times New Roman"/>
                <w:sz w:val="20"/>
                <w:szCs w:val="20"/>
              </w:rPr>
            </w:pPr>
            <w:r>
              <w:rPr>
                <w:rFonts w:eastAsia="Times New Roman"/>
                <w:sz w:val="20"/>
                <w:szCs w:val="20"/>
              </w:rPr>
              <w:t>in considering the Transaction with the Buyer Filing Persons, the Special Committee acted solely to represent the interests of the Unaffiliated Security Holders, and the Special Committee h</w:t>
            </w:r>
            <w:r>
              <w:rPr>
                <w:rFonts w:eastAsia="Times New Roman"/>
                <w:sz w:val="20"/>
                <w:szCs w:val="20"/>
              </w:rPr>
              <w:t>ad full control of the extensive negotiations with the Buyer Filing Persons and its advisors on behalf of the Unaffiliated Security Holders;</w:t>
            </w:r>
          </w:p>
        </w:tc>
      </w:tr>
    </w:tbl>
    <w:p w14:paraId="722B6C13"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0CD74CE" w14:textId="77777777">
        <w:trPr>
          <w:divId w:val="415980837"/>
          <w:tblCellSpacing w:w="0" w:type="dxa"/>
        </w:trPr>
        <w:tc>
          <w:tcPr>
            <w:tcW w:w="720" w:type="dxa"/>
            <w:hideMark/>
          </w:tcPr>
          <w:p w14:paraId="06DE1A34" w14:textId="77777777" w:rsidR="00000000" w:rsidRDefault="002F725F">
            <w:pPr>
              <w:rPr>
                <w:sz w:val="20"/>
                <w:szCs w:val="20"/>
              </w:rPr>
            </w:pPr>
          </w:p>
        </w:tc>
        <w:tc>
          <w:tcPr>
            <w:tcW w:w="360" w:type="dxa"/>
            <w:hideMark/>
          </w:tcPr>
          <w:p w14:paraId="119FF5C4" w14:textId="77777777" w:rsidR="00000000" w:rsidRDefault="002F725F">
            <w:pPr>
              <w:rPr>
                <w:rFonts w:eastAsia="Times New Roman"/>
                <w:sz w:val="20"/>
                <w:szCs w:val="20"/>
              </w:rPr>
            </w:pPr>
            <w:r>
              <w:rPr>
                <w:rFonts w:eastAsia="Times New Roman"/>
                <w:sz w:val="20"/>
                <w:szCs w:val="20"/>
              </w:rPr>
              <w:t>●</w:t>
            </w:r>
          </w:p>
        </w:tc>
        <w:tc>
          <w:tcPr>
            <w:tcW w:w="0" w:type="auto"/>
            <w:hideMark/>
          </w:tcPr>
          <w:p w14:paraId="40A40E82" w14:textId="77777777" w:rsidR="00000000" w:rsidRDefault="002F725F">
            <w:pPr>
              <w:jc w:val="both"/>
              <w:rPr>
                <w:rFonts w:eastAsia="Times New Roman"/>
                <w:sz w:val="20"/>
                <w:szCs w:val="20"/>
              </w:rPr>
            </w:pPr>
            <w:r>
              <w:rPr>
                <w:rFonts w:eastAsia="Times New Roman"/>
                <w:sz w:val="20"/>
                <w:szCs w:val="20"/>
              </w:rPr>
              <w:t>all members of the Special Committee during the entire process were and are independent directors and free from any affiliation with any Buyer Filing Person; in addition, none of the members of the Special Committee is or ever was an employee of the Compan</w:t>
            </w:r>
            <w:r>
              <w:rPr>
                <w:rFonts w:eastAsia="Times New Roman"/>
                <w:sz w:val="20"/>
                <w:szCs w:val="20"/>
              </w:rPr>
              <w:t>y or any of its subsidiaries or affiliates and none of such members has any financial interest in the Merger that is different from that of the Unaffiliated Security Holders other than (a) the members’ receipt of Board compensation in the ordinary course a</w:t>
            </w:r>
            <w:r>
              <w:rPr>
                <w:rFonts w:eastAsia="Times New Roman"/>
                <w:sz w:val="20"/>
                <w:szCs w:val="20"/>
              </w:rPr>
              <w:t>nd the Special Committee compensation (which is not contingent on the completion of the Merger or the Special Committee’s or the Board’s recommendation and/or authorization and approval of the Merger) and (b) their indemnification and liability insurance r</w:t>
            </w:r>
            <w:r>
              <w:rPr>
                <w:rFonts w:eastAsia="Times New Roman"/>
                <w:sz w:val="20"/>
                <w:szCs w:val="20"/>
              </w:rPr>
              <w:t>ights under their respective indemnification agreement entered into with the Company and the Merger Agreement;</w:t>
            </w:r>
          </w:p>
        </w:tc>
      </w:tr>
    </w:tbl>
    <w:p w14:paraId="1506EC0A"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0A48996" w14:textId="77777777">
        <w:trPr>
          <w:divId w:val="415980837"/>
          <w:tblCellSpacing w:w="0" w:type="dxa"/>
        </w:trPr>
        <w:tc>
          <w:tcPr>
            <w:tcW w:w="720" w:type="dxa"/>
            <w:hideMark/>
          </w:tcPr>
          <w:p w14:paraId="4599F002" w14:textId="77777777" w:rsidR="00000000" w:rsidRDefault="002F725F">
            <w:pPr>
              <w:rPr>
                <w:sz w:val="20"/>
                <w:szCs w:val="20"/>
              </w:rPr>
            </w:pPr>
          </w:p>
        </w:tc>
        <w:tc>
          <w:tcPr>
            <w:tcW w:w="360" w:type="dxa"/>
            <w:hideMark/>
          </w:tcPr>
          <w:p w14:paraId="3D99554B" w14:textId="77777777" w:rsidR="00000000" w:rsidRDefault="002F725F">
            <w:pPr>
              <w:rPr>
                <w:rFonts w:eastAsia="Times New Roman"/>
                <w:sz w:val="20"/>
                <w:szCs w:val="20"/>
              </w:rPr>
            </w:pPr>
            <w:r>
              <w:rPr>
                <w:rFonts w:eastAsia="Times New Roman"/>
                <w:sz w:val="20"/>
                <w:szCs w:val="20"/>
              </w:rPr>
              <w:t>●</w:t>
            </w:r>
          </w:p>
        </w:tc>
        <w:tc>
          <w:tcPr>
            <w:tcW w:w="0" w:type="auto"/>
            <w:hideMark/>
          </w:tcPr>
          <w:p w14:paraId="3E69EC8C" w14:textId="77777777" w:rsidR="00000000" w:rsidRDefault="002F725F">
            <w:pPr>
              <w:jc w:val="both"/>
              <w:rPr>
                <w:rFonts w:eastAsia="Times New Roman"/>
                <w:sz w:val="20"/>
                <w:szCs w:val="20"/>
              </w:rPr>
            </w:pPr>
            <w:r>
              <w:rPr>
                <w:rFonts w:eastAsia="Times New Roman"/>
                <w:sz w:val="20"/>
                <w:szCs w:val="20"/>
              </w:rPr>
              <w:t>the Special Committee retained and was advised by its independent legal and financial advisors who are experienced in advising committees s</w:t>
            </w:r>
            <w:r>
              <w:rPr>
                <w:rFonts w:eastAsia="Times New Roman"/>
                <w:sz w:val="20"/>
                <w:szCs w:val="20"/>
              </w:rPr>
              <w:t>uch as the Special Committee in similar transactions;</w:t>
            </w:r>
          </w:p>
        </w:tc>
      </w:tr>
    </w:tbl>
    <w:p w14:paraId="433EE0FC"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6C5D3E2" w14:textId="77777777">
        <w:trPr>
          <w:divId w:val="415980837"/>
          <w:tblCellSpacing w:w="0" w:type="dxa"/>
        </w:trPr>
        <w:tc>
          <w:tcPr>
            <w:tcW w:w="720" w:type="dxa"/>
            <w:hideMark/>
          </w:tcPr>
          <w:p w14:paraId="5E4A04CE" w14:textId="77777777" w:rsidR="00000000" w:rsidRDefault="002F725F">
            <w:pPr>
              <w:rPr>
                <w:sz w:val="20"/>
                <w:szCs w:val="20"/>
              </w:rPr>
            </w:pPr>
          </w:p>
        </w:tc>
        <w:tc>
          <w:tcPr>
            <w:tcW w:w="360" w:type="dxa"/>
            <w:hideMark/>
          </w:tcPr>
          <w:p w14:paraId="58A72F4C" w14:textId="77777777" w:rsidR="00000000" w:rsidRDefault="002F725F">
            <w:pPr>
              <w:rPr>
                <w:rFonts w:eastAsia="Times New Roman"/>
                <w:sz w:val="20"/>
                <w:szCs w:val="20"/>
              </w:rPr>
            </w:pPr>
            <w:r>
              <w:rPr>
                <w:rFonts w:eastAsia="Times New Roman"/>
                <w:sz w:val="20"/>
                <w:szCs w:val="20"/>
              </w:rPr>
              <w:t>●</w:t>
            </w:r>
          </w:p>
        </w:tc>
        <w:tc>
          <w:tcPr>
            <w:tcW w:w="0" w:type="auto"/>
            <w:hideMark/>
          </w:tcPr>
          <w:p w14:paraId="20CE55FF" w14:textId="77777777" w:rsidR="00000000" w:rsidRDefault="002F725F">
            <w:pPr>
              <w:jc w:val="both"/>
              <w:rPr>
                <w:rFonts w:eastAsia="Times New Roman"/>
                <w:sz w:val="20"/>
                <w:szCs w:val="20"/>
              </w:rPr>
            </w:pPr>
            <w:r>
              <w:rPr>
                <w:rFonts w:eastAsia="Times New Roman"/>
                <w:sz w:val="20"/>
                <w:szCs w:val="20"/>
              </w:rPr>
              <w:t>the Special Committee was empowered to, among other things, review, evaluate and negotiate the terms of the Merger and to recommend to the Board what action should be taken by the Company, includi</w:t>
            </w:r>
            <w:r>
              <w:rPr>
                <w:rFonts w:eastAsia="Times New Roman"/>
                <w:sz w:val="20"/>
                <w:szCs w:val="20"/>
              </w:rPr>
              <w:t>ng not to engage in the Transactions;</w:t>
            </w:r>
          </w:p>
        </w:tc>
      </w:tr>
    </w:tbl>
    <w:p w14:paraId="0E5E3A14"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514DEE9" w14:textId="77777777">
        <w:trPr>
          <w:divId w:val="415980837"/>
          <w:tblCellSpacing w:w="0" w:type="dxa"/>
        </w:trPr>
        <w:tc>
          <w:tcPr>
            <w:tcW w:w="720" w:type="dxa"/>
            <w:hideMark/>
          </w:tcPr>
          <w:p w14:paraId="4FE6D4DA" w14:textId="77777777" w:rsidR="00000000" w:rsidRDefault="002F725F">
            <w:pPr>
              <w:rPr>
                <w:sz w:val="20"/>
                <w:szCs w:val="20"/>
              </w:rPr>
            </w:pPr>
          </w:p>
        </w:tc>
        <w:tc>
          <w:tcPr>
            <w:tcW w:w="360" w:type="dxa"/>
            <w:hideMark/>
          </w:tcPr>
          <w:p w14:paraId="658082E3" w14:textId="77777777" w:rsidR="00000000" w:rsidRDefault="002F725F">
            <w:pPr>
              <w:rPr>
                <w:rFonts w:eastAsia="Times New Roman"/>
                <w:sz w:val="20"/>
                <w:szCs w:val="20"/>
              </w:rPr>
            </w:pPr>
            <w:r>
              <w:rPr>
                <w:rFonts w:eastAsia="Times New Roman"/>
                <w:sz w:val="20"/>
                <w:szCs w:val="20"/>
              </w:rPr>
              <w:t>●</w:t>
            </w:r>
          </w:p>
        </w:tc>
        <w:tc>
          <w:tcPr>
            <w:tcW w:w="0" w:type="auto"/>
            <w:hideMark/>
          </w:tcPr>
          <w:p w14:paraId="0E2A3A8D" w14:textId="77777777" w:rsidR="00000000" w:rsidRDefault="002F725F">
            <w:pPr>
              <w:jc w:val="both"/>
              <w:rPr>
                <w:rFonts w:eastAsia="Times New Roman"/>
                <w:sz w:val="20"/>
                <w:szCs w:val="20"/>
              </w:rPr>
            </w:pPr>
            <w:r>
              <w:rPr>
                <w:rFonts w:eastAsia="Times New Roman"/>
                <w:sz w:val="20"/>
                <w:szCs w:val="20"/>
              </w:rPr>
              <w:t>the terms and conditions of the Merger Agreement were the product of extensive negotiations between the Special Committee and its advisors, on the one hand, and the Buyer Group and its advisor, on the other hand;</w:t>
            </w:r>
          </w:p>
        </w:tc>
      </w:tr>
    </w:tbl>
    <w:p w14:paraId="0CB84027"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23FCE86" w14:textId="77777777">
        <w:trPr>
          <w:divId w:val="415980837"/>
          <w:tblCellSpacing w:w="0" w:type="dxa"/>
        </w:trPr>
        <w:tc>
          <w:tcPr>
            <w:tcW w:w="720" w:type="dxa"/>
            <w:hideMark/>
          </w:tcPr>
          <w:p w14:paraId="1381D1CA" w14:textId="77777777" w:rsidR="00000000" w:rsidRDefault="002F725F">
            <w:pPr>
              <w:rPr>
                <w:sz w:val="20"/>
                <w:szCs w:val="20"/>
              </w:rPr>
            </w:pPr>
          </w:p>
        </w:tc>
        <w:tc>
          <w:tcPr>
            <w:tcW w:w="360" w:type="dxa"/>
            <w:hideMark/>
          </w:tcPr>
          <w:p w14:paraId="765A0001" w14:textId="77777777" w:rsidR="00000000" w:rsidRDefault="002F725F">
            <w:pPr>
              <w:rPr>
                <w:rFonts w:eastAsia="Times New Roman"/>
                <w:sz w:val="20"/>
                <w:szCs w:val="20"/>
              </w:rPr>
            </w:pPr>
            <w:r>
              <w:rPr>
                <w:rFonts w:eastAsia="Times New Roman"/>
                <w:sz w:val="20"/>
                <w:szCs w:val="20"/>
              </w:rPr>
              <w:t>●</w:t>
            </w:r>
          </w:p>
        </w:tc>
        <w:tc>
          <w:tcPr>
            <w:tcW w:w="0" w:type="auto"/>
            <w:hideMark/>
          </w:tcPr>
          <w:p w14:paraId="75BF2D75" w14:textId="77777777" w:rsidR="00000000" w:rsidRDefault="002F725F">
            <w:pPr>
              <w:jc w:val="both"/>
              <w:rPr>
                <w:rFonts w:eastAsia="Times New Roman"/>
                <w:sz w:val="20"/>
                <w:szCs w:val="20"/>
              </w:rPr>
            </w:pPr>
            <w:r>
              <w:rPr>
                <w:rFonts w:eastAsia="Times New Roman"/>
                <w:sz w:val="20"/>
                <w:szCs w:val="20"/>
              </w:rPr>
              <w:t>the Special Committee held regular meetings to consider and review the terms of the Merger Agreement and the Transactions and was fully briefed throughout the process;</w:t>
            </w:r>
          </w:p>
        </w:tc>
      </w:tr>
    </w:tbl>
    <w:p w14:paraId="24E2CF9C"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AA4C4E5" w14:textId="77777777">
        <w:trPr>
          <w:divId w:val="415980837"/>
          <w:tblCellSpacing w:w="0" w:type="dxa"/>
        </w:trPr>
        <w:tc>
          <w:tcPr>
            <w:tcW w:w="720" w:type="dxa"/>
            <w:hideMark/>
          </w:tcPr>
          <w:p w14:paraId="2C4360D9" w14:textId="77777777" w:rsidR="00000000" w:rsidRDefault="002F725F">
            <w:pPr>
              <w:rPr>
                <w:sz w:val="20"/>
                <w:szCs w:val="20"/>
              </w:rPr>
            </w:pPr>
          </w:p>
        </w:tc>
        <w:tc>
          <w:tcPr>
            <w:tcW w:w="360" w:type="dxa"/>
            <w:hideMark/>
          </w:tcPr>
          <w:p w14:paraId="2FE7421E" w14:textId="77777777" w:rsidR="00000000" w:rsidRDefault="002F725F">
            <w:pPr>
              <w:rPr>
                <w:rFonts w:eastAsia="Times New Roman"/>
                <w:sz w:val="20"/>
                <w:szCs w:val="20"/>
              </w:rPr>
            </w:pPr>
            <w:r>
              <w:rPr>
                <w:rFonts w:eastAsia="Times New Roman"/>
                <w:sz w:val="20"/>
                <w:szCs w:val="20"/>
              </w:rPr>
              <w:t>●</w:t>
            </w:r>
          </w:p>
        </w:tc>
        <w:tc>
          <w:tcPr>
            <w:tcW w:w="0" w:type="auto"/>
            <w:hideMark/>
          </w:tcPr>
          <w:p w14:paraId="55E05835" w14:textId="77777777" w:rsidR="00000000" w:rsidRDefault="002F725F">
            <w:pPr>
              <w:jc w:val="both"/>
              <w:rPr>
                <w:rFonts w:eastAsia="Times New Roman"/>
                <w:sz w:val="20"/>
                <w:szCs w:val="20"/>
              </w:rPr>
            </w:pPr>
            <w:r>
              <w:rPr>
                <w:rFonts w:eastAsia="Times New Roman"/>
                <w:sz w:val="20"/>
                <w:szCs w:val="20"/>
              </w:rPr>
              <w:t>the recognition by the Special Committee and the Board that they had no obligation to recommend the approval and authorization of the Merger Agreement and the transactions contemplated thereby, including the Merger, or any other transaction and under the d</w:t>
            </w:r>
            <w:r>
              <w:rPr>
                <w:rFonts w:eastAsia="Times New Roman"/>
                <w:sz w:val="20"/>
                <w:szCs w:val="20"/>
              </w:rPr>
              <w:t>elegation of authority by the Board to the Special Committee, the Merger Agreement and the transactions contemplated thereby require approval from the Special Committee;</w:t>
            </w:r>
          </w:p>
        </w:tc>
      </w:tr>
    </w:tbl>
    <w:p w14:paraId="3E223E4A"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31077FB" w14:textId="77777777">
        <w:trPr>
          <w:divId w:val="415980837"/>
          <w:tblCellSpacing w:w="0" w:type="dxa"/>
        </w:trPr>
        <w:tc>
          <w:tcPr>
            <w:tcW w:w="720" w:type="dxa"/>
            <w:hideMark/>
          </w:tcPr>
          <w:p w14:paraId="42BC6018" w14:textId="77777777" w:rsidR="00000000" w:rsidRDefault="002F725F">
            <w:pPr>
              <w:rPr>
                <w:sz w:val="20"/>
                <w:szCs w:val="20"/>
              </w:rPr>
            </w:pPr>
          </w:p>
        </w:tc>
        <w:tc>
          <w:tcPr>
            <w:tcW w:w="360" w:type="dxa"/>
            <w:hideMark/>
          </w:tcPr>
          <w:p w14:paraId="4FBF4FEF" w14:textId="77777777" w:rsidR="00000000" w:rsidRDefault="002F725F">
            <w:pPr>
              <w:rPr>
                <w:rFonts w:eastAsia="Times New Roman"/>
                <w:sz w:val="20"/>
                <w:szCs w:val="20"/>
              </w:rPr>
            </w:pPr>
            <w:r>
              <w:rPr>
                <w:rFonts w:eastAsia="Times New Roman"/>
                <w:sz w:val="20"/>
                <w:szCs w:val="20"/>
              </w:rPr>
              <w:t>●</w:t>
            </w:r>
          </w:p>
        </w:tc>
        <w:tc>
          <w:tcPr>
            <w:tcW w:w="0" w:type="auto"/>
            <w:hideMark/>
          </w:tcPr>
          <w:p w14:paraId="796A6E25" w14:textId="77777777" w:rsidR="00000000" w:rsidRDefault="002F725F">
            <w:pPr>
              <w:jc w:val="both"/>
              <w:rPr>
                <w:rFonts w:eastAsia="Times New Roman"/>
                <w:sz w:val="20"/>
                <w:szCs w:val="20"/>
              </w:rPr>
            </w:pPr>
            <w:r>
              <w:rPr>
                <w:rFonts w:eastAsia="Times New Roman"/>
                <w:sz w:val="20"/>
                <w:szCs w:val="20"/>
              </w:rPr>
              <w:t>the fact that the Company is able to, subject to compliance with the terms and c</w:t>
            </w:r>
            <w:r>
              <w:rPr>
                <w:rFonts w:eastAsia="Times New Roman"/>
                <w:sz w:val="20"/>
                <w:szCs w:val="20"/>
              </w:rPr>
              <w:t>onditions of the Merger Agreement, terminate the Merger Agreement prior to the receipt of the approval of the Company’s shareholders of the Merger Agreement and the Transactions at the extraordinary general meeting convened for such purpose in order to ent</w:t>
            </w:r>
            <w:r>
              <w:rPr>
                <w:rFonts w:eastAsia="Times New Roman"/>
                <w:sz w:val="20"/>
                <w:szCs w:val="20"/>
              </w:rPr>
              <w:t>er into an alternative agreement with respect to an acquisition proposal that is a Superior Proposal;</w:t>
            </w:r>
          </w:p>
        </w:tc>
      </w:tr>
    </w:tbl>
    <w:p w14:paraId="29D79973"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62A1B00" w14:textId="77777777">
        <w:trPr>
          <w:divId w:val="415980837"/>
          <w:tblCellSpacing w:w="0" w:type="dxa"/>
        </w:trPr>
        <w:tc>
          <w:tcPr>
            <w:tcW w:w="720" w:type="dxa"/>
            <w:hideMark/>
          </w:tcPr>
          <w:p w14:paraId="4F268C46" w14:textId="77777777" w:rsidR="00000000" w:rsidRDefault="002F725F">
            <w:pPr>
              <w:rPr>
                <w:sz w:val="20"/>
                <w:szCs w:val="20"/>
              </w:rPr>
            </w:pPr>
          </w:p>
        </w:tc>
        <w:tc>
          <w:tcPr>
            <w:tcW w:w="360" w:type="dxa"/>
            <w:hideMark/>
          </w:tcPr>
          <w:p w14:paraId="14E02C74" w14:textId="77777777" w:rsidR="00000000" w:rsidRDefault="002F725F">
            <w:pPr>
              <w:rPr>
                <w:rFonts w:eastAsia="Times New Roman"/>
                <w:sz w:val="20"/>
                <w:szCs w:val="20"/>
              </w:rPr>
            </w:pPr>
            <w:r>
              <w:rPr>
                <w:rFonts w:eastAsia="Times New Roman"/>
                <w:sz w:val="20"/>
                <w:szCs w:val="20"/>
              </w:rPr>
              <w:t>●</w:t>
            </w:r>
          </w:p>
        </w:tc>
        <w:tc>
          <w:tcPr>
            <w:tcW w:w="0" w:type="auto"/>
            <w:hideMark/>
          </w:tcPr>
          <w:p w14:paraId="77161B81" w14:textId="77777777" w:rsidR="00000000" w:rsidRDefault="002F725F">
            <w:pPr>
              <w:jc w:val="both"/>
              <w:rPr>
                <w:rFonts w:eastAsia="Times New Roman"/>
                <w:sz w:val="20"/>
                <w:szCs w:val="20"/>
              </w:rPr>
            </w:pPr>
            <w:r>
              <w:rPr>
                <w:rFonts w:eastAsia="Times New Roman"/>
                <w:sz w:val="20"/>
                <w:szCs w:val="20"/>
              </w:rPr>
              <w:t>the ability of the Special Committee to change, withhold, withdraw, qualify or modify its recommendation that the shareholders vote to approve the M</w:t>
            </w:r>
            <w:r>
              <w:rPr>
                <w:rFonts w:eastAsia="Times New Roman"/>
                <w:sz w:val="20"/>
                <w:szCs w:val="20"/>
              </w:rPr>
              <w:t>erger Agreement in the event of a Superior Proposal;</w:t>
            </w:r>
          </w:p>
        </w:tc>
      </w:tr>
    </w:tbl>
    <w:p w14:paraId="385AA1A6"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E55E3CD" w14:textId="77777777">
        <w:trPr>
          <w:divId w:val="415980837"/>
          <w:tblCellSpacing w:w="0" w:type="dxa"/>
        </w:trPr>
        <w:tc>
          <w:tcPr>
            <w:tcW w:w="720" w:type="dxa"/>
            <w:hideMark/>
          </w:tcPr>
          <w:p w14:paraId="07F81E32" w14:textId="77777777" w:rsidR="00000000" w:rsidRDefault="002F725F">
            <w:pPr>
              <w:rPr>
                <w:sz w:val="20"/>
                <w:szCs w:val="20"/>
              </w:rPr>
            </w:pPr>
          </w:p>
        </w:tc>
        <w:tc>
          <w:tcPr>
            <w:tcW w:w="360" w:type="dxa"/>
            <w:hideMark/>
          </w:tcPr>
          <w:p w14:paraId="54AB232E" w14:textId="77777777" w:rsidR="00000000" w:rsidRDefault="002F725F">
            <w:pPr>
              <w:rPr>
                <w:rFonts w:eastAsia="Times New Roman"/>
                <w:sz w:val="20"/>
                <w:szCs w:val="20"/>
              </w:rPr>
            </w:pPr>
            <w:r>
              <w:rPr>
                <w:rFonts w:eastAsia="Times New Roman"/>
                <w:sz w:val="20"/>
                <w:szCs w:val="20"/>
              </w:rPr>
              <w:t>●</w:t>
            </w:r>
          </w:p>
        </w:tc>
        <w:tc>
          <w:tcPr>
            <w:tcW w:w="0" w:type="auto"/>
            <w:hideMark/>
          </w:tcPr>
          <w:p w14:paraId="44716C55" w14:textId="77777777" w:rsidR="00000000" w:rsidRDefault="002F725F">
            <w:pPr>
              <w:jc w:val="both"/>
              <w:rPr>
                <w:rFonts w:eastAsia="Times New Roman"/>
                <w:sz w:val="20"/>
                <w:szCs w:val="20"/>
              </w:rPr>
            </w:pPr>
            <w:r>
              <w:rPr>
                <w:rFonts w:eastAsia="Times New Roman"/>
                <w:sz w:val="20"/>
                <w:szCs w:val="20"/>
              </w:rPr>
              <w:t>the ability of the Special Committee to evaluate bona fide unsolicited alternative acquisition proposals that may arise between the date of the Merger Agreement and the date of the approval of the Merger by the Company’s shareholders, to furnish confidenti</w:t>
            </w:r>
            <w:r>
              <w:rPr>
                <w:rFonts w:eastAsia="Times New Roman"/>
                <w:sz w:val="20"/>
                <w:szCs w:val="20"/>
              </w:rPr>
              <w:t>al information to and conduct negotiations with such third parties and, in certain circumstances, to terminate the Merger Agreement, subject to the payment to Parent or its designees of a termination fee, and accept a Superior Proposal, consistent with the</w:t>
            </w:r>
            <w:r>
              <w:rPr>
                <w:rFonts w:eastAsia="Times New Roman"/>
                <w:sz w:val="20"/>
                <w:szCs w:val="20"/>
              </w:rPr>
              <w:t xml:space="preserve"> Special Committee’s fiduciary obligations; and</w:t>
            </w:r>
          </w:p>
        </w:tc>
      </w:tr>
    </w:tbl>
    <w:p w14:paraId="50111107"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5B2C004" w14:textId="77777777">
        <w:trPr>
          <w:divId w:val="415980837"/>
          <w:tblCellSpacing w:w="0" w:type="dxa"/>
        </w:trPr>
        <w:tc>
          <w:tcPr>
            <w:tcW w:w="720" w:type="dxa"/>
            <w:hideMark/>
          </w:tcPr>
          <w:p w14:paraId="39C7266A" w14:textId="77777777" w:rsidR="00000000" w:rsidRDefault="002F725F">
            <w:pPr>
              <w:rPr>
                <w:sz w:val="20"/>
                <w:szCs w:val="20"/>
              </w:rPr>
            </w:pPr>
          </w:p>
        </w:tc>
        <w:tc>
          <w:tcPr>
            <w:tcW w:w="360" w:type="dxa"/>
            <w:hideMark/>
          </w:tcPr>
          <w:p w14:paraId="2819876D" w14:textId="77777777" w:rsidR="00000000" w:rsidRDefault="002F725F">
            <w:pPr>
              <w:rPr>
                <w:rFonts w:eastAsia="Times New Roman"/>
                <w:sz w:val="20"/>
                <w:szCs w:val="20"/>
              </w:rPr>
            </w:pPr>
            <w:r>
              <w:rPr>
                <w:rFonts w:eastAsia="Times New Roman"/>
                <w:sz w:val="20"/>
                <w:szCs w:val="20"/>
              </w:rPr>
              <w:t>●</w:t>
            </w:r>
          </w:p>
        </w:tc>
        <w:tc>
          <w:tcPr>
            <w:tcW w:w="0" w:type="auto"/>
            <w:hideMark/>
          </w:tcPr>
          <w:p w14:paraId="766D2F0B" w14:textId="77777777" w:rsidR="00000000" w:rsidRDefault="002F725F">
            <w:pPr>
              <w:jc w:val="both"/>
              <w:rPr>
                <w:rFonts w:eastAsia="Times New Roman"/>
                <w:sz w:val="20"/>
                <w:szCs w:val="20"/>
              </w:rPr>
            </w:pPr>
            <w:r>
              <w:rPr>
                <w:rFonts w:eastAsia="Times New Roman"/>
                <w:sz w:val="20"/>
                <w:szCs w:val="20"/>
              </w:rPr>
              <w:t>the availability of dissenters’ rights to the Unaffiliated Security Holders who comply with all of the required procedures under the Cayman Islands Companies Act for exercising dissenters’ rights, which</w:t>
            </w:r>
            <w:r>
              <w:rPr>
                <w:rFonts w:eastAsia="Times New Roman"/>
                <w:sz w:val="20"/>
                <w:szCs w:val="20"/>
              </w:rPr>
              <w:t xml:space="preserve"> allow such shareholders to receive payment of the fair value of their Shares as determined by the Grand Court of the Cayman Islands.</w:t>
            </w:r>
          </w:p>
        </w:tc>
      </w:tr>
    </w:tbl>
    <w:p w14:paraId="457D3F9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0FD00B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Buyer Filing Persons noted that the consummation of the Merger is not subject to approval by a majority of the Unaf</w:t>
      </w:r>
      <w:r>
        <w:rPr>
          <w:sz w:val="20"/>
          <w:szCs w:val="20"/>
        </w:rPr>
        <w:t>filiated Security Holders as Cayman Islands Companies Act does not require such approval. The Buyer Filing Persons believe these factors are nonetheless counterbalanced by the other procedural safeguards described above; as a whole, the Merger is fair to t</w:t>
      </w:r>
      <w:r>
        <w:rPr>
          <w:sz w:val="20"/>
          <w:szCs w:val="20"/>
        </w:rPr>
        <w:t>he Unaffiliated Security Holders.</w:t>
      </w:r>
    </w:p>
    <w:p w14:paraId="351107D5"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9663564" w14:textId="77777777" w:rsidR="00000000" w:rsidRDefault="002F725F">
      <w:pPr>
        <w:pStyle w:val="NormalWeb"/>
        <w:spacing w:before="0" w:beforeAutospacing="0" w:after="0" w:afterAutospacing="0"/>
        <w:jc w:val="center"/>
        <w:divId w:val="599145527"/>
        <w:rPr>
          <w:sz w:val="20"/>
          <w:szCs w:val="20"/>
        </w:rPr>
      </w:pPr>
      <w:r>
        <w:rPr>
          <w:sz w:val="20"/>
          <w:szCs w:val="20"/>
        </w:rPr>
        <w:t>3</w:t>
      </w:r>
      <w:r>
        <w:rPr>
          <w:sz w:val="20"/>
          <w:szCs w:val="20"/>
        </w:rPr>
        <w:t>8</w:t>
      </w:r>
    </w:p>
    <w:p w14:paraId="111B3451" w14:textId="77777777" w:rsidR="00000000" w:rsidRDefault="002F725F">
      <w:pPr>
        <w:pStyle w:val="NormalWeb"/>
        <w:spacing w:before="0" w:beforeAutospacing="0" w:after="0" w:afterAutospacing="0"/>
        <w:divId w:val="501968028"/>
        <w:rPr>
          <w:sz w:val="20"/>
          <w:szCs w:val="20"/>
        </w:rPr>
      </w:pPr>
      <w:r>
        <w:rPr>
          <w:sz w:val="20"/>
          <w:szCs w:val="20"/>
        </w:rPr>
        <w:t> </w:t>
      </w:r>
    </w:p>
    <w:p w14:paraId="5BB2CBFC"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548641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foregoing discussion of the information and factors considered and given weight by the Buyer Filing Persons in connection with its evaluation of the substantive and procedural fairness of the Merger to the Una</w:t>
      </w:r>
      <w:r>
        <w:rPr>
          <w:sz w:val="20"/>
          <w:szCs w:val="20"/>
        </w:rPr>
        <w:t>ffiliated Security Holders is not intended to be exhaustive, but is believed to include all material factors considered by the Buyer Filing Persons. The Buyer Filing Persons found it impracticable to assign, and did not assign, relative weights to the fore</w:t>
      </w:r>
      <w:r>
        <w:rPr>
          <w:sz w:val="20"/>
          <w:szCs w:val="20"/>
        </w:rPr>
        <w:t xml:space="preserve">going factors considered in reaching its conclusions as to the substantive and procedural fairness of the Merger to the Unaffiliated Security Holders. Rather, the Buyer Filing Persons made the fairness determinations after considering all of the foregoing </w:t>
      </w:r>
      <w:r>
        <w:rPr>
          <w:sz w:val="20"/>
          <w:szCs w:val="20"/>
        </w:rPr>
        <w:t>factors as a whole. The foregoing considerations, however, are not intended to be and should not be construed as a recommendation by the Buyer Filing Persons to the Unaffiliated Security Holders as to how such Unaffiliated Security Holders should vote with</w:t>
      </w:r>
      <w:r>
        <w:rPr>
          <w:sz w:val="20"/>
          <w:szCs w:val="20"/>
        </w:rPr>
        <w:t xml:space="preserve"> respect to the authorization and approval of the Merger Agreement, the Plan of Merger and the consummation of the Transactions.</w:t>
      </w:r>
    </w:p>
    <w:p w14:paraId="75352650"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130BC86C" w14:textId="77777777" w:rsidR="00000000" w:rsidRDefault="002F725F">
      <w:pPr>
        <w:pStyle w:val="NormalWeb"/>
        <w:spacing w:before="0" w:beforeAutospacing="0" w:after="0" w:afterAutospacing="0"/>
        <w:jc w:val="both"/>
        <w:divId w:val="415980837"/>
        <w:rPr>
          <w:sz w:val="20"/>
          <w:szCs w:val="20"/>
        </w:rPr>
      </w:pPr>
      <w:r>
        <w:rPr>
          <w:b/>
          <w:bCs/>
          <w:sz w:val="20"/>
          <w:szCs w:val="20"/>
        </w:rPr>
        <w:t>Certain Financial Projections</w:t>
      </w:r>
    </w:p>
    <w:p w14:paraId="4614865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C73814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Company does not generally </w:t>
      </w:r>
      <w:r>
        <w:rPr>
          <w:sz w:val="20"/>
          <w:szCs w:val="20"/>
        </w:rPr>
        <w:t>make public detailed financial forecasts or internal projections as to future performance, revenues, earnings or financial condition. However, the Company’s management prepared the Prior Management Projections and the Management Projections (each as define</w:t>
      </w:r>
      <w:r>
        <w:rPr>
          <w:sz w:val="20"/>
          <w:szCs w:val="20"/>
        </w:rPr>
        <w:t>d below) for the Special Committee and Duff &amp; Phelps in connection with the financial analysis for the Merger. These Prior Management Projections and Management Projections, which were based on the Company management’s estimates of the Company’s future fin</w:t>
      </w:r>
      <w:r>
        <w:rPr>
          <w:sz w:val="20"/>
          <w:szCs w:val="20"/>
        </w:rPr>
        <w:t>ancial performance as of the date provided, were prepared by the Company’s management for internal use and for use by Duff &amp; Phelps in its financial analysis, and were not prepared with a view towards public disclosure or compliance with published guidelin</w:t>
      </w:r>
      <w:r>
        <w:rPr>
          <w:sz w:val="20"/>
          <w:szCs w:val="20"/>
        </w:rPr>
        <w:t>es of the SEC regarding forward-looking information or the guidelines established by the American Institute of Certified Public Accountants for preparation and presentation of financial forecasts or United States generally accepted accounting principles (“</w:t>
      </w:r>
      <w:r>
        <w:rPr>
          <w:sz w:val="20"/>
          <w:szCs w:val="20"/>
        </w:rPr>
        <w:t>GAAP”).</w:t>
      </w:r>
    </w:p>
    <w:p w14:paraId="1633D61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DA9F56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Prior Management Projections and the Management Projections are not a guarantee of performance. They involve significant risks, uncertainties and assumptions. In compiling the Prior Management Projections and the Management Projections, the C</w:t>
      </w:r>
      <w:r>
        <w:rPr>
          <w:sz w:val="20"/>
          <w:szCs w:val="20"/>
        </w:rPr>
        <w:t>ompany’s management considered historical performance, combined with estimates regarding revenue, gross profit, operating (loss) / income and net (loss) / income. Although the Prior Management Projections and the Management Projections are presented with n</w:t>
      </w:r>
      <w:r>
        <w:rPr>
          <w:sz w:val="20"/>
          <w:szCs w:val="20"/>
        </w:rPr>
        <w:t>umerical specificity, they were based on numerous assumptions and estimates as to future events made by the management that the management believed were prepared on a reasonable basis, reflected the best estimates and judgments available at that time and p</w:t>
      </w:r>
      <w:r>
        <w:rPr>
          <w:sz w:val="20"/>
          <w:szCs w:val="20"/>
        </w:rPr>
        <w:t xml:space="preserve">resented, to the best of the management’s knowledge and belief, the expected course of action and the expected future financial performance of the Company. However, this information is not fact and should not be relied upon as being necessarily indicative </w:t>
      </w:r>
      <w:r>
        <w:rPr>
          <w:sz w:val="20"/>
          <w:szCs w:val="20"/>
        </w:rPr>
        <w:t>of actual future results, and shareholders are cautioned not to place undue reliance on the prospective financial information. In addition, factors such as industry performance, the market for the Company’s existing and new products and services, the compe</w:t>
      </w:r>
      <w:r>
        <w:rPr>
          <w:sz w:val="20"/>
          <w:szCs w:val="20"/>
        </w:rPr>
        <w:t>titive environment, expectations regarding future acquisitions or any other transactions and general business, economic, regulatory, market and financial conditions, and other factors described in “Cautionary Note Regarding Forward-Looking Statements,” all</w:t>
      </w:r>
      <w:r>
        <w:rPr>
          <w:sz w:val="20"/>
          <w:szCs w:val="20"/>
        </w:rPr>
        <w:t xml:space="preserve"> of which are difficult to predict and beyond the control of our management, may cause actual future results to differ materially from the results forecasted in these financial projections.</w:t>
      </w:r>
    </w:p>
    <w:p w14:paraId="5C37FBE1"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p w14:paraId="6AC6DEE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In addition, the Prior Management Projections and the Management</w:t>
      </w:r>
      <w:r>
        <w:rPr>
          <w:sz w:val="20"/>
          <w:szCs w:val="20"/>
        </w:rPr>
        <w:t xml:space="preserve"> Projections generally do not consider any circumstances or events occurring after the date that they were prepared. For instance, the Prior Management Projections and the Management Projections do not give effect to completion of the Merger or any changes</w:t>
      </w:r>
      <w:r>
        <w:rPr>
          <w:sz w:val="20"/>
          <w:szCs w:val="20"/>
        </w:rPr>
        <w:t xml:space="preserve"> to the Company’s operations or strategy that may be implemented after the time the Prior Management Projections or the Management Projections were prepared, as applicable. As a result, there can be no assurance that the Prior Management Projections or the</w:t>
      </w:r>
      <w:r>
        <w:rPr>
          <w:sz w:val="20"/>
          <w:szCs w:val="20"/>
        </w:rPr>
        <w:t xml:space="preserve"> Management Projections will be realized, and actual results may be significantly different from those contained in the projections.</w:t>
      </w:r>
    </w:p>
    <w:p w14:paraId="6A62EB0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FE08AD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Neither the Company, its independent registered public accounting firm, nor any other independent accounts have examined,</w:t>
      </w:r>
      <w:r>
        <w:rPr>
          <w:sz w:val="20"/>
          <w:szCs w:val="20"/>
        </w:rPr>
        <w:t xml:space="preserve"> compiled, or performed any procedures with respect to the Prior Management Projections or the Management Projections or any amounts derived therefrom or built thereupon, nor have they given any opinion or any other form of assurance on such information or</w:t>
      </w:r>
      <w:r>
        <w:rPr>
          <w:sz w:val="20"/>
          <w:szCs w:val="20"/>
        </w:rPr>
        <w:t xml:space="preserve"> its achievability. The Management Projections included in this proxy statement are included solely to give shareholders access to certain information that was made available to the Special Committee and Duff &amp; Phelps, and are not included in this proxy st</w:t>
      </w:r>
      <w:r>
        <w:rPr>
          <w:sz w:val="20"/>
          <w:szCs w:val="20"/>
        </w:rPr>
        <w:t>atement in order to induce any shareholders to vote in favor of approval of the Merger Agreement or to elect not to seek appraisal for its, his or her Shares.</w:t>
      </w:r>
    </w:p>
    <w:p w14:paraId="143C607C"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B4E3602" w14:textId="77777777" w:rsidR="00000000" w:rsidRDefault="002F725F">
      <w:pPr>
        <w:pStyle w:val="NormalWeb"/>
        <w:spacing w:before="0" w:beforeAutospacing="0" w:after="0" w:afterAutospacing="0"/>
        <w:jc w:val="center"/>
        <w:divId w:val="1257905850"/>
        <w:rPr>
          <w:sz w:val="20"/>
          <w:szCs w:val="20"/>
        </w:rPr>
      </w:pPr>
      <w:r>
        <w:rPr>
          <w:sz w:val="20"/>
          <w:szCs w:val="20"/>
        </w:rPr>
        <w:t>3</w:t>
      </w:r>
      <w:r>
        <w:rPr>
          <w:sz w:val="20"/>
          <w:szCs w:val="20"/>
        </w:rPr>
        <w:t>9</w:t>
      </w:r>
    </w:p>
    <w:p w14:paraId="327AD713" w14:textId="77777777" w:rsidR="00000000" w:rsidRDefault="002F725F">
      <w:pPr>
        <w:pStyle w:val="NormalWeb"/>
        <w:spacing w:before="0" w:beforeAutospacing="0" w:after="0" w:afterAutospacing="0"/>
        <w:divId w:val="1382167961"/>
        <w:rPr>
          <w:sz w:val="20"/>
          <w:szCs w:val="20"/>
        </w:rPr>
      </w:pPr>
      <w:r>
        <w:rPr>
          <w:sz w:val="20"/>
          <w:szCs w:val="20"/>
        </w:rPr>
        <w:t> </w:t>
      </w:r>
    </w:p>
    <w:p w14:paraId="2D99C08E"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E7CDA7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following table sets forth the Management Projections prepared by the Company’s mana</w:t>
      </w:r>
      <w:r>
        <w:rPr>
          <w:sz w:val="20"/>
          <w:szCs w:val="20"/>
        </w:rPr>
        <w:t>gement and considered by the Special Committee and Duff &amp; Phelps in connection with their analysis of the Proposed Transaction:</w:t>
      </w:r>
    </w:p>
    <w:p w14:paraId="16D5904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2784"/>
        <w:gridCol w:w="70"/>
        <w:gridCol w:w="70"/>
        <w:gridCol w:w="631"/>
        <w:gridCol w:w="167"/>
        <w:gridCol w:w="70"/>
        <w:gridCol w:w="70"/>
        <w:gridCol w:w="631"/>
        <w:gridCol w:w="167"/>
        <w:gridCol w:w="70"/>
        <w:gridCol w:w="70"/>
        <w:gridCol w:w="631"/>
        <w:gridCol w:w="167"/>
        <w:gridCol w:w="70"/>
        <w:gridCol w:w="70"/>
        <w:gridCol w:w="632"/>
        <w:gridCol w:w="167"/>
        <w:gridCol w:w="71"/>
        <w:gridCol w:w="71"/>
        <w:gridCol w:w="632"/>
        <w:gridCol w:w="167"/>
        <w:gridCol w:w="71"/>
        <w:gridCol w:w="71"/>
        <w:gridCol w:w="632"/>
        <w:gridCol w:w="167"/>
        <w:gridCol w:w="71"/>
        <w:gridCol w:w="71"/>
        <w:gridCol w:w="632"/>
        <w:gridCol w:w="167"/>
      </w:tblGrid>
      <w:tr w:rsidR="00000000" w14:paraId="46E5A4E5" w14:textId="77777777">
        <w:trPr>
          <w:divId w:val="415980837"/>
        </w:trPr>
        <w:tc>
          <w:tcPr>
            <w:tcW w:w="0" w:type="auto"/>
            <w:tcMar>
              <w:top w:w="0" w:type="dxa"/>
              <w:left w:w="180" w:type="dxa"/>
              <w:bottom w:w="0" w:type="dxa"/>
              <w:right w:w="0" w:type="dxa"/>
            </w:tcMar>
            <w:vAlign w:val="bottom"/>
            <w:hideMark/>
          </w:tcPr>
          <w:p w14:paraId="1A0D8CB4" w14:textId="77777777" w:rsidR="00000000" w:rsidRDefault="002F725F">
            <w:pPr>
              <w:ind w:hanging="180"/>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14DB87BF" w14:textId="77777777" w:rsidR="00000000" w:rsidRDefault="002F725F">
            <w:pPr>
              <w:rPr>
                <w:rFonts w:eastAsia="Times New Roman"/>
                <w:b/>
                <w:bCs/>
                <w:sz w:val="20"/>
                <w:szCs w:val="20"/>
              </w:rPr>
            </w:pPr>
            <w:r>
              <w:rPr>
                <w:rFonts w:eastAsia="Times New Roman"/>
                <w:b/>
                <w:bCs/>
                <w:sz w:val="20"/>
                <w:szCs w:val="20"/>
              </w:rPr>
              <w:t> </w:t>
            </w:r>
          </w:p>
        </w:tc>
        <w:tc>
          <w:tcPr>
            <w:tcW w:w="0" w:type="auto"/>
            <w:gridSpan w:val="26"/>
            <w:tcBorders>
              <w:bottom w:val="single" w:sz="12" w:space="0" w:color="000000"/>
            </w:tcBorders>
            <w:vAlign w:val="bottom"/>
            <w:hideMark/>
          </w:tcPr>
          <w:p w14:paraId="44F36043" w14:textId="77777777" w:rsidR="00000000" w:rsidRDefault="002F725F">
            <w:pPr>
              <w:jc w:val="center"/>
              <w:rPr>
                <w:rFonts w:eastAsia="Times New Roman"/>
                <w:b/>
                <w:bCs/>
                <w:sz w:val="20"/>
                <w:szCs w:val="20"/>
              </w:rPr>
            </w:pPr>
            <w:r>
              <w:rPr>
                <w:rFonts w:eastAsia="Times New Roman"/>
                <w:b/>
                <w:bCs/>
                <w:sz w:val="20"/>
                <w:szCs w:val="20"/>
              </w:rPr>
              <w:t>Management Projections</w:t>
            </w:r>
          </w:p>
        </w:tc>
        <w:tc>
          <w:tcPr>
            <w:tcW w:w="0" w:type="auto"/>
            <w:tcMar>
              <w:top w:w="0" w:type="dxa"/>
              <w:left w:w="0" w:type="dxa"/>
              <w:bottom w:w="30" w:type="dxa"/>
              <w:right w:w="0" w:type="dxa"/>
            </w:tcMar>
            <w:vAlign w:val="bottom"/>
            <w:hideMark/>
          </w:tcPr>
          <w:p w14:paraId="47C0B4D2" w14:textId="77777777" w:rsidR="00000000" w:rsidRDefault="002F725F">
            <w:pPr>
              <w:rPr>
                <w:rFonts w:eastAsia="Times New Roman"/>
                <w:b/>
                <w:bCs/>
                <w:sz w:val="20"/>
                <w:szCs w:val="20"/>
              </w:rPr>
            </w:pPr>
            <w:r>
              <w:rPr>
                <w:rFonts w:eastAsia="Times New Roman"/>
                <w:b/>
                <w:bCs/>
                <w:sz w:val="20"/>
                <w:szCs w:val="20"/>
              </w:rPr>
              <w:t> </w:t>
            </w:r>
          </w:p>
        </w:tc>
      </w:tr>
      <w:tr w:rsidR="00000000" w14:paraId="6170B3BC" w14:textId="77777777">
        <w:trPr>
          <w:divId w:val="415980837"/>
        </w:trPr>
        <w:tc>
          <w:tcPr>
            <w:tcW w:w="0" w:type="auto"/>
            <w:tcMar>
              <w:top w:w="0" w:type="dxa"/>
              <w:left w:w="180" w:type="dxa"/>
              <w:bottom w:w="0" w:type="dxa"/>
              <w:right w:w="0" w:type="dxa"/>
            </w:tcMar>
            <w:vAlign w:val="bottom"/>
            <w:hideMark/>
          </w:tcPr>
          <w:p w14:paraId="72F3BF67" w14:textId="77777777" w:rsidR="00000000" w:rsidRDefault="002F725F">
            <w:pPr>
              <w:ind w:hanging="180"/>
              <w:jc w:val="center"/>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0C02C6EF"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619683AE" w14:textId="77777777" w:rsidR="00000000" w:rsidRDefault="002F725F">
            <w:pPr>
              <w:jc w:val="center"/>
              <w:rPr>
                <w:rFonts w:eastAsia="Times New Roman"/>
                <w:b/>
                <w:bCs/>
                <w:sz w:val="20"/>
                <w:szCs w:val="20"/>
              </w:rPr>
            </w:pPr>
            <w:r>
              <w:rPr>
                <w:rFonts w:eastAsia="Times New Roman"/>
                <w:b/>
                <w:bCs/>
                <w:sz w:val="20"/>
                <w:szCs w:val="20"/>
              </w:rPr>
              <w:t>2027P</w:t>
            </w:r>
          </w:p>
        </w:tc>
        <w:tc>
          <w:tcPr>
            <w:tcW w:w="0" w:type="auto"/>
            <w:tcMar>
              <w:top w:w="0" w:type="dxa"/>
              <w:left w:w="0" w:type="dxa"/>
              <w:bottom w:w="30" w:type="dxa"/>
              <w:right w:w="0" w:type="dxa"/>
            </w:tcMar>
            <w:vAlign w:val="bottom"/>
            <w:hideMark/>
          </w:tcPr>
          <w:p w14:paraId="6646A7A4"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F9A1AF7"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6094E26" w14:textId="77777777" w:rsidR="00000000" w:rsidRDefault="002F725F">
            <w:pPr>
              <w:jc w:val="center"/>
              <w:rPr>
                <w:rFonts w:eastAsia="Times New Roman"/>
                <w:b/>
                <w:bCs/>
                <w:sz w:val="20"/>
                <w:szCs w:val="20"/>
              </w:rPr>
            </w:pPr>
            <w:r>
              <w:rPr>
                <w:rFonts w:eastAsia="Times New Roman"/>
                <w:b/>
                <w:bCs/>
                <w:sz w:val="20"/>
                <w:szCs w:val="20"/>
              </w:rPr>
              <w:t>2028P</w:t>
            </w:r>
          </w:p>
        </w:tc>
        <w:tc>
          <w:tcPr>
            <w:tcW w:w="0" w:type="auto"/>
            <w:tcMar>
              <w:top w:w="0" w:type="dxa"/>
              <w:left w:w="0" w:type="dxa"/>
              <w:bottom w:w="30" w:type="dxa"/>
              <w:right w:w="0" w:type="dxa"/>
            </w:tcMar>
            <w:vAlign w:val="bottom"/>
            <w:hideMark/>
          </w:tcPr>
          <w:p w14:paraId="7E07C82A"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0B96F496"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3931E5C0" w14:textId="77777777" w:rsidR="00000000" w:rsidRDefault="002F725F">
            <w:pPr>
              <w:jc w:val="center"/>
              <w:rPr>
                <w:rFonts w:eastAsia="Times New Roman"/>
                <w:b/>
                <w:bCs/>
                <w:sz w:val="20"/>
                <w:szCs w:val="20"/>
              </w:rPr>
            </w:pPr>
            <w:r>
              <w:rPr>
                <w:rFonts w:eastAsia="Times New Roman"/>
                <w:b/>
                <w:bCs/>
                <w:sz w:val="20"/>
                <w:szCs w:val="20"/>
              </w:rPr>
              <w:t>2029P</w:t>
            </w:r>
          </w:p>
        </w:tc>
        <w:tc>
          <w:tcPr>
            <w:tcW w:w="0" w:type="auto"/>
            <w:tcMar>
              <w:top w:w="0" w:type="dxa"/>
              <w:left w:w="0" w:type="dxa"/>
              <w:bottom w:w="30" w:type="dxa"/>
              <w:right w:w="0" w:type="dxa"/>
            </w:tcMar>
            <w:vAlign w:val="bottom"/>
            <w:hideMark/>
          </w:tcPr>
          <w:p w14:paraId="4A47C6A0"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E9BB3BA"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764ACAF9" w14:textId="77777777" w:rsidR="00000000" w:rsidRDefault="002F725F">
            <w:pPr>
              <w:jc w:val="center"/>
              <w:rPr>
                <w:rFonts w:eastAsia="Times New Roman"/>
                <w:b/>
                <w:bCs/>
                <w:sz w:val="20"/>
                <w:szCs w:val="20"/>
              </w:rPr>
            </w:pPr>
            <w:r>
              <w:rPr>
                <w:rFonts w:eastAsia="Times New Roman"/>
                <w:b/>
                <w:bCs/>
                <w:sz w:val="20"/>
                <w:szCs w:val="20"/>
              </w:rPr>
              <w:t>2030P</w:t>
            </w:r>
          </w:p>
        </w:tc>
        <w:tc>
          <w:tcPr>
            <w:tcW w:w="0" w:type="auto"/>
            <w:tcMar>
              <w:top w:w="0" w:type="dxa"/>
              <w:left w:w="0" w:type="dxa"/>
              <w:bottom w:w="30" w:type="dxa"/>
              <w:right w:w="0" w:type="dxa"/>
            </w:tcMar>
            <w:vAlign w:val="bottom"/>
            <w:hideMark/>
          </w:tcPr>
          <w:p w14:paraId="2E599B95"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EB276F9"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5F8B121C" w14:textId="77777777" w:rsidR="00000000" w:rsidRDefault="002F725F">
            <w:pPr>
              <w:jc w:val="center"/>
              <w:rPr>
                <w:rFonts w:eastAsia="Times New Roman"/>
                <w:b/>
                <w:bCs/>
                <w:sz w:val="20"/>
                <w:szCs w:val="20"/>
              </w:rPr>
            </w:pPr>
            <w:r>
              <w:rPr>
                <w:rFonts w:eastAsia="Times New Roman"/>
                <w:b/>
                <w:bCs/>
                <w:sz w:val="20"/>
                <w:szCs w:val="20"/>
              </w:rPr>
              <w:t>2031P</w:t>
            </w:r>
          </w:p>
        </w:tc>
        <w:tc>
          <w:tcPr>
            <w:tcW w:w="0" w:type="auto"/>
            <w:tcMar>
              <w:top w:w="0" w:type="dxa"/>
              <w:left w:w="0" w:type="dxa"/>
              <w:bottom w:w="30" w:type="dxa"/>
              <w:right w:w="0" w:type="dxa"/>
            </w:tcMar>
            <w:vAlign w:val="bottom"/>
            <w:hideMark/>
          </w:tcPr>
          <w:p w14:paraId="7542AC56"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19DA5C3A"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6910CFA5" w14:textId="77777777" w:rsidR="00000000" w:rsidRDefault="002F725F">
            <w:pPr>
              <w:jc w:val="center"/>
              <w:rPr>
                <w:rFonts w:eastAsia="Times New Roman"/>
                <w:b/>
                <w:bCs/>
                <w:sz w:val="20"/>
                <w:szCs w:val="20"/>
              </w:rPr>
            </w:pPr>
            <w:r>
              <w:rPr>
                <w:rFonts w:eastAsia="Times New Roman"/>
                <w:b/>
                <w:bCs/>
                <w:sz w:val="20"/>
                <w:szCs w:val="20"/>
              </w:rPr>
              <w:t>2032P</w:t>
            </w:r>
          </w:p>
        </w:tc>
        <w:tc>
          <w:tcPr>
            <w:tcW w:w="0" w:type="auto"/>
            <w:tcMar>
              <w:top w:w="0" w:type="dxa"/>
              <w:left w:w="0" w:type="dxa"/>
              <w:bottom w:w="30" w:type="dxa"/>
              <w:right w:w="0" w:type="dxa"/>
            </w:tcMar>
            <w:vAlign w:val="bottom"/>
            <w:hideMark/>
          </w:tcPr>
          <w:p w14:paraId="44FADE15"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6726B01B"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523EEBE7" w14:textId="77777777" w:rsidR="00000000" w:rsidRDefault="002F725F">
            <w:pPr>
              <w:jc w:val="center"/>
              <w:rPr>
                <w:rFonts w:eastAsia="Times New Roman"/>
                <w:b/>
                <w:bCs/>
                <w:sz w:val="20"/>
                <w:szCs w:val="20"/>
              </w:rPr>
            </w:pPr>
            <w:r>
              <w:rPr>
                <w:rFonts w:eastAsia="Times New Roman"/>
                <w:b/>
                <w:bCs/>
                <w:sz w:val="20"/>
                <w:szCs w:val="20"/>
              </w:rPr>
              <w:t>2033P</w:t>
            </w:r>
          </w:p>
        </w:tc>
        <w:tc>
          <w:tcPr>
            <w:tcW w:w="0" w:type="auto"/>
            <w:tcMar>
              <w:top w:w="0" w:type="dxa"/>
              <w:left w:w="0" w:type="dxa"/>
              <w:bottom w:w="30" w:type="dxa"/>
              <w:right w:w="0" w:type="dxa"/>
            </w:tcMar>
            <w:vAlign w:val="bottom"/>
            <w:hideMark/>
          </w:tcPr>
          <w:p w14:paraId="52ECCC91" w14:textId="77777777" w:rsidR="00000000" w:rsidRDefault="002F725F">
            <w:pPr>
              <w:rPr>
                <w:rFonts w:eastAsia="Times New Roman"/>
                <w:b/>
                <w:bCs/>
                <w:sz w:val="20"/>
                <w:szCs w:val="20"/>
              </w:rPr>
            </w:pPr>
            <w:r>
              <w:rPr>
                <w:rFonts w:eastAsia="Times New Roman"/>
                <w:b/>
                <w:bCs/>
                <w:sz w:val="20"/>
                <w:szCs w:val="20"/>
              </w:rPr>
              <w:t> </w:t>
            </w:r>
          </w:p>
        </w:tc>
      </w:tr>
      <w:tr w:rsidR="00000000" w14:paraId="23BBE84D" w14:textId="77777777">
        <w:trPr>
          <w:divId w:val="415980837"/>
        </w:trPr>
        <w:tc>
          <w:tcPr>
            <w:tcW w:w="0" w:type="auto"/>
            <w:shd w:val="clear" w:color="auto" w:fill="FFFFFF"/>
            <w:tcMar>
              <w:top w:w="0" w:type="dxa"/>
              <w:left w:w="180" w:type="dxa"/>
              <w:bottom w:w="0" w:type="dxa"/>
              <w:right w:w="0" w:type="dxa"/>
            </w:tcMar>
            <w:vAlign w:val="bottom"/>
            <w:hideMark/>
          </w:tcPr>
          <w:p w14:paraId="3BAC2411" w14:textId="77777777" w:rsidR="00000000" w:rsidRDefault="002F725F">
            <w:pPr>
              <w:ind w:hanging="180"/>
              <w:rPr>
                <w:rFonts w:eastAsia="Times New Roman"/>
                <w:sz w:val="20"/>
                <w:szCs w:val="20"/>
              </w:rPr>
            </w:pPr>
            <w:r>
              <w:rPr>
                <w:rFonts w:eastAsia="Times New Roman"/>
                <w:sz w:val="20"/>
                <w:szCs w:val="20"/>
              </w:rPr>
              <w:t> </w:t>
            </w:r>
          </w:p>
        </w:tc>
        <w:tc>
          <w:tcPr>
            <w:tcW w:w="0" w:type="auto"/>
            <w:shd w:val="clear" w:color="auto" w:fill="FFFFFF"/>
            <w:vAlign w:val="bottom"/>
            <w:hideMark/>
          </w:tcPr>
          <w:p w14:paraId="55F061D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01E546E7" w14:textId="77777777" w:rsidR="00000000" w:rsidRDefault="002F725F">
            <w:pPr>
              <w:rPr>
                <w:rFonts w:eastAsia="Times New Roman"/>
                <w:b/>
                <w:bCs/>
                <w:sz w:val="20"/>
                <w:szCs w:val="20"/>
              </w:rPr>
            </w:pPr>
            <w:r>
              <w:rPr>
                <w:rFonts w:eastAsia="Times New Roman"/>
                <w:b/>
                <w:bCs/>
                <w:sz w:val="20"/>
                <w:szCs w:val="20"/>
              </w:rPr>
              <w:t> </w:t>
            </w:r>
          </w:p>
        </w:tc>
        <w:tc>
          <w:tcPr>
            <w:tcW w:w="0" w:type="auto"/>
            <w:gridSpan w:val="24"/>
            <w:shd w:val="clear" w:color="auto" w:fill="FFFFFF"/>
            <w:vAlign w:val="bottom"/>
            <w:hideMark/>
          </w:tcPr>
          <w:p w14:paraId="53DDB354" w14:textId="77777777" w:rsidR="00000000" w:rsidRDefault="002F725F">
            <w:pPr>
              <w:jc w:val="center"/>
              <w:rPr>
                <w:rFonts w:eastAsia="Times New Roman"/>
                <w:b/>
                <w:bCs/>
                <w:sz w:val="20"/>
                <w:szCs w:val="20"/>
              </w:rPr>
            </w:pPr>
            <w:r>
              <w:rPr>
                <w:rFonts w:eastAsia="Times New Roman"/>
                <w:b/>
                <w:bCs/>
                <w:sz w:val="20"/>
                <w:szCs w:val="20"/>
              </w:rPr>
              <w:t>(in RMB millions except percentages)</w:t>
            </w:r>
          </w:p>
        </w:tc>
        <w:tc>
          <w:tcPr>
            <w:tcW w:w="0" w:type="auto"/>
            <w:shd w:val="clear" w:color="auto" w:fill="FFFFFF"/>
            <w:vAlign w:val="bottom"/>
            <w:hideMark/>
          </w:tcPr>
          <w:p w14:paraId="7B358C2F"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504FE2C8" w14:textId="77777777" w:rsidR="00000000" w:rsidRDefault="002F725F">
            <w:pPr>
              <w:rPr>
                <w:rFonts w:eastAsia="Times New Roman"/>
                <w:sz w:val="20"/>
                <w:szCs w:val="20"/>
              </w:rPr>
            </w:pPr>
            <w:r>
              <w:rPr>
                <w:rFonts w:eastAsia="Times New Roman"/>
                <w:sz w:val="20"/>
                <w:szCs w:val="20"/>
              </w:rPr>
              <w:t> </w:t>
            </w:r>
          </w:p>
        </w:tc>
      </w:tr>
      <w:tr w:rsidR="002F725F" w14:paraId="2D74A658" w14:textId="77777777">
        <w:trPr>
          <w:divId w:val="415980837"/>
        </w:trPr>
        <w:tc>
          <w:tcPr>
            <w:tcW w:w="1500" w:type="pct"/>
            <w:shd w:val="clear" w:color="auto" w:fill="CCEEFF"/>
            <w:tcMar>
              <w:top w:w="0" w:type="dxa"/>
              <w:left w:w="180" w:type="dxa"/>
              <w:bottom w:w="0" w:type="dxa"/>
              <w:right w:w="0" w:type="dxa"/>
            </w:tcMar>
            <w:vAlign w:val="bottom"/>
            <w:hideMark/>
          </w:tcPr>
          <w:p w14:paraId="7ACB9D0C" w14:textId="77777777" w:rsidR="00000000" w:rsidRDefault="002F725F">
            <w:pPr>
              <w:ind w:hanging="180"/>
              <w:rPr>
                <w:rFonts w:eastAsia="Times New Roman"/>
                <w:b/>
                <w:bCs/>
                <w:sz w:val="20"/>
                <w:szCs w:val="20"/>
              </w:rPr>
            </w:pPr>
            <w:r>
              <w:rPr>
                <w:rFonts w:eastAsia="Times New Roman"/>
                <w:b/>
                <w:bCs/>
                <w:sz w:val="20"/>
                <w:szCs w:val="20"/>
              </w:rPr>
              <w:t>Revenue</w:t>
            </w:r>
          </w:p>
        </w:tc>
        <w:tc>
          <w:tcPr>
            <w:tcW w:w="50" w:type="pct"/>
            <w:shd w:val="clear" w:color="auto" w:fill="CCEEFF"/>
            <w:vAlign w:val="bottom"/>
            <w:hideMark/>
          </w:tcPr>
          <w:p w14:paraId="7054D5B5"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019786CE"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2D1B3EAA" w14:textId="77777777" w:rsidR="00000000" w:rsidRDefault="002F725F">
            <w:pPr>
              <w:jc w:val="right"/>
              <w:rPr>
                <w:rFonts w:eastAsia="Times New Roman"/>
                <w:sz w:val="20"/>
                <w:szCs w:val="20"/>
              </w:rPr>
            </w:pPr>
            <w:r>
              <w:rPr>
                <w:rFonts w:eastAsia="Times New Roman"/>
                <w:sz w:val="20"/>
                <w:szCs w:val="20"/>
              </w:rPr>
              <w:t>533.28</w:t>
            </w:r>
          </w:p>
        </w:tc>
        <w:tc>
          <w:tcPr>
            <w:tcW w:w="50" w:type="pct"/>
            <w:shd w:val="clear" w:color="auto" w:fill="CCEEFF"/>
            <w:vAlign w:val="bottom"/>
            <w:hideMark/>
          </w:tcPr>
          <w:p w14:paraId="093FD196"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70580D97"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7D0E54D9"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29D9FC26" w14:textId="77777777" w:rsidR="00000000" w:rsidRDefault="002F725F">
            <w:pPr>
              <w:jc w:val="right"/>
              <w:rPr>
                <w:rFonts w:eastAsia="Times New Roman"/>
                <w:sz w:val="20"/>
                <w:szCs w:val="20"/>
              </w:rPr>
            </w:pPr>
            <w:r>
              <w:rPr>
                <w:rFonts w:eastAsia="Times New Roman"/>
                <w:sz w:val="20"/>
                <w:szCs w:val="20"/>
              </w:rPr>
              <w:t>530.04</w:t>
            </w:r>
          </w:p>
        </w:tc>
        <w:tc>
          <w:tcPr>
            <w:tcW w:w="50" w:type="pct"/>
            <w:shd w:val="clear" w:color="auto" w:fill="CCEEFF"/>
            <w:vAlign w:val="bottom"/>
            <w:hideMark/>
          </w:tcPr>
          <w:p w14:paraId="2AAB0643"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7E1C049D"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13E9F7CB"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11D3EADC" w14:textId="77777777" w:rsidR="00000000" w:rsidRDefault="002F725F">
            <w:pPr>
              <w:jc w:val="right"/>
              <w:rPr>
                <w:rFonts w:eastAsia="Times New Roman"/>
                <w:sz w:val="20"/>
                <w:szCs w:val="20"/>
              </w:rPr>
            </w:pPr>
            <w:r>
              <w:rPr>
                <w:rFonts w:eastAsia="Times New Roman"/>
                <w:sz w:val="20"/>
                <w:szCs w:val="20"/>
              </w:rPr>
              <w:t>533.88</w:t>
            </w:r>
          </w:p>
        </w:tc>
        <w:tc>
          <w:tcPr>
            <w:tcW w:w="50" w:type="pct"/>
            <w:shd w:val="clear" w:color="auto" w:fill="CCEEFF"/>
            <w:vAlign w:val="bottom"/>
            <w:hideMark/>
          </w:tcPr>
          <w:p w14:paraId="09E5B1AC"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4BDDCC5B"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16F593BB"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66312A26" w14:textId="77777777" w:rsidR="00000000" w:rsidRDefault="002F725F">
            <w:pPr>
              <w:jc w:val="right"/>
              <w:rPr>
                <w:rFonts w:eastAsia="Times New Roman"/>
                <w:sz w:val="20"/>
                <w:szCs w:val="20"/>
              </w:rPr>
            </w:pPr>
            <w:r>
              <w:rPr>
                <w:rFonts w:eastAsia="Times New Roman"/>
                <w:sz w:val="20"/>
                <w:szCs w:val="20"/>
              </w:rPr>
              <w:t>537.39</w:t>
            </w:r>
          </w:p>
        </w:tc>
        <w:tc>
          <w:tcPr>
            <w:tcW w:w="50" w:type="pct"/>
            <w:shd w:val="clear" w:color="auto" w:fill="CCEEFF"/>
            <w:vAlign w:val="bottom"/>
            <w:hideMark/>
          </w:tcPr>
          <w:p w14:paraId="072ADD02"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126D4A1B"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05C0A004"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49C76164" w14:textId="77777777" w:rsidR="00000000" w:rsidRDefault="002F725F">
            <w:pPr>
              <w:jc w:val="right"/>
              <w:rPr>
                <w:rFonts w:eastAsia="Times New Roman"/>
                <w:sz w:val="20"/>
                <w:szCs w:val="20"/>
              </w:rPr>
            </w:pPr>
            <w:r>
              <w:rPr>
                <w:rFonts w:eastAsia="Times New Roman"/>
                <w:sz w:val="20"/>
                <w:szCs w:val="20"/>
              </w:rPr>
              <w:t>551.86</w:t>
            </w:r>
          </w:p>
        </w:tc>
        <w:tc>
          <w:tcPr>
            <w:tcW w:w="50" w:type="pct"/>
            <w:shd w:val="clear" w:color="auto" w:fill="CCEEFF"/>
            <w:vAlign w:val="bottom"/>
            <w:hideMark/>
          </w:tcPr>
          <w:p w14:paraId="00F00C0E"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140B1695"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086E0D07"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00F67BAF" w14:textId="77777777" w:rsidR="00000000" w:rsidRDefault="002F725F">
            <w:pPr>
              <w:jc w:val="right"/>
              <w:rPr>
                <w:rFonts w:eastAsia="Times New Roman"/>
                <w:sz w:val="20"/>
                <w:szCs w:val="20"/>
              </w:rPr>
            </w:pPr>
            <w:r>
              <w:rPr>
                <w:rFonts w:eastAsia="Times New Roman"/>
                <w:sz w:val="20"/>
                <w:szCs w:val="20"/>
              </w:rPr>
              <w:t>564.37</w:t>
            </w:r>
          </w:p>
        </w:tc>
        <w:tc>
          <w:tcPr>
            <w:tcW w:w="50" w:type="pct"/>
            <w:shd w:val="clear" w:color="auto" w:fill="CCEEFF"/>
            <w:vAlign w:val="bottom"/>
            <w:hideMark/>
          </w:tcPr>
          <w:p w14:paraId="0AF391E7"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3D30F1EB"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19BDAB66"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1C653888" w14:textId="77777777" w:rsidR="00000000" w:rsidRDefault="002F725F">
            <w:pPr>
              <w:jc w:val="right"/>
              <w:rPr>
                <w:rFonts w:eastAsia="Times New Roman"/>
                <w:sz w:val="20"/>
                <w:szCs w:val="20"/>
              </w:rPr>
            </w:pPr>
            <w:r>
              <w:rPr>
                <w:rFonts w:eastAsia="Times New Roman"/>
                <w:sz w:val="20"/>
                <w:szCs w:val="20"/>
              </w:rPr>
              <w:t>569.74</w:t>
            </w:r>
          </w:p>
        </w:tc>
        <w:tc>
          <w:tcPr>
            <w:tcW w:w="50" w:type="pct"/>
            <w:shd w:val="clear" w:color="auto" w:fill="CCEEFF"/>
            <w:vAlign w:val="bottom"/>
            <w:hideMark/>
          </w:tcPr>
          <w:p w14:paraId="72367007" w14:textId="77777777" w:rsidR="00000000" w:rsidRDefault="002F725F">
            <w:pPr>
              <w:rPr>
                <w:rFonts w:eastAsia="Times New Roman"/>
                <w:sz w:val="20"/>
                <w:szCs w:val="20"/>
              </w:rPr>
            </w:pPr>
            <w:r>
              <w:rPr>
                <w:rFonts w:eastAsia="Times New Roman"/>
                <w:sz w:val="20"/>
                <w:szCs w:val="20"/>
              </w:rPr>
              <w:t> </w:t>
            </w:r>
          </w:p>
        </w:tc>
      </w:tr>
      <w:tr w:rsidR="002F725F" w14:paraId="539038BD" w14:textId="77777777">
        <w:trPr>
          <w:divId w:val="415980837"/>
        </w:trPr>
        <w:tc>
          <w:tcPr>
            <w:tcW w:w="0" w:type="auto"/>
            <w:shd w:val="clear" w:color="auto" w:fill="FFFFFF"/>
            <w:tcMar>
              <w:top w:w="0" w:type="dxa"/>
              <w:left w:w="180" w:type="dxa"/>
              <w:bottom w:w="30" w:type="dxa"/>
              <w:right w:w="0" w:type="dxa"/>
            </w:tcMar>
            <w:vAlign w:val="bottom"/>
            <w:hideMark/>
          </w:tcPr>
          <w:p w14:paraId="6F1E43B9" w14:textId="77777777" w:rsidR="00000000" w:rsidRDefault="002F725F">
            <w:pPr>
              <w:ind w:hanging="180"/>
              <w:rPr>
                <w:rFonts w:eastAsia="Times New Roman"/>
                <w:b/>
                <w:bCs/>
                <w:sz w:val="20"/>
                <w:szCs w:val="20"/>
              </w:rPr>
            </w:pPr>
            <w:r>
              <w:rPr>
                <w:rFonts w:eastAsia="Times New Roman"/>
                <w:b/>
                <w:bCs/>
                <w:sz w:val="20"/>
                <w:szCs w:val="20"/>
              </w:rPr>
              <w:t>Cost of Revenue</w:t>
            </w:r>
          </w:p>
        </w:tc>
        <w:tc>
          <w:tcPr>
            <w:tcW w:w="0" w:type="auto"/>
            <w:shd w:val="clear" w:color="auto" w:fill="FFFFFF"/>
            <w:tcMar>
              <w:top w:w="0" w:type="dxa"/>
              <w:left w:w="0" w:type="dxa"/>
              <w:bottom w:w="30" w:type="dxa"/>
              <w:right w:w="0" w:type="dxa"/>
            </w:tcMar>
            <w:vAlign w:val="bottom"/>
            <w:hideMark/>
          </w:tcPr>
          <w:p w14:paraId="77191487"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83576DB"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561D741E" w14:textId="77777777" w:rsidR="00000000" w:rsidRDefault="002F725F">
            <w:pPr>
              <w:jc w:val="right"/>
              <w:rPr>
                <w:rFonts w:eastAsia="Times New Roman"/>
                <w:sz w:val="20"/>
                <w:szCs w:val="20"/>
              </w:rPr>
            </w:pPr>
            <w:r>
              <w:rPr>
                <w:rFonts w:eastAsia="Times New Roman"/>
                <w:sz w:val="20"/>
                <w:szCs w:val="20"/>
              </w:rPr>
              <w:t>(117.73</w:t>
            </w:r>
          </w:p>
        </w:tc>
        <w:tc>
          <w:tcPr>
            <w:tcW w:w="0" w:type="auto"/>
            <w:shd w:val="clear" w:color="auto" w:fill="FFFFFF"/>
            <w:tcMar>
              <w:top w:w="0" w:type="dxa"/>
              <w:left w:w="0" w:type="dxa"/>
              <w:bottom w:w="30" w:type="dxa"/>
              <w:right w:w="0" w:type="dxa"/>
            </w:tcMar>
            <w:vAlign w:val="bottom"/>
            <w:hideMark/>
          </w:tcPr>
          <w:p w14:paraId="42FC8475"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6C724302"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7681A101"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60A982D" w14:textId="77777777" w:rsidR="00000000" w:rsidRDefault="002F725F">
            <w:pPr>
              <w:jc w:val="right"/>
              <w:rPr>
                <w:rFonts w:eastAsia="Times New Roman"/>
                <w:sz w:val="20"/>
                <w:szCs w:val="20"/>
              </w:rPr>
            </w:pPr>
            <w:r>
              <w:rPr>
                <w:rFonts w:eastAsia="Times New Roman"/>
                <w:sz w:val="20"/>
                <w:szCs w:val="20"/>
              </w:rPr>
              <w:t>(114.56</w:t>
            </w:r>
          </w:p>
        </w:tc>
        <w:tc>
          <w:tcPr>
            <w:tcW w:w="0" w:type="auto"/>
            <w:shd w:val="clear" w:color="auto" w:fill="FFFFFF"/>
            <w:tcMar>
              <w:top w:w="0" w:type="dxa"/>
              <w:left w:w="0" w:type="dxa"/>
              <w:bottom w:w="30" w:type="dxa"/>
              <w:right w:w="0" w:type="dxa"/>
            </w:tcMar>
            <w:vAlign w:val="bottom"/>
            <w:hideMark/>
          </w:tcPr>
          <w:p w14:paraId="3F7CD715"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33540736"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39A58081"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D3F9F32" w14:textId="77777777" w:rsidR="00000000" w:rsidRDefault="002F725F">
            <w:pPr>
              <w:jc w:val="right"/>
              <w:rPr>
                <w:rFonts w:eastAsia="Times New Roman"/>
                <w:sz w:val="20"/>
                <w:szCs w:val="20"/>
              </w:rPr>
            </w:pPr>
            <w:r>
              <w:rPr>
                <w:rFonts w:eastAsia="Times New Roman"/>
                <w:sz w:val="20"/>
                <w:szCs w:val="20"/>
              </w:rPr>
              <w:t>(109.46</w:t>
            </w:r>
          </w:p>
        </w:tc>
        <w:tc>
          <w:tcPr>
            <w:tcW w:w="0" w:type="auto"/>
            <w:shd w:val="clear" w:color="auto" w:fill="FFFFFF"/>
            <w:tcMar>
              <w:top w:w="0" w:type="dxa"/>
              <w:left w:w="0" w:type="dxa"/>
              <w:bottom w:w="30" w:type="dxa"/>
              <w:right w:w="0" w:type="dxa"/>
            </w:tcMar>
            <w:vAlign w:val="bottom"/>
            <w:hideMark/>
          </w:tcPr>
          <w:p w14:paraId="2CCAFBD6"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022BFCD7"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C8F6B24"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550E3645" w14:textId="77777777" w:rsidR="00000000" w:rsidRDefault="002F725F">
            <w:pPr>
              <w:jc w:val="right"/>
              <w:rPr>
                <w:rFonts w:eastAsia="Times New Roman"/>
                <w:sz w:val="20"/>
                <w:szCs w:val="20"/>
              </w:rPr>
            </w:pPr>
            <w:r>
              <w:rPr>
                <w:rFonts w:eastAsia="Times New Roman"/>
                <w:sz w:val="20"/>
                <w:szCs w:val="20"/>
              </w:rPr>
              <w:t>(106.41</w:t>
            </w:r>
          </w:p>
        </w:tc>
        <w:tc>
          <w:tcPr>
            <w:tcW w:w="0" w:type="auto"/>
            <w:shd w:val="clear" w:color="auto" w:fill="FFFFFF"/>
            <w:tcMar>
              <w:top w:w="0" w:type="dxa"/>
              <w:left w:w="0" w:type="dxa"/>
              <w:bottom w:w="30" w:type="dxa"/>
              <w:right w:w="0" w:type="dxa"/>
            </w:tcMar>
            <w:vAlign w:val="bottom"/>
            <w:hideMark/>
          </w:tcPr>
          <w:p w14:paraId="1D44DF18"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762F5004"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01DA16B"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5BC63201" w14:textId="77777777" w:rsidR="00000000" w:rsidRDefault="002F725F">
            <w:pPr>
              <w:jc w:val="right"/>
              <w:rPr>
                <w:rFonts w:eastAsia="Times New Roman"/>
                <w:sz w:val="20"/>
                <w:szCs w:val="20"/>
              </w:rPr>
            </w:pPr>
            <w:r>
              <w:rPr>
                <w:rFonts w:eastAsia="Times New Roman"/>
                <w:sz w:val="20"/>
                <w:szCs w:val="20"/>
              </w:rPr>
              <w:t>(103.86</w:t>
            </w:r>
          </w:p>
        </w:tc>
        <w:tc>
          <w:tcPr>
            <w:tcW w:w="0" w:type="auto"/>
            <w:shd w:val="clear" w:color="auto" w:fill="FFFFFF"/>
            <w:tcMar>
              <w:top w:w="0" w:type="dxa"/>
              <w:left w:w="0" w:type="dxa"/>
              <w:bottom w:w="30" w:type="dxa"/>
              <w:right w:w="0" w:type="dxa"/>
            </w:tcMar>
            <w:vAlign w:val="bottom"/>
            <w:hideMark/>
          </w:tcPr>
          <w:p w14:paraId="5D7929AD"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0C40BF79"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2AFE2E78"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74497D32" w14:textId="77777777" w:rsidR="00000000" w:rsidRDefault="002F725F">
            <w:pPr>
              <w:jc w:val="right"/>
              <w:rPr>
                <w:rFonts w:eastAsia="Times New Roman"/>
                <w:sz w:val="20"/>
                <w:szCs w:val="20"/>
              </w:rPr>
            </w:pPr>
            <w:r>
              <w:rPr>
                <w:rFonts w:eastAsia="Times New Roman"/>
                <w:sz w:val="20"/>
                <w:szCs w:val="20"/>
              </w:rPr>
              <w:t>(101.36</w:t>
            </w:r>
          </w:p>
        </w:tc>
        <w:tc>
          <w:tcPr>
            <w:tcW w:w="0" w:type="auto"/>
            <w:shd w:val="clear" w:color="auto" w:fill="FFFFFF"/>
            <w:tcMar>
              <w:top w:w="0" w:type="dxa"/>
              <w:left w:w="0" w:type="dxa"/>
              <w:bottom w:w="30" w:type="dxa"/>
              <w:right w:w="0" w:type="dxa"/>
            </w:tcMar>
            <w:vAlign w:val="bottom"/>
            <w:hideMark/>
          </w:tcPr>
          <w:p w14:paraId="4254CB91"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4A1262CD"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3E65263E"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978F536" w14:textId="77777777" w:rsidR="00000000" w:rsidRDefault="002F725F">
            <w:pPr>
              <w:jc w:val="right"/>
              <w:rPr>
                <w:rFonts w:eastAsia="Times New Roman"/>
                <w:sz w:val="20"/>
                <w:szCs w:val="20"/>
              </w:rPr>
            </w:pPr>
            <w:r>
              <w:rPr>
                <w:rFonts w:eastAsia="Times New Roman"/>
                <w:sz w:val="20"/>
                <w:szCs w:val="20"/>
              </w:rPr>
              <w:t>(101.43</w:t>
            </w:r>
          </w:p>
        </w:tc>
        <w:tc>
          <w:tcPr>
            <w:tcW w:w="0" w:type="auto"/>
            <w:shd w:val="clear" w:color="auto" w:fill="FFFFFF"/>
            <w:tcMar>
              <w:top w:w="0" w:type="dxa"/>
              <w:left w:w="0" w:type="dxa"/>
              <w:bottom w:w="30" w:type="dxa"/>
              <w:right w:w="0" w:type="dxa"/>
            </w:tcMar>
            <w:vAlign w:val="bottom"/>
            <w:hideMark/>
          </w:tcPr>
          <w:p w14:paraId="4063E68B" w14:textId="77777777" w:rsidR="00000000" w:rsidRDefault="002F725F">
            <w:pPr>
              <w:rPr>
                <w:rFonts w:eastAsia="Times New Roman"/>
                <w:sz w:val="20"/>
                <w:szCs w:val="20"/>
              </w:rPr>
            </w:pPr>
            <w:r>
              <w:rPr>
                <w:rFonts w:eastAsia="Times New Roman"/>
                <w:sz w:val="20"/>
                <w:szCs w:val="20"/>
              </w:rPr>
              <w:t>)</w:t>
            </w:r>
          </w:p>
        </w:tc>
      </w:tr>
      <w:tr w:rsidR="002F725F" w14:paraId="09329132" w14:textId="77777777">
        <w:trPr>
          <w:divId w:val="415980837"/>
        </w:trPr>
        <w:tc>
          <w:tcPr>
            <w:tcW w:w="0" w:type="auto"/>
            <w:shd w:val="clear" w:color="auto" w:fill="CCEEFF"/>
            <w:tcMar>
              <w:top w:w="0" w:type="dxa"/>
              <w:left w:w="180" w:type="dxa"/>
              <w:bottom w:w="0" w:type="dxa"/>
              <w:right w:w="0" w:type="dxa"/>
            </w:tcMar>
            <w:vAlign w:val="bottom"/>
            <w:hideMark/>
          </w:tcPr>
          <w:p w14:paraId="5EDD871F" w14:textId="77777777" w:rsidR="00000000" w:rsidRDefault="002F725F">
            <w:pPr>
              <w:ind w:hanging="180"/>
              <w:rPr>
                <w:rFonts w:eastAsia="Times New Roman"/>
                <w:b/>
                <w:bCs/>
                <w:sz w:val="20"/>
                <w:szCs w:val="20"/>
              </w:rPr>
            </w:pPr>
            <w:r>
              <w:rPr>
                <w:rFonts w:eastAsia="Times New Roman"/>
                <w:b/>
                <w:bCs/>
                <w:sz w:val="20"/>
                <w:szCs w:val="20"/>
              </w:rPr>
              <w:t>Gross Profit</w:t>
            </w:r>
          </w:p>
        </w:tc>
        <w:tc>
          <w:tcPr>
            <w:tcW w:w="0" w:type="auto"/>
            <w:shd w:val="clear" w:color="auto" w:fill="CCEEFF"/>
            <w:vAlign w:val="bottom"/>
            <w:hideMark/>
          </w:tcPr>
          <w:p w14:paraId="73958FA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BB48F8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8F3C932" w14:textId="77777777" w:rsidR="00000000" w:rsidRDefault="002F725F">
            <w:pPr>
              <w:jc w:val="right"/>
              <w:rPr>
                <w:rFonts w:eastAsia="Times New Roman"/>
                <w:sz w:val="20"/>
                <w:szCs w:val="20"/>
              </w:rPr>
            </w:pPr>
            <w:r>
              <w:rPr>
                <w:rFonts w:eastAsia="Times New Roman"/>
                <w:sz w:val="20"/>
                <w:szCs w:val="20"/>
              </w:rPr>
              <w:t>415.54</w:t>
            </w:r>
          </w:p>
        </w:tc>
        <w:tc>
          <w:tcPr>
            <w:tcW w:w="0" w:type="auto"/>
            <w:shd w:val="clear" w:color="auto" w:fill="CCEEFF"/>
            <w:vAlign w:val="bottom"/>
            <w:hideMark/>
          </w:tcPr>
          <w:p w14:paraId="6B7A6D1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2B8C53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5733E3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1271017" w14:textId="77777777" w:rsidR="00000000" w:rsidRDefault="002F725F">
            <w:pPr>
              <w:jc w:val="right"/>
              <w:rPr>
                <w:rFonts w:eastAsia="Times New Roman"/>
                <w:sz w:val="20"/>
                <w:szCs w:val="20"/>
              </w:rPr>
            </w:pPr>
            <w:r>
              <w:rPr>
                <w:rFonts w:eastAsia="Times New Roman"/>
                <w:sz w:val="20"/>
                <w:szCs w:val="20"/>
              </w:rPr>
              <w:t>415.48</w:t>
            </w:r>
          </w:p>
        </w:tc>
        <w:tc>
          <w:tcPr>
            <w:tcW w:w="0" w:type="auto"/>
            <w:shd w:val="clear" w:color="auto" w:fill="CCEEFF"/>
            <w:vAlign w:val="bottom"/>
            <w:hideMark/>
          </w:tcPr>
          <w:p w14:paraId="52A0EDB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2CD4C0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8EA316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B756713" w14:textId="77777777" w:rsidR="00000000" w:rsidRDefault="002F725F">
            <w:pPr>
              <w:jc w:val="right"/>
              <w:rPr>
                <w:rFonts w:eastAsia="Times New Roman"/>
                <w:sz w:val="20"/>
                <w:szCs w:val="20"/>
              </w:rPr>
            </w:pPr>
            <w:r>
              <w:rPr>
                <w:rFonts w:eastAsia="Times New Roman"/>
                <w:sz w:val="20"/>
                <w:szCs w:val="20"/>
              </w:rPr>
              <w:t>424.41</w:t>
            </w:r>
          </w:p>
        </w:tc>
        <w:tc>
          <w:tcPr>
            <w:tcW w:w="0" w:type="auto"/>
            <w:shd w:val="clear" w:color="auto" w:fill="CCEEFF"/>
            <w:vAlign w:val="bottom"/>
            <w:hideMark/>
          </w:tcPr>
          <w:p w14:paraId="1200390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D9824B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0C49D2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1CCB402" w14:textId="77777777" w:rsidR="00000000" w:rsidRDefault="002F725F">
            <w:pPr>
              <w:jc w:val="right"/>
              <w:rPr>
                <w:rFonts w:eastAsia="Times New Roman"/>
                <w:sz w:val="20"/>
                <w:szCs w:val="20"/>
              </w:rPr>
            </w:pPr>
            <w:r>
              <w:rPr>
                <w:rFonts w:eastAsia="Times New Roman"/>
                <w:sz w:val="20"/>
                <w:szCs w:val="20"/>
              </w:rPr>
              <w:t>430.98</w:t>
            </w:r>
          </w:p>
        </w:tc>
        <w:tc>
          <w:tcPr>
            <w:tcW w:w="0" w:type="auto"/>
            <w:shd w:val="clear" w:color="auto" w:fill="CCEEFF"/>
            <w:vAlign w:val="bottom"/>
            <w:hideMark/>
          </w:tcPr>
          <w:p w14:paraId="3522935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A7AFF3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B9DCAE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F7EE027" w14:textId="77777777" w:rsidR="00000000" w:rsidRDefault="002F725F">
            <w:pPr>
              <w:jc w:val="right"/>
              <w:rPr>
                <w:rFonts w:eastAsia="Times New Roman"/>
                <w:sz w:val="20"/>
                <w:szCs w:val="20"/>
              </w:rPr>
            </w:pPr>
            <w:r>
              <w:rPr>
                <w:rFonts w:eastAsia="Times New Roman"/>
                <w:sz w:val="20"/>
                <w:szCs w:val="20"/>
              </w:rPr>
              <w:t>448.00</w:t>
            </w:r>
          </w:p>
        </w:tc>
        <w:tc>
          <w:tcPr>
            <w:tcW w:w="0" w:type="auto"/>
            <w:shd w:val="clear" w:color="auto" w:fill="CCEEFF"/>
            <w:vAlign w:val="bottom"/>
            <w:hideMark/>
          </w:tcPr>
          <w:p w14:paraId="216A344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2634D4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699327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E32524F" w14:textId="77777777" w:rsidR="00000000" w:rsidRDefault="002F725F">
            <w:pPr>
              <w:jc w:val="right"/>
              <w:rPr>
                <w:rFonts w:eastAsia="Times New Roman"/>
                <w:sz w:val="20"/>
                <w:szCs w:val="20"/>
              </w:rPr>
            </w:pPr>
            <w:r>
              <w:rPr>
                <w:rFonts w:eastAsia="Times New Roman"/>
                <w:sz w:val="20"/>
                <w:szCs w:val="20"/>
              </w:rPr>
              <w:t>463.01</w:t>
            </w:r>
          </w:p>
        </w:tc>
        <w:tc>
          <w:tcPr>
            <w:tcW w:w="0" w:type="auto"/>
            <w:shd w:val="clear" w:color="auto" w:fill="CCEEFF"/>
            <w:vAlign w:val="bottom"/>
            <w:hideMark/>
          </w:tcPr>
          <w:p w14:paraId="5B8C5EF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324016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7566D7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9B225AE" w14:textId="77777777" w:rsidR="00000000" w:rsidRDefault="002F725F">
            <w:pPr>
              <w:jc w:val="right"/>
              <w:rPr>
                <w:rFonts w:eastAsia="Times New Roman"/>
                <w:sz w:val="20"/>
                <w:szCs w:val="20"/>
              </w:rPr>
            </w:pPr>
            <w:r>
              <w:rPr>
                <w:rFonts w:eastAsia="Times New Roman"/>
                <w:sz w:val="20"/>
                <w:szCs w:val="20"/>
              </w:rPr>
              <w:t>468.31</w:t>
            </w:r>
          </w:p>
        </w:tc>
        <w:tc>
          <w:tcPr>
            <w:tcW w:w="0" w:type="auto"/>
            <w:shd w:val="clear" w:color="auto" w:fill="CCEEFF"/>
            <w:vAlign w:val="bottom"/>
            <w:hideMark/>
          </w:tcPr>
          <w:p w14:paraId="625C4792" w14:textId="77777777" w:rsidR="00000000" w:rsidRDefault="002F725F">
            <w:pPr>
              <w:rPr>
                <w:rFonts w:eastAsia="Times New Roman"/>
                <w:sz w:val="20"/>
                <w:szCs w:val="20"/>
              </w:rPr>
            </w:pPr>
            <w:r>
              <w:rPr>
                <w:rFonts w:eastAsia="Times New Roman"/>
                <w:sz w:val="20"/>
                <w:szCs w:val="20"/>
              </w:rPr>
              <w:t> </w:t>
            </w:r>
          </w:p>
        </w:tc>
      </w:tr>
      <w:tr w:rsidR="002F725F" w14:paraId="2F120172" w14:textId="77777777">
        <w:trPr>
          <w:divId w:val="415980837"/>
        </w:trPr>
        <w:tc>
          <w:tcPr>
            <w:tcW w:w="0" w:type="auto"/>
            <w:shd w:val="clear" w:color="auto" w:fill="FFFFFF"/>
            <w:tcMar>
              <w:top w:w="0" w:type="dxa"/>
              <w:left w:w="180" w:type="dxa"/>
              <w:bottom w:w="30" w:type="dxa"/>
              <w:right w:w="0" w:type="dxa"/>
            </w:tcMar>
            <w:vAlign w:val="bottom"/>
            <w:hideMark/>
          </w:tcPr>
          <w:p w14:paraId="73F8E6E1" w14:textId="77777777" w:rsidR="00000000" w:rsidRDefault="002F725F">
            <w:pPr>
              <w:ind w:hanging="180"/>
              <w:rPr>
                <w:rFonts w:eastAsia="Times New Roman"/>
                <w:b/>
                <w:bCs/>
                <w:sz w:val="20"/>
                <w:szCs w:val="20"/>
              </w:rPr>
            </w:pPr>
            <w:r>
              <w:rPr>
                <w:rFonts w:eastAsia="Times New Roman"/>
                <w:b/>
                <w:bCs/>
                <w:sz w:val="20"/>
                <w:szCs w:val="20"/>
              </w:rPr>
              <w:t>Margin %</w:t>
            </w:r>
          </w:p>
        </w:tc>
        <w:tc>
          <w:tcPr>
            <w:tcW w:w="0" w:type="auto"/>
            <w:shd w:val="clear" w:color="auto" w:fill="FFFFFF"/>
            <w:tcMar>
              <w:top w:w="0" w:type="dxa"/>
              <w:left w:w="0" w:type="dxa"/>
              <w:bottom w:w="30" w:type="dxa"/>
              <w:right w:w="0" w:type="dxa"/>
            </w:tcMar>
            <w:vAlign w:val="bottom"/>
            <w:hideMark/>
          </w:tcPr>
          <w:p w14:paraId="2EBE3D07"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5337EF9D"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23F02B1C" w14:textId="77777777" w:rsidR="00000000" w:rsidRDefault="002F725F">
            <w:pPr>
              <w:jc w:val="right"/>
              <w:rPr>
                <w:rFonts w:eastAsia="Times New Roman"/>
                <w:sz w:val="20"/>
                <w:szCs w:val="20"/>
              </w:rPr>
            </w:pPr>
            <w:r>
              <w:rPr>
                <w:rFonts w:eastAsia="Times New Roman"/>
                <w:sz w:val="20"/>
                <w:szCs w:val="20"/>
              </w:rPr>
              <w:t>77.92</w:t>
            </w:r>
          </w:p>
        </w:tc>
        <w:tc>
          <w:tcPr>
            <w:tcW w:w="0" w:type="auto"/>
            <w:shd w:val="clear" w:color="auto" w:fill="FFFFFF"/>
            <w:tcMar>
              <w:top w:w="0" w:type="dxa"/>
              <w:left w:w="0" w:type="dxa"/>
              <w:bottom w:w="30" w:type="dxa"/>
              <w:right w:w="0" w:type="dxa"/>
            </w:tcMar>
            <w:vAlign w:val="bottom"/>
            <w:hideMark/>
          </w:tcPr>
          <w:p w14:paraId="4FB2992D"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11AB428B"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72249740"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00CB5A68" w14:textId="77777777" w:rsidR="00000000" w:rsidRDefault="002F725F">
            <w:pPr>
              <w:jc w:val="right"/>
              <w:rPr>
                <w:rFonts w:eastAsia="Times New Roman"/>
                <w:sz w:val="20"/>
                <w:szCs w:val="20"/>
              </w:rPr>
            </w:pPr>
            <w:r>
              <w:rPr>
                <w:rFonts w:eastAsia="Times New Roman"/>
                <w:sz w:val="20"/>
                <w:szCs w:val="20"/>
              </w:rPr>
              <w:t>78.39</w:t>
            </w:r>
          </w:p>
        </w:tc>
        <w:tc>
          <w:tcPr>
            <w:tcW w:w="0" w:type="auto"/>
            <w:shd w:val="clear" w:color="auto" w:fill="FFFFFF"/>
            <w:tcMar>
              <w:top w:w="0" w:type="dxa"/>
              <w:left w:w="0" w:type="dxa"/>
              <w:bottom w:w="30" w:type="dxa"/>
              <w:right w:w="0" w:type="dxa"/>
            </w:tcMar>
            <w:vAlign w:val="bottom"/>
            <w:hideMark/>
          </w:tcPr>
          <w:p w14:paraId="1457E77B"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0B5806CC"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B09660F"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29D3A82" w14:textId="77777777" w:rsidR="00000000" w:rsidRDefault="002F725F">
            <w:pPr>
              <w:jc w:val="right"/>
              <w:rPr>
                <w:rFonts w:eastAsia="Times New Roman"/>
                <w:sz w:val="20"/>
                <w:szCs w:val="20"/>
              </w:rPr>
            </w:pPr>
            <w:r>
              <w:rPr>
                <w:rFonts w:eastAsia="Times New Roman"/>
                <w:sz w:val="20"/>
                <w:szCs w:val="20"/>
              </w:rPr>
              <w:t>79.50</w:t>
            </w:r>
          </w:p>
        </w:tc>
        <w:tc>
          <w:tcPr>
            <w:tcW w:w="0" w:type="auto"/>
            <w:shd w:val="clear" w:color="auto" w:fill="FFFFFF"/>
            <w:tcMar>
              <w:top w:w="0" w:type="dxa"/>
              <w:left w:w="0" w:type="dxa"/>
              <w:bottom w:w="30" w:type="dxa"/>
              <w:right w:w="0" w:type="dxa"/>
            </w:tcMar>
            <w:vAlign w:val="bottom"/>
            <w:hideMark/>
          </w:tcPr>
          <w:p w14:paraId="24DA6259"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68FBB0FE"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AC1F71D"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E31CA29" w14:textId="77777777" w:rsidR="00000000" w:rsidRDefault="002F725F">
            <w:pPr>
              <w:jc w:val="right"/>
              <w:rPr>
                <w:rFonts w:eastAsia="Times New Roman"/>
                <w:sz w:val="20"/>
                <w:szCs w:val="20"/>
              </w:rPr>
            </w:pPr>
            <w:r>
              <w:rPr>
                <w:rFonts w:eastAsia="Times New Roman"/>
                <w:sz w:val="20"/>
                <w:szCs w:val="20"/>
              </w:rPr>
              <w:t>80.20</w:t>
            </w:r>
          </w:p>
        </w:tc>
        <w:tc>
          <w:tcPr>
            <w:tcW w:w="0" w:type="auto"/>
            <w:shd w:val="clear" w:color="auto" w:fill="FFFFFF"/>
            <w:tcMar>
              <w:top w:w="0" w:type="dxa"/>
              <w:left w:w="0" w:type="dxa"/>
              <w:bottom w:w="30" w:type="dxa"/>
              <w:right w:w="0" w:type="dxa"/>
            </w:tcMar>
            <w:vAlign w:val="bottom"/>
            <w:hideMark/>
          </w:tcPr>
          <w:p w14:paraId="77254A54"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6CA164A2"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069E9F41"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0E503298" w14:textId="77777777" w:rsidR="00000000" w:rsidRDefault="002F725F">
            <w:pPr>
              <w:jc w:val="right"/>
              <w:rPr>
                <w:rFonts w:eastAsia="Times New Roman"/>
                <w:sz w:val="20"/>
                <w:szCs w:val="20"/>
              </w:rPr>
            </w:pPr>
            <w:r>
              <w:rPr>
                <w:rFonts w:eastAsia="Times New Roman"/>
                <w:sz w:val="20"/>
                <w:szCs w:val="20"/>
              </w:rPr>
              <w:t>81.18</w:t>
            </w:r>
          </w:p>
        </w:tc>
        <w:tc>
          <w:tcPr>
            <w:tcW w:w="0" w:type="auto"/>
            <w:shd w:val="clear" w:color="auto" w:fill="FFFFFF"/>
            <w:tcMar>
              <w:top w:w="0" w:type="dxa"/>
              <w:left w:w="0" w:type="dxa"/>
              <w:bottom w:w="30" w:type="dxa"/>
              <w:right w:w="0" w:type="dxa"/>
            </w:tcMar>
            <w:vAlign w:val="bottom"/>
            <w:hideMark/>
          </w:tcPr>
          <w:p w14:paraId="35B1AA9D"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7BEB281E"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076EF3FF"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6934318" w14:textId="77777777" w:rsidR="00000000" w:rsidRDefault="002F725F">
            <w:pPr>
              <w:jc w:val="right"/>
              <w:rPr>
                <w:rFonts w:eastAsia="Times New Roman"/>
                <w:sz w:val="20"/>
                <w:szCs w:val="20"/>
              </w:rPr>
            </w:pPr>
            <w:r>
              <w:rPr>
                <w:rFonts w:eastAsia="Times New Roman"/>
                <w:sz w:val="20"/>
                <w:szCs w:val="20"/>
              </w:rPr>
              <w:t>82.04</w:t>
            </w:r>
          </w:p>
        </w:tc>
        <w:tc>
          <w:tcPr>
            <w:tcW w:w="0" w:type="auto"/>
            <w:shd w:val="clear" w:color="auto" w:fill="FFFFFF"/>
            <w:tcMar>
              <w:top w:w="0" w:type="dxa"/>
              <w:left w:w="0" w:type="dxa"/>
              <w:bottom w:w="30" w:type="dxa"/>
              <w:right w:w="0" w:type="dxa"/>
            </w:tcMar>
            <w:vAlign w:val="bottom"/>
            <w:hideMark/>
          </w:tcPr>
          <w:p w14:paraId="1A81D82C"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024ECB68"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23DE09D5"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82BFAF0" w14:textId="77777777" w:rsidR="00000000" w:rsidRDefault="002F725F">
            <w:pPr>
              <w:jc w:val="right"/>
              <w:rPr>
                <w:rFonts w:eastAsia="Times New Roman"/>
                <w:sz w:val="20"/>
                <w:szCs w:val="20"/>
              </w:rPr>
            </w:pPr>
            <w:r>
              <w:rPr>
                <w:rFonts w:eastAsia="Times New Roman"/>
                <w:sz w:val="20"/>
                <w:szCs w:val="20"/>
              </w:rPr>
              <w:t>82.20</w:t>
            </w:r>
          </w:p>
        </w:tc>
        <w:tc>
          <w:tcPr>
            <w:tcW w:w="0" w:type="auto"/>
            <w:shd w:val="clear" w:color="auto" w:fill="FFFFFF"/>
            <w:tcMar>
              <w:top w:w="0" w:type="dxa"/>
              <w:left w:w="0" w:type="dxa"/>
              <w:bottom w:w="30" w:type="dxa"/>
              <w:right w:w="0" w:type="dxa"/>
            </w:tcMar>
            <w:vAlign w:val="bottom"/>
            <w:hideMark/>
          </w:tcPr>
          <w:p w14:paraId="6A468966" w14:textId="77777777" w:rsidR="00000000" w:rsidRDefault="002F725F">
            <w:pPr>
              <w:rPr>
                <w:rFonts w:eastAsia="Times New Roman"/>
                <w:sz w:val="20"/>
                <w:szCs w:val="20"/>
              </w:rPr>
            </w:pPr>
            <w:r>
              <w:rPr>
                <w:rFonts w:eastAsia="Times New Roman"/>
                <w:sz w:val="20"/>
                <w:szCs w:val="20"/>
              </w:rPr>
              <w:t>%</w:t>
            </w:r>
          </w:p>
        </w:tc>
      </w:tr>
      <w:tr w:rsidR="002F725F" w14:paraId="4CA43B23" w14:textId="77777777">
        <w:trPr>
          <w:divId w:val="415980837"/>
        </w:trPr>
        <w:tc>
          <w:tcPr>
            <w:tcW w:w="0" w:type="auto"/>
            <w:shd w:val="clear" w:color="auto" w:fill="CCEEFF"/>
            <w:tcMar>
              <w:top w:w="0" w:type="dxa"/>
              <w:left w:w="180" w:type="dxa"/>
              <w:bottom w:w="0" w:type="dxa"/>
              <w:right w:w="0" w:type="dxa"/>
            </w:tcMar>
            <w:vAlign w:val="bottom"/>
            <w:hideMark/>
          </w:tcPr>
          <w:p w14:paraId="60CE41C3" w14:textId="77777777" w:rsidR="00000000" w:rsidRDefault="002F725F">
            <w:pPr>
              <w:ind w:hanging="180"/>
              <w:rPr>
                <w:rFonts w:eastAsia="Times New Roman"/>
                <w:b/>
                <w:bCs/>
                <w:sz w:val="20"/>
                <w:szCs w:val="20"/>
              </w:rPr>
            </w:pPr>
            <w:r>
              <w:rPr>
                <w:rFonts w:eastAsia="Times New Roman"/>
                <w:b/>
                <w:bCs/>
                <w:sz w:val="20"/>
                <w:szCs w:val="20"/>
              </w:rPr>
              <w:t>EBIT</w:t>
            </w:r>
          </w:p>
        </w:tc>
        <w:tc>
          <w:tcPr>
            <w:tcW w:w="0" w:type="auto"/>
            <w:shd w:val="clear" w:color="auto" w:fill="CCEEFF"/>
            <w:vAlign w:val="bottom"/>
            <w:hideMark/>
          </w:tcPr>
          <w:p w14:paraId="63BDBD6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117803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D9EA47B" w14:textId="77777777" w:rsidR="00000000" w:rsidRDefault="002F725F">
            <w:pPr>
              <w:jc w:val="right"/>
              <w:rPr>
                <w:rFonts w:eastAsia="Times New Roman"/>
                <w:sz w:val="20"/>
                <w:szCs w:val="20"/>
              </w:rPr>
            </w:pPr>
            <w:r>
              <w:rPr>
                <w:rFonts w:eastAsia="Times New Roman"/>
                <w:sz w:val="20"/>
                <w:szCs w:val="20"/>
              </w:rPr>
              <w:t>22.96</w:t>
            </w:r>
          </w:p>
        </w:tc>
        <w:tc>
          <w:tcPr>
            <w:tcW w:w="0" w:type="auto"/>
            <w:shd w:val="clear" w:color="auto" w:fill="CCEEFF"/>
            <w:vAlign w:val="bottom"/>
            <w:hideMark/>
          </w:tcPr>
          <w:p w14:paraId="4A18EF1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999BDE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A16C0E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5F4098F" w14:textId="77777777" w:rsidR="00000000" w:rsidRDefault="002F725F">
            <w:pPr>
              <w:jc w:val="right"/>
              <w:rPr>
                <w:rFonts w:eastAsia="Times New Roman"/>
                <w:sz w:val="20"/>
                <w:szCs w:val="20"/>
              </w:rPr>
            </w:pPr>
            <w:r>
              <w:rPr>
                <w:rFonts w:eastAsia="Times New Roman"/>
                <w:sz w:val="20"/>
                <w:szCs w:val="20"/>
              </w:rPr>
              <w:t>45.54</w:t>
            </w:r>
          </w:p>
        </w:tc>
        <w:tc>
          <w:tcPr>
            <w:tcW w:w="0" w:type="auto"/>
            <w:shd w:val="clear" w:color="auto" w:fill="CCEEFF"/>
            <w:vAlign w:val="bottom"/>
            <w:hideMark/>
          </w:tcPr>
          <w:p w14:paraId="6E1F750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7D9BC0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7101A3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FCA5B24" w14:textId="77777777" w:rsidR="00000000" w:rsidRDefault="002F725F">
            <w:pPr>
              <w:jc w:val="right"/>
              <w:rPr>
                <w:rFonts w:eastAsia="Times New Roman"/>
                <w:sz w:val="20"/>
                <w:szCs w:val="20"/>
              </w:rPr>
            </w:pPr>
            <w:r>
              <w:rPr>
                <w:rFonts w:eastAsia="Times New Roman"/>
                <w:sz w:val="20"/>
                <w:szCs w:val="20"/>
              </w:rPr>
              <w:t>56.15</w:t>
            </w:r>
          </w:p>
        </w:tc>
        <w:tc>
          <w:tcPr>
            <w:tcW w:w="0" w:type="auto"/>
            <w:shd w:val="clear" w:color="auto" w:fill="CCEEFF"/>
            <w:vAlign w:val="bottom"/>
            <w:hideMark/>
          </w:tcPr>
          <w:p w14:paraId="61173F8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3ED1AD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A2CCE6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3F63243" w14:textId="77777777" w:rsidR="00000000" w:rsidRDefault="002F725F">
            <w:pPr>
              <w:jc w:val="right"/>
              <w:rPr>
                <w:rFonts w:eastAsia="Times New Roman"/>
                <w:sz w:val="20"/>
                <w:szCs w:val="20"/>
              </w:rPr>
            </w:pPr>
            <w:r>
              <w:rPr>
                <w:rFonts w:eastAsia="Times New Roman"/>
                <w:sz w:val="20"/>
                <w:szCs w:val="20"/>
              </w:rPr>
              <w:t>64.89</w:t>
            </w:r>
          </w:p>
        </w:tc>
        <w:tc>
          <w:tcPr>
            <w:tcW w:w="0" w:type="auto"/>
            <w:shd w:val="clear" w:color="auto" w:fill="CCEEFF"/>
            <w:vAlign w:val="bottom"/>
            <w:hideMark/>
          </w:tcPr>
          <w:p w14:paraId="06F2F1B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12F7D8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5EF768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EA36572" w14:textId="77777777" w:rsidR="00000000" w:rsidRDefault="002F725F">
            <w:pPr>
              <w:jc w:val="right"/>
              <w:rPr>
                <w:rFonts w:eastAsia="Times New Roman"/>
                <w:sz w:val="20"/>
                <w:szCs w:val="20"/>
              </w:rPr>
            </w:pPr>
            <w:r>
              <w:rPr>
                <w:rFonts w:eastAsia="Times New Roman"/>
                <w:sz w:val="20"/>
                <w:szCs w:val="20"/>
              </w:rPr>
              <w:t>68.18</w:t>
            </w:r>
          </w:p>
        </w:tc>
        <w:tc>
          <w:tcPr>
            <w:tcW w:w="0" w:type="auto"/>
            <w:shd w:val="clear" w:color="auto" w:fill="CCEEFF"/>
            <w:vAlign w:val="bottom"/>
            <w:hideMark/>
          </w:tcPr>
          <w:p w14:paraId="6D77B40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4428D2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82D903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7019A23" w14:textId="77777777" w:rsidR="00000000" w:rsidRDefault="002F725F">
            <w:pPr>
              <w:jc w:val="right"/>
              <w:rPr>
                <w:rFonts w:eastAsia="Times New Roman"/>
                <w:sz w:val="20"/>
                <w:szCs w:val="20"/>
              </w:rPr>
            </w:pPr>
            <w:r>
              <w:rPr>
                <w:rFonts w:eastAsia="Times New Roman"/>
                <w:sz w:val="20"/>
                <w:szCs w:val="20"/>
              </w:rPr>
              <w:t>74.72</w:t>
            </w:r>
          </w:p>
        </w:tc>
        <w:tc>
          <w:tcPr>
            <w:tcW w:w="0" w:type="auto"/>
            <w:shd w:val="clear" w:color="auto" w:fill="CCEEFF"/>
            <w:vAlign w:val="bottom"/>
            <w:hideMark/>
          </w:tcPr>
          <w:p w14:paraId="138337F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C06ACF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72635F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FF1A524" w14:textId="77777777" w:rsidR="00000000" w:rsidRDefault="002F725F">
            <w:pPr>
              <w:jc w:val="right"/>
              <w:rPr>
                <w:rFonts w:eastAsia="Times New Roman"/>
                <w:sz w:val="20"/>
                <w:szCs w:val="20"/>
              </w:rPr>
            </w:pPr>
            <w:r>
              <w:rPr>
                <w:rFonts w:eastAsia="Times New Roman"/>
                <w:sz w:val="20"/>
                <w:szCs w:val="20"/>
              </w:rPr>
              <w:t>75.44</w:t>
            </w:r>
          </w:p>
        </w:tc>
        <w:tc>
          <w:tcPr>
            <w:tcW w:w="0" w:type="auto"/>
            <w:shd w:val="clear" w:color="auto" w:fill="CCEEFF"/>
            <w:vAlign w:val="bottom"/>
            <w:hideMark/>
          </w:tcPr>
          <w:p w14:paraId="64593071" w14:textId="77777777" w:rsidR="00000000" w:rsidRDefault="002F725F">
            <w:pPr>
              <w:rPr>
                <w:rFonts w:eastAsia="Times New Roman"/>
                <w:sz w:val="20"/>
                <w:szCs w:val="20"/>
              </w:rPr>
            </w:pPr>
            <w:r>
              <w:rPr>
                <w:rFonts w:eastAsia="Times New Roman"/>
                <w:sz w:val="20"/>
                <w:szCs w:val="20"/>
              </w:rPr>
              <w:t> </w:t>
            </w:r>
          </w:p>
        </w:tc>
      </w:tr>
      <w:tr w:rsidR="002F725F" w14:paraId="0DA46067" w14:textId="77777777">
        <w:trPr>
          <w:divId w:val="415980837"/>
        </w:trPr>
        <w:tc>
          <w:tcPr>
            <w:tcW w:w="0" w:type="auto"/>
            <w:shd w:val="clear" w:color="auto" w:fill="FFFFFF"/>
            <w:tcMar>
              <w:top w:w="0" w:type="dxa"/>
              <w:left w:w="180" w:type="dxa"/>
              <w:bottom w:w="0" w:type="dxa"/>
              <w:right w:w="0" w:type="dxa"/>
            </w:tcMar>
            <w:vAlign w:val="bottom"/>
            <w:hideMark/>
          </w:tcPr>
          <w:p w14:paraId="537D909F" w14:textId="77777777" w:rsidR="00000000" w:rsidRDefault="002F725F">
            <w:pPr>
              <w:ind w:hanging="180"/>
              <w:rPr>
                <w:rFonts w:eastAsia="Times New Roman"/>
                <w:b/>
                <w:bCs/>
                <w:sz w:val="20"/>
                <w:szCs w:val="20"/>
              </w:rPr>
            </w:pPr>
            <w:r>
              <w:rPr>
                <w:rFonts w:eastAsia="Times New Roman"/>
                <w:b/>
                <w:bCs/>
                <w:sz w:val="20"/>
                <w:szCs w:val="20"/>
              </w:rPr>
              <w:t>Margin %</w:t>
            </w:r>
          </w:p>
        </w:tc>
        <w:tc>
          <w:tcPr>
            <w:tcW w:w="0" w:type="auto"/>
            <w:shd w:val="clear" w:color="auto" w:fill="FFFFFF"/>
            <w:vAlign w:val="bottom"/>
            <w:hideMark/>
          </w:tcPr>
          <w:p w14:paraId="1321F49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8B1DE2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AA3B9E8" w14:textId="77777777" w:rsidR="00000000" w:rsidRDefault="002F725F">
            <w:pPr>
              <w:jc w:val="right"/>
              <w:rPr>
                <w:rFonts w:eastAsia="Times New Roman"/>
                <w:sz w:val="20"/>
                <w:szCs w:val="20"/>
              </w:rPr>
            </w:pPr>
            <w:r>
              <w:rPr>
                <w:rFonts w:eastAsia="Times New Roman"/>
                <w:sz w:val="20"/>
                <w:szCs w:val="20"/>
              </w:rPr>
              <w:t>4.30</w:t>
            </w:r>
          </w:p>
        </w:tc>
        <w:tc>
          <w:tcPr>
            <w:tcW w:w="0" w:type="auto"/>
            <w:shd w:val="clear" w:color="auto" w:fill="FFFFFF"/>
            <w:vAlign w:val="bottom"/>
            <w:hideMark/>
          </w:tcPr>
          <w:p w14:paraId="761FE746"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40F85B2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2CD77E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F7CB99E" w14:textId="77777777" w:rsidR="00000000" w:rsidRDefault="002F725F">
            <w:pPr>
              <w:jc w:val="right"/>
              <w:rPr>
                <w:rFonts w:eastAsia="Times New Roman"/>
                <w:sz w:val="20"/>
                <w:szCs w:val="20"/>
              </w:rPr>
            </w:pPr>
            <w:r>
              <w:rPr>
                <w:rFonts w:eastAsia="Times New Roman"/>
                <w:sz w:val="20"/>
                <w:szCs w:val="20"/>
              </w:rPr>
              <w:t>8.59</w:t>
            </w:r>
          </w:p>
        </w:tc>
        <w:tc>
          <w:tcPr>
            <w:tcW w:w="0" w:type="auto"/>
            <w:shd w:val="clear" w:color="auto" w:fill="FFFFFF"/>
            <w:vAlign w:val="bottom"/>
            <w:hideMark/>
          </w:tcPr>
          <w:p w14:paraId="1EE9DC29"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0CAFCAD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F04771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958710F" w14:textId="77777777" w:rsidR="00000000" w:rsidRDefault="002F725F">
            <w:pPr>
              <w:jc w:val="right"/>
              <w:rPr>
                <w:rFonts w:eastAsia="Times New Roman"/>
                <w:sz w:val="20"/>
                <w:szCs w:val="20"/>
              </w:rPr>
            </w:pPr>
            <w:r>
              <w:rPr>
                <w:rFonts w:eastAsia="Times New Roman"/>
                <w:sz w:val="20"/>
                <w:szCs w:val="20"/>
              </w:rPr>
              <w:t>10.52</w:t>
            </w:r>
          </w:p>
        </w:tc>
        <w:tc>
          <w:tcPr>
            <w:tcW w:w="0" w:type="auto"/>
            <w:shd w:val="clear" w:color="auto" w:fill="FFFFFF"/>
            <w:vAlign w:val="bottom"/>
            <w:hideMark/>
          </w:tcPr>
          <w:p w14:paraId="50F63AE5"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113E332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A3CBEA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76AC697" w14:textId="77777777" w:rsidR="00000000" w:rsidRDefault="002F725F">
            <w:pPr>
              <w:jc w:val="right"/>
              <w:rPr>
                <w:rFonts w:eastAsia="Times New Roman"/>
                <w:sz w:val="20"/>
                <w:szCs w:val="20"/>
              </w:rPr>
            </w:pPr>
            <w:r>
              <w:rPr>
                <w:rFonts w:eastAsia="Times New Roman"/>
                <w:sz w:val="20"/>
                <w:szCs w:val="20"/>
              </w:rPr>
              <w:t>12.08</w:t>
            </w:r>
          </w:p>
        </w:tc>
        <w:tc>
          <w:tcPr>
            <w:tcW w:w="0" w:type="auto"/>
            <w:shd w:val="clear" w:color="auto" w:fill="FFFFFF"/>
            <w:vAlign w:val="bottom"/>
            <w:hideMark/>
          </w:tcPr>
          <w:p w14:paraId="465151FE"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38C34D8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781D5C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AF269A4" w14:textId="77777777" w:rsidR="00000000" w:rsidRDefault="002F725F">
            <w:pPr>
              <w:jc w:val="right"/>
              <w:rPr>
                <w:rFonts w:eastAsia="Times New Roman"/>
                <w:sz w:val="20"/>
                <w:szCs w:val="20"/>
              </w:rPr>
            </w:pPr>
            <w:r>
              <w:rPr>
                <w:rFonts w:eastAsia="Times New Roman"/>
                <w:sz w:val="20"/>
                <w:szCs w:val="20"/>
              </w:rPr>
              <w:t>12.35</w:t>
            </w:r>
          </w:p>
        </w:tc>
        <w:tc>
          <w:tcPr>
            <w:tcW w:w="0" w:type="auto"/>
            <w:shd w:val="clear" w:color="auto" w:fill="FFFFFF"/>
            <w:vAlign w:val="bottom"/>
            <w:hideMark/>
          </w:tcPr>
          <w:p w14:paraId="10CB7D37"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698F692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DC172D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15F064F" w14:textId="77777777" w:rsidR="00000000" w:rsidRDefault="002F725F">
            <w:pPr>
              <w:jc w:val="right"/>
              <w:rPr>
                <w:rFonts w:eastAsia="Times New Roman"/>
                <w:sz w:val="20"/>
                <w:szCs w:val="20"/>
              </w:rPr>
            </w:pPr>
            <w:r>
              <w:rPr>
                <w:rFonts w:eastAsia="Times New Roman"/>
                <w:sz w:val="20"/>
                <w:szCs w:val="20"/>
              </w:rPr>
              <w:t>13.24</w:t>
            </w:r>
          </w:p>
        </w:tc>
        <w:tc>
          <w:tcPr>
            <w:tcW w:w="0" w:type="auto"/>
            <w:shd w:val="clear" w:color="auto" w:fill="FFFFFF"/>
            <w:vAlign w:val="bottom"/>
            <w:hideMark/>
          </w:tcPr>
          <w:p w14:paraId="7581CFA0"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10071F8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C51D90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B00EBD0" w14:textId="77777777" w:rsidR="00000000" w:rsidRDefault="002F725F">
            <w:pPr>
              <w:jc w:val="right"/>
              <w:rPr>
                <w:rFonts w:eastAsia="Times New Roman"/>
                <w:sz w:val="20"/>
                <w:szCs w:val="20"/>
              </w:rPr>
            </w:pPr>
            <w:r>
              <w:rPr>
                <w:rFonts w:eastAsia="Times New Roman"/>
                <w:sz w:val="20"/>
                <w:szCs w:val="20"/>
              </w:rPr>
              <w:t>13.24</w:t>
            </w:r>
          </w:p>
        </w:tc>
        <w:tc>
          <w:tcPr>
            <w:tcW w:w="0" w:type="auto"/>
            <w:shd w:val="clear" w:color="auto" w:fill="FFFFFF"/>
            <w:vAlign w:val="bottom"/>
            <w:hideMark/>
          </w:tcPr>
          <w:p w14:paraId="1D6382FA" w14:textId="77777777" w:rsidR="00000000" w:rsidRDefault="002F725F">
            <w:pPr>
              <w:rPr>
                <w:rFonts w:eastAsia="Times New Roman"/>
                <w:sz w:val="20"/>
                <w:szCs w:val="20"/>
              </w:rPr>
            </w:pPr>
            <w:r>
              <w:rPr>
                <w:rFonts w:eastAsia="Times New Roman"/>
                <w:sz w:val="20"/>
                <w:szCs w:val="20"/>
              </w:rPr>
              <w:t>%</w:t>
            </w:r>
          </w:p>
        </w:tc>
      </w:tr>
      <w:tr w:rsidR="002F725F" w14:paraId="4A3228C3" w14:textId="77777777">
        <w:trPr>
          <w:divId w:val="415980837"/>
        </w:trPr>
        <w:tc>
          <w:tcPr>
            <w:tcW w:w="0" w:type="auto"/>
            <w:shd w:val="clear" w:color="auto" w:fill="CCEEFF"/>
            <w:tcMar>
              <w:top w:w="0" w:type="dxa"/>
              <w:left w:w="180" w:type="dxa"/>
              <w:bottom w:w="0" w:type="dxa"/>
              <w:right w:w="0" w:type="dxa"/>
            </w:tcMar>
            <w:vAlign w:val="bottom"/>
            <w:hideMark/>
          </w:tcPr>
          <w:p w14:paraId="76131001" w14:textId="77777777" w:rsidR="00000000" w:rsidRDefault="002F725F">
            <w:pPr>
              <w:ind w:hanging="180"/>
              <w:rPr>
                <w:rFonts w:eastAsia="Times New Roman"/>
                <w:b/>
                <w:bCs/>
                <w:sz w:val="20"/>
                <w:szCs w:val="20"/>
              </w:rPr>
            </w:pPr>
            <w:r>
              <w:rPr>
                <w:rFonts w:eastAsia="Times New Roman"/>
                <w:b/>
                <w:bCs/>
                <w:sz w:val="20"/>
                <w:szCs w:val="20"/>
              </w:rPr>
              <w:t>Capital Expenditures</w:t>
            </w:r>
          </w:p>
        </w:tc>
        <w:tc>
          <w:tcPr>
            <w:tcW w:w="0" w:type="auto"/>
            <w:shd w:val="clear" w:color="auto" w:fill="CCEEFF"/>
            <w:vAlign w:val="bottom"/>
            <w:hideMark/>
          </w:tcPr>
          <w:p w14:paraId="5459E63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7E2469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EBBE56D" w14:textId="77777777" w:rsidR="00000000" w:rsidRDefault="002F725F">
            <w:pPr>
              <w:jc w:val="right"/>
              <w:rPr>
                <w:rFonts w:eastAsia="Times New Roman"/>
                <w:sz w:val="20"/>
                <w:szCs w:val="20"/>
              </w:rPr>
            </w:pPr>
            <w:r>
              <w:rPr>
                <w:rFonts w:eastAsia="Times New Roman"/>
                <w:sz w:val="20"/>
                <w:szCs w:val="20"/>
              </w:rPr>
              <w:t>9.00</w:t>
            </w:r>
          </w:p>
        </w:tc>
        <w:tc>
          <w:tcPr>
            <w:tcW w:w="0" w:type="auto"/>
            <w:shd w:val="clear" w:color="auto" w:fill="CCEEFF"/>
            <w:vAlign w:val="bottom"/>
            <w:hideMark/>
          </w:tcPr>
          <w:p w14:paraId="695D721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0EFDBD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CD1930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F018DA5" w14:textId="77777777" w:rsidR="00000000" w:rsidRDefault="002F725F">
            <w:pPr>
              <w:jc w:val="right"/>
              <w:rPr>
                <w:rFonts w:eastAsia="Times New Roman"/>
                <w:sz w:val="20"/>
                <w:szCs w:val="20"/>
              </w:rPr>
            </w:pPr>
            <w:r>
              <w:rPr>
                <w:rFonts w:eastAsia="Times New Roman"/>
                <w:sz w:val="20"/>
                <w:szCs w:val="20"/>
              </w:rPr>
              <w:t>8.50</w:t>
            </w:r>
          </w:p>
        </w:tc>
        <w:tc>
          <w:tcPr>
            <w:tcW w:w="0" w:type="auto"/>
            <w:shd w:val="clear" w:color="auto" w:fill="CCEEFF"/>
            <w:vAlign w:val="bottom"/>
            <w:hideMark/>
          </w:tcPr>
          <w:p w14:paraId="19A3A53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6062A9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59D97A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9CF1073" w14:textId="77777777" w:rsidR="00000000" w:rsidRDefault="002F725F">
            <w:pPr>
              <w:jc w:val="right"/>
              <w:rPr>
                <w:rFonts w:eastAsia="Times New Roman"/>
                <w:sz w:val="20"/>
                <w:szCs w:val="20"/>
              </w:rPr>
            </w:pPr>
            <w:r>
              <w:rPr>
                <w:rFonts w:eastAsia="Times New Roman"/>
                <w:sz w:val="20"/>
                <w:szCs w:val="20"/>
              </w:rPr>
              <w:t>9.00</w:t>
            </w:r>
          </w:p>
        </w:tc>
        <w:tc>
          <w:tcPr>
            <w:tcW w:w="0" w:type="auto"/>
            <w:shd w:val="clear" w:color="auto" w:fill="CCEEFF"/>
            <w:vAlign w:val="bottom"/>
            <w:hideMark/>
          </w:tcPr>
          <w:p w14:paraId="07B6C32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9696B9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C50363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C3D0A6B" w14:textId="77777777" w:rsidR="00000000" w:rsidRDefault="002F725F">
            <w:pPr>
              <w:jc w:val="right"/>
              <w:rPr>
                <w:rFonts w:eastAsia="Times New Roman"/>
                <w:sz w:val="20"/>
                <w:szCs w:val="20"/>
              </w:rPr>
            </w:pPr>
            <w:r>
              <w:rPr>
                <w:rFonts w:eastAsia="Times New Roman"/>
                <w:sz w:val="20"/>
                <w:szCs w:val="20"/>
              </w:rPr>
              <w:t>10.00</w:t>
            </w:r>
          </w:p>
        </w:tc>
        <w:tc>
          <w:tcPr>
            <w:tcW w:w="0" w:type="auto"/>
            <w:shd w:val="clear" w:color="auto" w:fill="CCEEFF"/>
            <w:vAlign w:val="bottom"/>
            <w:hideMark/>
          </w:tcPr>
          <w:p w14:paraId="6CC558F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9F2575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10C8DC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9A7CC7B" w14:textId="77777777" w:rsidR="00000000" w:rsidRDefault="002F725F">
            <w:pPr>
              <w:jc w:val="right"/>
              <w:rPr>
                <w:rFonts w:eastAsia="Times New Roman"/>
                <w:sz w:val="20"/>
                <w:szCs w:val="20"/>
              </w:rPr>
            </w:pPr>
            <w:r>
              <w:rPr>
                <w:rFonts w:eastAsia="Times New Roman"/>
                <w:sz w:val="20"/>
                <w:szCs w:val="20"/>
              </w:rPr>
              <w:t>11.00</w:t>
            </w:r>
          </w:p>
        </w:tc>
        <w:tc>
          <w:tcPr>
            <w:tcW w:w="0" w:type="auto"/>
            <w:shd w:val="clear" w:color="auto" w:fill="CCEEFF"/>
            <w:vAlign w:val="bottom"/>
            <w:hideMark/>
          </w:tcPr>
          <w:p w14:paraId="255C659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4B1788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76A328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022450F" w14:textId="77777777" w:rsidR="00000000" w:rsidRDefault="002F725F">
            <w:pPr>
              <w:jc w:val="right"/>
              <w:rPr>
                <w:rFonts w:eastAsia="Times New Roman"/>
                <w:sz w:val="20"/>
                <w:szCs w:val="20"/>
              </w:rPr>
            </w:pPr>
            <w:r>
              <w:rPr>
                <w:rFonts w:eastAsia="Times New Roman"/>
                <w:sz w:val="20"/>
                <w:szCs w:val="20"/>
              </w:rPr>
              <w:t>12.00</w:t>
            </w:r>
          </w:p>
        </w:tc>
        <w:tc>
          <w:tcPr>
            <w:tcW w:w="0" w:type="auto"/>
            <w:shd w:val="clear" w:color="auto" w:fill="CCEEFF"/>
            <w:vAlign w:val="bottom"/>
            <w:hideMark/>
          </w:tcPr>
          <w:p w14:paraId="0DC0114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C6315C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0463B7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1653B52" w14:textId="77777777" w:rsidR="00000000" w:rsidRDefault="002F725F">
            <w:pPr>
              <w:jc w:val="right"/>
              <w:rPr>
                <w:rFonts w:eastAsia="Times New Roman"/>
                <w:sz w:val="20"/>
                <w:szCs w:val="20"/>
              </w:rPr>
            </w:pPr>
            <w:r>
              <w:rPr>
                <w:rFonts w:eastAsia="Times New Roman"/>
                <w:sz w:val="20"/>
                <w:szCs w:val="20"/>
              </w:rPr>
              <w:t>13.00</w:t>
            </w:r>
          </w:p>
        </w:tc>
        <w:tc>
          <w:tcPr>
            <w:tcW w:w="0" w:type="auto"/>
            <w:shd w:val="clear" w:color="auto" w:fill="CCEEFF"/>
            <w:vAlign w:val="bottom"/>
            <w:hideMark/>
          </w:tcPr>
          <w:p w14:paraId="63A19DDE" w14:textId="77777777" w:rsidR="00000000" w:rsidRDefault="002F725F">
            <w:pPr>
              <w:rPr>
                <w:rFonts w:eastAsia="Times New Roman"/>
                <w:sz w:val="20"/>
                <w:szCs w:val="20"/>
              </w:rPr>
            </w:pPr>
            <w:r>
              <w:rPr>
                <w:rFonts w:eastAsia="Times New Roman"/>
                <w:sz w:val="20"/>
                <w:szCs w:val="20"/>
              </w:rPr>
              <w:t> </w:t>
            </w:r>
          </w:p>
        </w:tc>
      </w:tr>
      <w:tr w:rsidR="002F725F" w14:paraId="62C8CD19" w14:textId="77777777">
        <w:trPr>
          <w:divId w:val="415980837"/>
        </w:trPr>
        <w:tc>
          <w:tcPr>
            <w:tcW w:w="0" w:type="auto"/>
            <w:shd w:val="clear" w:color="auto" w:fill="FFFFFF"/>
            <w:tcMar>
              <w:top w:w="0" w:type="dxa"/>
              <w:left w:w="180" w:type="dxa"/>
              <w:bottom w:w="30" w:type="dxa"/>
              <w:right w:w="0" w:type="dxa"/>
            </w:tcMar>
            <w:vAlign w:val="bottom"/>
            <w:hideMark/>
          </w:tcPr>
          <w:p w14:paraId="015295E3" w14:textId="77777777" w:rsidR="00000000" w:rsidRDefault="002F725F">
            <w:pPr>
              <w:ind w:hanging="180"/>
              <w:rPr>
                <w:rFonts w:eastAsia="Times New Roman"/>
                <w:b/>
                <w:bCs/>
                <w:sz w:val="20"/>
                <w:szCs w:val="20"/>
              </w:rPr>
            </w:pPr>
            <w:r>
              <w:rPr>
                <w:rFonts w:eastAsia="Times New Roman"/>
                <w:b/>
                <w:bCs/>
                <w:sz w:val="20"/>
                <w:szCs w:val="20"/>
              </w:rPr>
              <w:t>Net Working Capital</w:t>
            </w:r>
          </w:p>
        </w:tc>
        <w:tc>
          <w:tcPr>
            <w:tcW w:w="0" w:type="auto"/>
            <w:shd w:val="clear" w:color="auto" w:fill="FFFFFF"/>
            <w:tcMar>
              <w:top w:w="0" w:type="dxa"/>
              <w:left w:w="0" w:type="dxa"/>
              <w:bottom w:w="30" w:type="dxa"/>
              <w:right w:w="0" w:type="dxa"/>
            </w:tcMar>
            <w:vAlign w:val="bottom"/>
            <w:hideMark/>
          </w:tcPr>
          <w:p w14:paraId="584CDF29"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819FC7E"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37F82F7D" w14:textId="77777777" w:rsidR="00000000" w:rsidRDefault="002F725F">
            <w:pPr>
              <w:jc w:val="right"/>
              <w:rPr>
                <w:rFonts w:eastAsia="Times New Roman"/>
                <w:sz w:val="20"/>
                <w:szCs w:val="20"/>
              </w:rPr>
            </w:pPr>
            <w:r>
              <w:rPr>
                <w:rFonts w:eastAsia="Times New Roman"/>
                <w:sz w:val="20"/>
                <w:szCs w:val="20"/>
              </w:rPr>
              <w:t>386.17</w:t>
            </w:r>
          </w:p>
        </w:tc>
        <w:tc>
          <w:tcPr>
            <w:tcW w:w="0" w:type="auto"/>
            <w:shd w:val="clear" w:color="auto" w:fill="FFFFFF"/>
            <w:tcMar>
              <w:top w:w="0" w:type="dxa"/>
              <w:left w:w="0" w:type="dxa"/>
              <w:bottom w:w="30" w:type="dxa"/>
              <w:right w:w="0" w:type="dxa"/>
            </w:tcMar>
            <w:vAlign w:val="bottom"/>
            <w:hideMark/>
          </w:tcPr>
          <w:p w14:paraId="47428D5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5F357F59"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22636861"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5AA80C0E" w14:textId="77777777" w:rsidR="00000000" w:rsidRDefault="002F725F">
            <w:pPr>
              <w:jc w:val="right"/>
              <w:rPr>
                <w:rFonts w:eastAsia="Times New Roman"/>
                <w:sz w:val="20"/>
                <w:szCs w:val="20"/>
              </w:rPr>
            </w:pPr>
            <w:r>
              <w:rPr>
                <w:rFonts w:eastAsia="Times New Roman"/>
                <w:sz w:val="20"/>
                <w:szCs w:val="20"/>
              </w:rPr>
              <w:t>410.27</w:t>
            </w:r>
          </w:p>
        </w:tc>
        <w:tc>
          <w:tcPr>
            <w:tcW w:w="0" w:type="auto"/>
            <w:shd w:val="clear" w:color="auto" w:fill="FFFFFF"/>
            <w:tcMar>
              <w:top w:w="0" w:type="dxa"/>
              <w:left w:w="0" w:type="dxa"/>
              <w:bottom w:w="30" w:type="dxa"/>
              <w:right w:w="0" w:type="dxa"/>
            </w:tcMar>
            <w:vAlign w:val="bottom"/>
            <w:hideMark/>
          </w:tcPr>
          <w:p w14:paraId="7BE3657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5DB8E4D7"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92FFF20"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15B1B21" w14:textId="77777777" w:rsidR="00000000" w:rsidRDefault="002F725F">
            <w:pPr>
              <w:jc w:val="right"/>
              <w:rPr>
                <w:rFonts w:eastAsia="Times New Roman"/>
                <w:sz w:val="20"/>
                <w:szCs w:val="20"/>
              </w:rPr>
            </w:pPr>
            <w:r>
              <w:rPr>
                <w:rFonts w:eastAsia="Times New Roman"/>
                <w:sz w:val="20"/>
                <w:szCs w:val="20"/>
              </w:rPr>
              <w:t>407.11</w:t>
            </w:r>
          </w:p>
        </w:tc>
        <w:tc>
          <w:tcPr>
            <w:tcW w:w="0" w:type="auto"/>
            <w:shd w:val="clear" w:color="auto" w:fill="FFFFFF"/>
            <w:tcMar>
              <w:top w:w="0" w:type="dxa"/>
              <w:left w:w="0" w:type="dxa"/>
              <w:bottom w:w="30" w:type="dxa"/>
              <w:right w:w="0" w:type="dxa"/>
            </w:tcMar>
            <w:vAlign w:val="bottom"/>
            <w:hideMark/>
          </w:tcPr>
          <w:p w14:paraId="7F2CBD2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72610D74"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04E1341"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E455EAF" w14:textId="77777777" w:rsidR="00000000" w:rsidRDefault="002F725F">
            <w:pPr>
              <w:jc w:val="right"/>
              <w:rPr>
                <w:rFonts w:eastAsia="Times New Roman"/>
                <w:sz w:val="20"/>
                <w:szCs w:val="20"/>
              </w:rPr>
            </w:pPr>
            <w:r>
              <w:rPr>
                <w:rFonts w:eastAsia="Times New Roman"/>
                <w:sz w:val="20"/>
                <w:szCs w:val="20"/>
              </w:rPr>
              <w:t>422.26</w:t>
            </w:r>
          </w:p>
        </w:tc>
        <w:tc>
          <w:tcPr>
            <w:tcW w:w="0" w:type="auto"/>
            <w:shd w:val="clear" w:color="auto" w:fill="FFFFFF"/>
            <w:tcMar>
              <w:top w:w="0" w:type="dxa"/>
              <w:left w:w="0" w:type="dxa"/>
              <w:bottom w:w="30" w:type="dxa"/>
              <w:right w:w="0" w:type="dxa"/>
            </w:tcMar>
            <w:vAlign w:val="bottom"/>
            <w:hideMark/>
          </w:tcPr>
          <w:p w14:paraId="664E30A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60AD184F"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B8A7DE4"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3B0C82F3" w14:textId="77777777" w:rsidR="00000000" w:rsidRDefault="002F725F">
            <w:pPr>
              <w:jc w:val="right"/>
              <w:rPr>
                <w:rFonts w:eastAsia="Times New Roman"/>
                <w:sz w:val="20"/>
                <w:szCs w:val="20"/>
              </w:rPr>
            </w:pPr>
            <w:r>
              <w:rPr>
                <w:rFonts w:eastAsia="Times New Roman"/>
                <w:sz w:val="20"/>
                <w:szCs w:val="20"/>
              </w:rPr>
              <w:t>435.20</w:t>
            </w:r>
          </w:p>
        </w:tc>
        <w:tc>
          <w:tcPr>
            <w:tcW w:w="0" w:type="auto"/>
            <w:shd w:val="clear" w:color="auto" w:fill="FFFFFF"/>
            <w:tcMar>
              <w:top w:w="0" w:type="dxa"/>
              <w:left w:w="0" w:type="dxa"/>
              <w:bottom w:w="30" w:type="dxa"/>
              <w:right w:w="0" w:type="dxa"/>
            </w:tcMar>
            <w:vAlign w:val="bottom"/>
            <w:hideMark/>
          </w:tcPr>
          <w:p w14:paraId="6A08662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5F433FF4"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31F95B6B"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634E14D" w14:textId="77777777" w:rsidR="00000000" w:rsidRDefault="002F725F">
            <w:pPr>
              <w:jc w:val="right"/>
              <w:rPr>
                <w:rFonts w:eastAsia="Times New Roman"/>
                <w:sz w:val="20"/>
                <w:szCs w:val="20"/>
              </w:rPr>
            </w:pPr>
            <w:r>
              <w:rPr>
                <w:rFonts w:eastAsia="Times New Roman"/>
                <w:sz w:val="20"/>
                <w:szCs w:val="20"/>
              </w:rPr>
              <w:t>435.51</w:t>
            </w:r>
          </w:p>
        </w:tc>
        <w:tc>
          <w:tcPr>
            <w:tcW w:w="0" w:type="auto"/>
            <w:shd w:val="clear" w:color="auto" w:fill="FFFFFF"/>
            <w:tcMar>
              <w:top w:w="0" w:type="dxa"/>
              <w:left w:w="0" w:type="dxa"/>
              <w:bottom w:w="30" w:type="dxa"/>
              <w:right w:w="0" w:type="dxa"/>
            </w:tcMar>
            <w:vAlign w:val="bottom"/>
            <w:hideMark/>
          </w:tcPr>
          <w:p w14:paraId="75B4211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1A671CB8"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00C587E7"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34FB6037" w14:textId="77777777" w:rsidR="00000000" w:rsidRDefault="002F725F">
            <w:pPr>
              <w:jc w:val="right"/>
              <w:rPr>
                <w:rFonts w:eastAsia="Times New Roman"/>
                <w:sz w:val="20"/>
                <w:szCs w:val="20"/>
              </w:rPr>
            </w:pPr>
            <w:r>
              <w:rPr>
                <w:rFonts w:eastAsia="Times New Roman"/>
                <w:sz w:val="20"/>
                <w:szCs w:val="20"/>
              </w:rPr>
              <w:t>436.69</w:t>
            </w:r>
          </w:p>
        </w:tc>
        <w:tc>
          <w:tcPr>
            <w:tcW w:w="0" w:type="auto"/>
            <w:shd w:val="clear" w:color="auto" w:fill="FFFFFF"/>
            <w:tcMar>
              <w:top w:w="0" w:type="dxa"/>
              <w:left w:w="0" w:type="dxa"/>
              <w:bottom w:w="30" w:type="dxa"/>
              <w:right w:w="0" w:type="dxa"/>
            </w:tcMar>
            <w:vAlign w:val="bottom"/>
            <w:hideMark/>
          </w:tcPr>
          <w:p w14:paraId="2AA6F9C5" w14:textId="77777777" w:rsidR="00000000" w:rsidRDefault="002F725F">
            <w:pPr>
              <w:rPr>
                <w:rFonts w:eastAsia="Times New Roman"/>
                <w:sz w:val="20"/>
                <w:szCs w:val="20"/>
              </w:rPr>
            </w:pPr>
            <w:r>
              <w:rPr>
                <w:rFonts w:eastAsia="Times New Roman"/>
                <w:sz w:val="20"/>
                <w:szCs w:val="20"/>
              </w:rPr>
              <w:t> </w:t>
            </w:r>
          </w:p>
        </w:tc>
      </w:tr>
    </w:tbl>
    <w:p w14:paraId="4C71281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C1AC63B" w14:textId="77777777" w:rsidR="00000000" w:rsidRDefault="002F725F">
      <w:pPr>
        <w:pStyle w:val="NormalWeb"/>
        <w:spacing w:before="0" w:beforeAutospacing="0" w:after="0" w:afterAutospacing="0"/>
        <w:divId w:val="415980837"/>
        <w:rPr>
          <w:sz w:val="20"/>
          <w:szCs w:val="20"/>
        </w:rPr>
      </w:pPr>
      <w:r>
        <w:rPr>
          <w:sz w:val="20"/>
          <w:szCs w:val="20"/>
        </w:rPr>
        <w:t>Notes:</w:t>
      </w:r>
    </w:p>
    <w:p w14:paraId="1A3385CD" w14:textId="77777777" w:rsidR="00000000" w:rsidRDefault="002F725F">
      <w:pPr>
        <w:pStyle w:val="NormalWeb"/>
        <w:spacing w:before="0" w:beforeAutospacing="0" w:after="0" w:afterAutospacing="0"/>
        <w:ind w:left="765" w:hanging="405"/>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9000"/>
      </w:tblGrid>
      <w:tr w:rsidR="00000000" w14:paraId="5AF58307" w14:textId="77777777">
        <w:trPr>
          <w:divId w:val="415980837"/>
          <w:tblCellSpacing w:w="0" w:type="dxa"/>
        </w:trPr>
        <w:tc>
          <w:tcPr>
            <w:tcW w:w="360" w:type="dxa"/>
            <w:hideMark/>
          </w:tcPr>
          <w:p w14:paraId="45A0BE13" w14:textId="77777777" w:rsidR="00000000" w:rsidRDefault="002F725F">
            <w:pPr>
              <w:rPr>
                <w:rFonts w:eastAsia="Times New Roman"/>
                <w:sz w:val="20"/>
                <w:szCs w:val="20"/>
              </w:rPr>
            </w:pPr>
            <w:r>
              <w:rPr>
                <w:rFonts w:eastAsia="Times New Roman"/>
                <w:sz w:val="20"/>
                <w:szCs w:val="20"/>
              </w:rPr>
              <w:t>(1)</w:t>
            </w:r>
          </w:p>
        </w:tc>
        <w:tc>
          <w:tcPr>
            <w:tcW w:w="0" w:type="auto"/>
            <w:hideMark/>
          </w:tcPr>
          <w:p w14:paraId="42A8A602" w14:textId="77777777" w:rsidR="00000000" w:rsidRDefault="002F725F">
            <w:pPr>
              <w:jc w:val="both"/>
              <w:rPr>
                <w:rFonts w:eastAsia="Times New Roman"/>
                <w:sz w:val="20"/>
                <w:szCs w:val="20"/>
              </w:rPr>
            </w:pPr>
            <w:r>
              <w:rPr>
                <w:rFonts w:eastAsia="Times New Roman"/>
                <w:sz w:val="20"/>
                <w:szCs w:val="20"/>
              </w:rPr>
              <w:t>“EBIT” means the Company’</w:t>
            </w:r>
            <w:r>
              <w:rPr>
                <w:rFonts w:eastAsia="Times New Roman"/>
                <w:sz w:val="20"/>
                <w:szCs w:val="20"/>
              </w:rPr>
              <w:t>s earnings before interest and taxes, which is adjusted to exclude public company costs and non-recurring items as provided by the management of the Company.</w:t>
            </w:r>
          </w:p>
        </w:tc>
      </w:tr>
    </w:tbl>
    <w:p w14:paraId="17B07764"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9000"/>
      </w:tblGrid>
      <w:tr w:rsidR="00000000" w14:paraId="16812E4C" w14:textId="77777777">
        <w:trPr>
          <w:divId w:val="415980837"/>
          <w:tblCellSpacing w:w="0" w:type="dxa"/>
        </w:trPr>
        <w:tc>
          <w:tcPr>
            <w:tcW w:w="360" w:type="dxa"/>
            <w:hideMark/>
          </w:tcPr>
          <w:p w14:paraId="67E0F49E" w14:textId="77777777" w:rsidR="00000000" w:rsidRDefault="002F725F">
            <w:pPr>
              <w:rPr>
                <w:rFonts w:eastAsia="Times New Roman"/>
                <w:sz w:val="20"/>
                <w:szCs w:val="20"/>
              </w:rPr>
            </w:pPr>
            <w:r>
              <w:rPr>
                <w:rFonts w:eastAsia="Times New Roman"/>
                <w:sz w:val="20"/>
                <w:szCs w:val="20"/>
              </w:rPr>
              <w:t>(2)</w:t>
            </w:r>
          </w:p>
        </w:tc>
        <w:tc>
          <w:tcPr>
            <w:tcW w:w="0" w:type="auto"/>
            <w:hideMark/>
          </w:tcPr>
          <w:p w14:paraId="3C154191" w14:textId="77777777" w:rsidR="00000000" w:rsidRDefault="002F725F">
            <w:pPr>
              <w:jc w:val="both"/>
              <w:rPr>
                <w:rFonts w:eastAsia="Times New Roman"/>
                <w:sz w:val="20"/>
                <w:szCs w:val="20"/>
              </w:rPr>
            </w:pPr>
            <w:r>
              <w:rPr>
                <w:rFonts w:eastAsia="Times New Roman"/>
                <w:sz w:val="20"/>
                <w:szCs w:val="20"/>
              </w:rPr>
              <w:t>Capital expenditures include acquisition of property, plant and equipment.</w:t>
            </w:r>
          </w:p>
        </w:tc>
      </w:tr>
    </w:tbl>
    <w:p w14:paraId="74D9CC2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27B183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In preparing the Management Projections summarized above that were provided to the financial advisor for the Special Committee on April 15, 2026, the Company’s management revised</w:t>
      </w:r>
      <w:r>
        <w:rPr>
          <w:sz w:val="20"/>
          <w:szCs w:val="20"/>
        </w:rPr>
        <w:t xml:space="preserve"> the Prior Management Projections it provided to the financial advisor for the Special Committee on October 14, 2025, to reflect various changes in management’s expectations and outlook regarding the Company’s future results of operations and financial pro</w:t>
      </w:r>
      <w:r>
        <w:rPr>
          <w:sz w:val="20"/>
          <w:szCs w:val="20"/>
        </w:rPr>
        <w:t>spects, including to address changes relating to the issuance of the Awards and the resulting financial liability of approximately RMB576.5 million.</w:t>
      </w:r>
    </w:p>
    <w:p w14:paraId="275CDA9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03B6A5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following table summarizes the Prior Management Projections prepared by the Company’s management and </w:t>
      </w:r>
      <w:r>
        <w:rPr>
          <w:sz w:val="20"/>
          <w:szCs w:val="20"/>
        </w:rPr>
        <w:t>considered by Duff &amp; Phelps in connection with the delivery of its Prior Opinion:</w:t>
      </w:r>
    </w:p>
    <w:p w14:paraId="726B530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1848"/>
        <w:gridCol w:w="70"/>
        <w:gridCol w:w="70"/>
        <w:gridCol w:w="631"/>
        <w:gridCol w:w="167"/>
        <w:gridCol w:w="70"/>
        <w:gridCol w:w="70"/>
        <w:gridCol w:w="631"/>
        <w:gridCol w:w="167"/>
        <w:gridCol w:w="70"/>
        <w:gridCol w:w="70"/>
        <w:gridCol w:w="631"/>
        <w:gridCol w:w="167"/>
        <w:gridCol w:w="70"/>
        <w:gridCol w:w="70"/>
        <w:gridCol w:w="631"/>
        <w:gridCol w:w="167"/>
        <w:gridCol w:w="70"/>
        <w:gridCol w:w="70"/>
        <w:gridCol w:w="631"/>
        <w:gridCol w:w="167"/>
        <w:gridCol w:w="70"/>
        <w:gridCol w:w="71"/>
        <w:gridCol w:w="632"/>
        <w:gridCol w:w="167"/>
        <w:gridCol w:w="71"/>
        <w:gridCol w:w="71"/>
        <w:gridCol w:w="632"/>
        <w:gridCol w:w="167"/>
        <w:gridCol w:w="71"/>
        <w:gridCol w:w="71"/>
        <w:gridCol w:w="632"/>
        <w:gridCol w:w="167"/>
      </w:tblGrid>
      <w:tr w:rsidR="00000000" w14:paraId="788409FE" w14:textId="77777777">
        <w:trPr>
          <w:divId w:val="415980837"/>
        </w:trPr>
        <w:tc>
          <w:tcPr>
            <w:tcW w:w="0" w:type="auto"/>
            <w:tcMar>
              <w:top w:w="0" w:type="dxa"/>
              <w:left w:w="180" w:type="dxa"/>
              <w:bottom w:w="30" w:type="dxa"/>
              <w:right w:w="0" w:type="dxa"/>
            </w:tcMar>
            <w:vAlign w:val="bottom"/>
            <w:hideMark/>
          </w:tcPr>
          <w:p w14:paraId="1A5C77E7" w14:textId="77777777" w:rsidR="00000000" w:rsidRDefault="002F725F">
            <w:pPr>
              <w:ind w:hanging="180"/>
              <w:rPr>
                <w:rFonts w:eastAsia="Times New Roman"/>
                <w:sz w:val="20"/>
                <w:szCs w:val="20"/>
              </w:rPr>
            </w:pPr>
            <w:r>
              <w:rPr>
                <w:rFonts w:eastAsia="Times New Roman"/>
                <w:sz w:val="20"/>
                <w:szCs w:val="20"/>
              </w:rPr>
              <w:lastRenderedPageBreak/>
              <w:t> </w:t>
            </w:r>
          </w:p>
        </w:tc>
        <w:tc>
          <w:tcPr>
            <w:tcW w:w="0" w:type="auto"/>
            <w:tcMar>
              <w:top w:w="0" w:type="dxa"/>
              <w:left w:w="0" w:type="dxa"/>
              <w:bottom w:w="30" w:type="dxa"/>
              <w:right w:w="0" w:type="dxa"/>
            </w:tcMar>
            <w:vAlign w:val="bottom"/>
            <w:hideMark/>
          </w:tcPr>
          <w:p w14:paraId="68709C47" w14:textId="77777777" w:rsidR="00000000" w:rsidRDefault="002F725F">
            <w:pPr>
              <w:rPr>
                <w:rFonts w:eastAsia="Times New Roman"/>
                <w:sz w:val="20"/>
                <w:szCs w:val="20"/>
              </w:rPr>
            </w:pPr>
            <w:r>
              <w:rPr>
                <w:rFonts w:eastAsia="Times New Roman"/>
                <w:sz w:val="20"/>
                <w:szCs w:val="20"/>
              </w:rPr>
              <w:t> </w:t>
            </w:r>
          </w:p>
        </w:tc>
        <w:tc>
          <w:tcPr>
            <w:tcW w:w="0" w:type="auto"/>
            <w:gridSpan w:val="31"/>
            <w:tcBorders>
              <w:bottom w:val="single" w:sz="12" w:space="0" w:color="000000"/>
            </w:tcBorders>
            <w:vAlign w:val="bottom"/>
            <w:hideMark/>
          </w:tcPr>
          <w:p w14:paraId="432834F2" w14:textId="77777777" w:rsidR="00000000" w:rsidRDefault="002F725F">
            <w:pPr>
              <w:pStyle w:val="NormalWeb"/>
              <w:spacing w:before="0" w:beforeAutospacing="0" w:after="0" w:afterAutospacing="0"/>
              <w:jc w:val="center"/>
              <w:rPr>
                <w:sz w:val="20"/>
                <w:szCs w:val="20"/>
              </w:rPr>
            </w:pPr>
            <w:r>
              <w:rPr>
                <w:b/>
                <w:bCs/>
                <w:sz w:val="20"/>
                <w:szCs w:val="20"/>
              </w:rPr>
              <w:t>Prior Management Projections</w:t>
            </w:r>
          </w:p>
        </w:tc>
      </w:tr>
      <w:tr w:rsidR="00000000" w14:paraId="440C1285" w14:textId="77777777">
        <w:trPr>
          <w:divId w:val="415980837"/>
        </w:trPr>
        <w:tc>
          <w:tcPr>
            <w:tcW w:w="0" w:type="auto"/>
            <w:tcMar>
              <w:top w:w="0" w:type="dxa"/>
              <w:left w:w="180" w:type="dxa"/>
              <w:bottom w:w="0" w:type="dxa"/>
              <w:right w:w="0" w:type="dxa"/>
            </w:tcMar>
            <w:vAlign w:val="bottom"/>
            <w:hideMark/>
          </w:tcPr>
          <w:p w14:paraId="7C804C8E" w14:textId="77777777" w:rsidR="00000000" w:rsidRDefault="002F725F">
            <w:pPr>
              <w:jc w:val="center"/>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6105EA61"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3AFD82C0" w14:textId="77777777" w:rsidR="00000000" w:rsidRDefault="002F725F">
            <w:pPr>
              <w:jc w:val="center"/>
              <w:rPr>
                <w:rFonts w:eastAsia="Times New Roman"/>
                <w:b/>
                <w:bCs/>
                <w:sz w:val="20"/>
                <w:szCs w:val="20"/>
              </w:rPr>
            </w:pPr>
            <w:r>
              <w:rPr>
                <w:rFonts w:eastAsia="Times New Roman"/>
                <w:b/>
                <w:bCs/>
                <w:sz w:val="20"/>
                <w:szCs w:val="20"/>
              </w:rPr>
              <w:t>2026P</w:t>
            </w:r>
          </w:p>
        </w:tc>
        <w:tc>
          <w:tcPr>
            <w:tcW w:w="0" w:type="auto"/>
            <w:tcMar>
              <w:top w:w="0" w:type="dxa"/>
              <w:left w:w="0" w:type="dxa"/>
              <w:bottom w:w="30" w:type="dxa"/>
              <w:right w:w="0" w:type="dxa"/>
            </w:tcMar>
            <w:vAlign w:val="bottom"/>
            <w:hideMark/>
          </w:tcPr>
          <w:p w14:paraId="2A8DCEBA"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1D407A48"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4D9FE549" w14:textId="77777777" w:rsidR="00000000" w:rsidRDefault="002F725F">
            <w:pPr>
              <w:jc w:val="center"/>
              <w:rPr>
                <w:rFonts w:eastAsia="Times New Roman"/>
                <w:b/>
                <w:bCs/>
                <w:sz w:val="20"/>
                <w:szCs w:val="20"/>
              </w:rPr>
            </w:pPr>
            <w:r>
              <w:rPr>
                <w:rFonts w:eastAsia="Times New Roman"/>
                <w:b/>
                <w:bCs/>
                <w:sz w:val="20"/>
                <w:szCs w:val="20"/>
              </w:rPr>
              <w:t>2027P</w:t>
            </w:r>
          </w:p>
        </w:tc>
        <w:tc>
          <w:tcPr>
            <w:tcW w:w="0" w:type="auto"/>
            <w:tcMar>
              <w:top w:w="0" w:type="dxa"/>
              <w:left w:w="0" w:type="dxa"/>
              <w:bottom w:w="30" w:type="dxa"/>
              <w:right w:w="0" w:type="dxa"/>
            </w:tcMar>
            <w:vAlign w:val="bottom"/>
            <w:hideMark/>
          </w:tcPr>
          <w:p w14:paraId="0A2C0627"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55F4B778"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282F645E" w14:textId="77777777" w:rsidR="00000000" w:rsidRDefault="002F725F">
            <w:pPr>
              <w:jc w:val="center"/>
              <w:rPr>
                <w:rFonts w:eastAsia="Times New Roman"/>
                <w:b/>
                <w:bCs/>
                <w:sz w:val="20"/>
                <w:szCs w:val="20"/>
              </w:rPr>
            </w:pPr>
            <w:r>
              <w:rPr>
                <w:rFonts w:eastAsia="Times New Roman"/>
                <w:b/>
                <w:bCs/>
                <w:sz w:val="20"/>
                <w:szCs w:val="20"/>
              </w:rPr>
              <w:t>2028P</w:t>
            </w:r>
          </w:p>
        </w:tc>
        <w:tc>
          <w:tcPr>
            <w:tcW w:w="0" w:type="auto"/>
            <w:tcMar>
              <w:top w:w="0" w:type="dxa"/>
              <w:left w:w="0" w:type="dxa"/>
              <w:bottom w:w="30" w:type="dxa"/>
              <w:right w:w="0" w:type="dxa"/>
            </w:tcMar>
            <w:vAlign w:val="bottom"/>
            <w:hideMark/>
          </w:tcPr>
          <w:p w14:paraId="3D2A2199"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1457ADF2"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02B8DBB5" w14:textId="77777777" w:rsidR="00000000" w:rsidRDefault="002F725F">
            <w:pPr>
              <w:jc w:val="center"/>
              <w:rPr>
                <w:rFonts w:eastAsia="Times New Roman"/>
                <w:b/>
                <w:bCs/>
                <w:sz w:val="20"/>
                <w:szCs w:val="20"/>
              </w:rPr>
            </w:pPr>
            <w:r>
              <w:rPr>
                <w:rFonts w:eastAsia="Times New Roman"/>
                <w:b/>
                <w:bCs/>
                <w:sz w:val="20"/>
                <w:szCs w:val="20"/>
              </w:rPr>
              <w:t>2029P</w:t>
            </w:r>
          </w:p>
        </w:tc>
        <w:tc>
          <w:tcPr>
            <w:tcW w:w="0" w:type="auto"/>
            <w:tcMar>
              <w:top w:w="0" w:type="dxa"/>
              <w:left w:w="0" w:type="dxa"/>
              <w:bottom w:w="30" w:type="dxa"/>
              <w:right w:w="0" w:type="dxa"/>
            </w:tcMar>
            <w:vAlign w:val="bottom"/>
            <w:hideMark/>
          </w:tcPr>
          <w:p w14:paraId="08D16A7A"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64EE74E1"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2B06D32B" w14:textId="77777777" w:rsidR="00000000" w:rsidRDefault="002F725F">
            <w:pPr>
              <w:jc w:val="center"/>
              <w:rPr>
                <w:rFonts w:eastAsia="Times New Roman"/>
                <w:b/>
                <w:bCs/>
                <w:sz w:val="20"/>
                <w:szCs w:val="20"/>
              </w:rPr>
            </w:pPr>
            <w:r>
              <w:rPr>
                <w:rFonts w:eastAsia="Times New Roman"/>
                <w:b/>
                <w:bCs/>
                <w:sz w:val="20"/>
                <w:szCs w:val="20"/>
              </w:rPr>
              <w:t>2030P</w:t>
            </w:r>
          </w:p>
        </w:tc>
        <w:tc>
          <w:tcPr>
            <w:tcW w:w="0" w:type="auto"/>
            <w:tcMar>
              <w:top w:w="0" w:type="dxa"/>
              <w:left w:w="0" w:type="dxa"/>
              <w:bottom w:w="30" w:type="dxa"/>
              <w:right w:w="0" w:type="dxa"/>
            </w:tcMar>
            <w:vAlign w:val="bottom"/>
            <w:hideMark/>
          </w:tcPr>
          <w:p w14:paraId="3FDFD158"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086EE3B4"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212235DA" w14:textId="77777777" w:rsidR="00000000" w:rsidRDefault="002F725F">
            <w:pPr>
              <w:jc w:val="center"/>
              <w:rPr>
                <w:rFonts w:eastAsia="Times New Roman"/>
                <w:b/>
                <w:bCs/>
                <w:sz w:val="20"/>
                <w:szCs w:val="20"/>
              </w:rPr>
            </w:pPr>
            <w:r>
              <w:rPr>
                <w:rFonts w:eastAsia="Times New Roman"/>
                <w:b/>
                <w:bCs/>
                <w:sz w:val="20"/>
                <w:szCs w:val="20"/>
              </w:rPr>
              <w:t>2031P</w:t>
            </w:r>
          </w:p>
        </w:tc>
        <w:tc>
          <w:tcPr>
            <w:tcW w:w="0" w:type="auto"/>
            <w:tcMar>
              <w:top w:w="0" w:type="dxa"/>
              <w:left w:w="0" w:type="dxa"/>
              <w:bottom w:w="30" w:type="dxa"/>
              <w:right w:w="0" w:type="dxa"/>
            </w:tcMar>
            <w:vAlign w:val="bottom"/>
            <w:hideMark/>
          </w:tcPr>
          <w:p w14:paraId="3878AE48"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08C2E1F1"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37628F9A" w14:textId="77777777" w:rsidR="00000000" w:rsidRDefault="002F725F">
            <w:pPr>
              <w:jc w:val="center"/>
              <w:rPr>
                <w:rFonts w:eastAsia="Times New Roman"/>
                <w:b/>
                <w:bCs/>
                <w:sz w:val="20"/>
                <w:szCs w:val="20"/>
              </w:rPr>
            </w:pPr>
            <w:r>
              <w:rPr>
                <w:rFonts w:eastAsia="Times New Roman"/>
                <w:b/>
                <w:bCs/>
                <w:sz w:val="20"/>
                <w:szCs w:val="20"/>
              </w:rPr>
              <w:t>2032P</w:t>
            </w:r>
          </w:p>
        </w:tc>
        <w:tc>
          <w:tcPr>
            <w:tcW w:w="0" w:type="auto"/>
            <w:tcMar>
              <w:top w:w="0" w:type="dxa"/>
              <w:left w:w="0" w:type="dxa"/>
              <w:bottom w:w="30" w:type="dxa"/>
              <w:right w:w="0" w:type="dxa"/>
            </w:tcMar>
            <w:vAlign w:val="bottom"/>
            <w:hideMark/>
          </w:tcPr>
          <w:p w14:paraId="5B2BD17F"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B10EB13"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3170DFF" w14:textId="77777777" w:rsidR="00000000" w:rsidRDefault="002F725F">
            <w:pPr>
              <w:jc w:val="center"/>
              <w:rPr>
                <w:rFonts w:eastAsia="Times New Roman"/>
                <w:b/>
                <w:bCs/>
                <w:sz w:val="20"/>
                <w:szCs w:val="20"/>
              </w:rPr>
            </w:pPr>
            <w:r>
              <w:rPr>
                <w:rFonts w:eastAsia="Times New Roman"/>
                <w:b/>
                <w:bCs/>
                <w:sz w:val="20"/>
                <w:szCs w:val="20"/>
              </w:rPr>
              <w:t>2033P</w:t>
            </w:r>
          </w:p>
        </w:tc>
        <w:tc>
          <w:tcPr>
            <w:tcW w:w="0" w:type="auto"/>
            <w:tcMar>
              <w:top w:w="0" w:type="dxa"/>
              <w:left w:w="0" w:type="dxa"/>
              <w:bottom w:w="30" w:type="dxa"/>
              <w:right w:w="0" w:type="dxa"/>
            </w:tcMar>
            <w:vAlign w:val="bottom"/>
            <w:hideMark/>
          </w:tcPr>
          <w:p w14:paraId="7680BE29" w14:textId="77777777" w:rsidR="00000000" w:rsidRDefault="002F725F">
            <w:pPr>
              <w:jc w:val="center"/>
              <w:rPr>
                <w:rFonts w:eastAsia="Times New Roman"/>
                <w:b/>
                <w:bCs/>
                <w:sz w:val="20"/>
                <w:szCs w:val="20"/>
              </w:rPr>
            </w:pPr>
            <w:r>
              <w:rPr>
                <w:rFonts w:eastAsia="Times New Roman"/>
                <w:b/>
                <w:bCs/>
                <w:sz w:val="20"/>
                <w:szCs w:val="20"/>
              </w:rPr>
              <w:t> </w:t>
            </w:r>
          </w:p>
        </w:tc>
      </w:tr>
      <w:tr w:rsidR="00000000" w14:paraId="6072EC47" w14:textId="77777777">
        <w:trPr>
          <w:divId w:val="415980837"/>
        </w:trPr>
        <w:tc>
          <w:tcPr>
            <w:tcW w:w="0" w:type="auto"/>
            <w:tcMar>
              <w:top w:w="0" w:type="dxa"/>
              <w:left w:w="180" w:type="dxa"/>
              <w:bottom w:w="0" w:type="dxa"/>
              <w:right w:w="0" w:type="dxa"/>
            </w:tcMar>
            <w:vAlign w:val="bottom"/>
            <w:hideMark/>
          </w:tcPr>
          <w:p w14:paraId="1E2F5A40" w14:textId="77777777" w:rsidR="00000000" w:rsidRDefault="002F725F">
            <w:pPr>
              <w:ind w:hanging="180"/>
              <w:rPr>
                <w:rFonts w:eastAsia="Times New Roman"/>
                <w:sz w:val="20"/>
                <w:szCs w:val="20"/>
              </w:rPr>
            </w:pPr>
            <w:r>
              <w:rPr>
                <w:rFonts w:eastAsia="Times New Roman"/>
                <w:sz w:val="20"/>
                <w:szCs w:val="20"/>
              </w:rPr>
              <w:t> </w:t>
            </w:r>
          </w:p>
        </w:tc>
        <w:tc>
          <w:tcPr>
            <w:tcW w:w="0" w:type="auto"/>
            <w:vAlign w:val="bottom"/>
            <w:hideMark/>
          </w:tcPr>
          <w:p w14:paraId="19A60C3D" w14:textId="77777777" w:rsidR="00000000" w:rsidRDefault="002F725F">
            <w:pPr>
              <w:rPr>
                <w:rFonts w:eastAsia="Times New Roman"/>
                <w:sz w:val="20"/>
                <w:szCs w:val="20"/>
              </w:rPr>
            </w:pPr>
            <w:r>
              <w:rPr>
                <w:rFonts w:eastAsia="Times New Roman"/>
                <w:sz w:val="20"/>
                <w:szCs w:val="20"/>
              </w:rPr>
              <w:t> </w:t>
            </w:r>
          </w:p>
        </w:tc>
        <w:tc>
          <w:tcPr>
            <w:tcW w:w="0" w:type="auto"/>
            <w:gridSpan w:val="31"/>
            <w:vAlign w:val="bottom"/>
            <w:hideMark/>
          </w:tcPr>
          <w:p w14:paraId="1230427A" w14:textId="77777777" w:rsidR="00000000" w:rsidRDefault="002F725F">
            <w:pPr>
              <w:jc w:val="center"/>
              <w:rPr>
                <w:rFonts w:eastAsia="Times New Roman"/>
                <w:sz w:val="20"/>
                <w:szCs w:val="20"/>
              </w:rPr>
            </w:pPr>
            <w:r>
              <w:rPr>
                <w:rFonts w:eastAsia="Times New Roman"/>
                <w:b/>
                <w:bCs/>
                <w:sz w:val="20"/>
                <w:szCs w:val="20"/>
              </w:rPr>
              <w:t>(in RMB millions except percentages)</w:t>
            </w:r>
          </w:p>
        </w:tc>
      </w:tr>
      <w:tr w:rsidR="002F725F" w14:paraId="0E99F2D0" w14:textId="77777777">
        <w:trPr>
          <w:divId w:val="415980837"/>
        </w:trPr>
        <w:tc>
          <w:tcPr>
            <w:tcW w:w="1000" w:type="pct"/>
            <w:shd w:val="clear" w:color="auto" w:fill="CCEEFF"/>
            <w:tcMar>
              <w:top w:w="0" w:type="dxa"/>
              <w:left w:w="180" w:type="dxa"/>
              <w:bottom w:w="0" w:type="dxa"/>
              <w:right w:w="0" w:type="dxa"/>
            </w:tcMar>
            <w:vAlign w:val="bottom"/>
            <w:hideMark/>
          </w:tcPr>
          <w:p w14:paraId="33DF5535" w14:textId="77777777" w:rsidR="00000000" w:rsidRDefault="002F725F">
            <w:pPr>
              <w:ind w:hanging="180"/>
              <w:rPr>
                <w:rFonts w:eastAsia="Times New Roman"/>
                <w:b/>
                <w:bCs/>
                <w:sz w:val="20"/>
                <w:szCs w:val="20"/>
              </w:rPr>
            </w:pPr>
            <w:r>
              <w:rPr>
                <w:rFonts w:eastAsia="Times New Roman"/>
                <w:b/>
                <w:bCs/>
                <w:sz w:val="20"/>
                <w:szCs w:val="20"/>
              </w:rPr>
              <w:t>Revenue</w:t>
            </w:r>
          </w:p>
        </w:tc>
        <w:tc>
          <w:tcPr>
            <w:tcW w:w="50" w:type="pct"/>
            <w:shd w:val="clear" w:color="auto" w:fill="CCEEFF"/>
            <w:vAlign w:val="bottom"/>
            <w:hideMark/>
          </w:tcPr>
          <w:p w14:paraId="19D49DEF"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0CBB9ED6"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14C93663" w14:textId="77777777" w:rsidR="00000000" w:rsidRDefault="002F725F">
            <w:pPr>
              <w:jc w:val="right"/>
              <w:rPr>
                <w:rFonts w:eastAsia="Times New Roman"/>
                <w:sz w:val="20"/>
                <w:szCs w:val="20"/>
              </w:rPr>
            </w:pPr>
            <w:r>
              <w:rPr>
                <w:rFonts w:eastAsia="Times New Roman"/>
                <w:sz w:val="20"/>
                <w:szCs w:val="20"/>
              </w:rPr>
              <w:t>516.47</w:t>
            </w:r>
          </w:p>
        </w:tc>
        <w:tc>
          <w:tcPr>
            <w:tcW w:w="50" w:type="pct"/>
            <w:shd w:val="clear" w:color="auto" w:fill="CCEEFF"/>
            <w:vAlign w:val="bottom"/>
            <w:hideMark/>
          </w:tcPr>
          <w:p w14:paraId="063821C0"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3273758D"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127181E9"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27917966" w14:textId="77777777" w:rsidR="00000000" w:rsidRDefault="002F725F">
            <w:pPr>
              <w:jc w:val="right"/>
              <w:rPr>
                <w:rFonts w:eastAsia="Times New Roman"/>
                <w:sz w:val="20"/>
                <w:szCs w:val="20"/>
              </w:rPr>
            </w:pPr>
            <w:r>
              <w:rPr>
                <w:rFonts w:eastAsia="Times New Roman"/>
                <w:sz w:val="20"/>
                <w:szCs w:val="20"/>
              </w:rPr>
              <w:t>517.70</w:t>
            </w:r>
          </w:p>
        </w:tc>
        <w:tc>
          <w:tcPr>
            <w:tcW w:w="50" w:type="pct"/>
            <w:shd w:val="clear" w:color="auto" w:fill="CCEEFF"/>
            <w:vAlign w:val="bottom"/>
            <w:hideMark/>
          </w:tcPr>
          <w:p w14:paraId="12EB08E9"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5DC197BA"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66E6A68A"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398FF285" w14:textId="77777777" w:rsidR="00000000" w:rsidRDefault="002F725F">
            <w:pPr>
              <w:jc w:val="right"/>
              <w:rPr>
                <w:rFonts w:eastAsia="Times New Roman"/>
                <w:sz w:val="20"/>
                <w:szCs w:val="20"/>
              </w:rPr>
            </w:pPr>
            <w:r>
              <w:rPr>
                <w:rFonts w:eastAsia="Times New Roman"/>
                <w:sz w:val="20"/>
                <w:szCs w:val="20"/>
              </w:rPr>
              <w:t>520.56</w:t>
            </w:r>
          </w:p>
        </w:tc>
        <w:tc>
          <w:tcPr>
            <w:tcW w:w="50" w:type="pct"/>
            <w:shd w:val="clear" w:color="auto" w:fill="CCEEFF"/>
            <w:vAlign w:val="bottom"/>
            <w:hideMark/>
          </w:tcPr>
          <w:p w14:paraId="6257B1DB"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594EFAB8"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45F54EB8"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6ED9B591" w14:textId="77777777" w:rsidR="00000000" w:rsidRDefault="002F725F">
            <w:pPr>
              <w:jc w:val="right"/>
              <w:rPr>
                <w:rFonts w:eastAsia="Times New Roman"/>
                <w:sz w:val="20"/>
                <w:szCs w:val="20"/>
              </w:rPr>
            </w:pPr>
            <w:r>
              <w:rPr>
                <w:rFonts w:eastAsia="Times New Roman"/>
                <w:sz w:val="20"/>
                <w:szCs w:val="20"/>
              </w:rPr>
              <w:t>519.46</w:t>
            </w:r>
          </w:p>
        </w:tc>
        <w:tc>
          <w:tcPr>
            <w:tcW w:w="50" w:type="pct"/>
            <w:shd w:val="clear" w:color="auto" w:fill="CCEEFF"/>
            <w:vAlign w:val="bottom"/>
            <w:hideMark/>
          </w:tcPr>
          <w:p w14:paraId="31177BE1"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6CF8387C"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099BCD69"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3923D909" w14:textId="77777777" w:rsidR="00000000" w:rsidRDefault="002F725F">
            <w:pPr>
              <w:jc w:val="right"/>
              <w:rPr>
                <w:rFonts w:eastAsia="Times New Roman"/>
                <w:sz w:val="20"/>
                <w:szCs w:val="20"/>
              </w:rPr>
            </w:pPr>
            <w:r>
              <w:rPr>
                <w:rFonts w:eastAsia="Times New Roman"/>
                <w:sz w:val="20"/>
                <w:szCs w:val="20"/>
              </w:rPr>
              <w:t>528.40</w:t>
            </w:r>
          </w:p>
        </w:tc>
        <w:tc>
          <w:tcPr>
            <w:tcW w:w="50" w:type="pct"/>
            <w:shd w:val="clear" w:color="auto" w:fill="CCEEFF"/>
            <w:vAlign w:val="bottom"/>
            <w:hideMark/>
          </w:tcPr>
          <w:p w14:paraId="2F4A0856"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462E8B75"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02A8D489"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21EE34C2" w14:textId="77777777" w:rsidR="00000000" w:rsidRDefault="002F725F">
            <w:pPr>
              <w:jc w:val="right"/>
              <w:rPr>
                <w:rFonts w:eastAsia="Times New Roman"/>
                <w:sz w:val="20"/>
                <w:szCs w:val="20"/>
              </w:rPr>
            </w:pPr>
            <w:r>
              <w:rPr>
                <w:rFonts w:eastAsia="Times New Roman"/>
                <w:sz w:val="20"/>
                <w:szCs w:val="20"/>
              </w:rPr>
              <w:t>546.36</w:t>
            </w:r>
          </w:p>
        </w:tc>
        <w:tc>
          <w:tcPr>
            <w:tcW w:w="50" w:type="pct"/>
            <w:shd w:val="clear" w:color="auto" w:fill="CCEEFF"/>
            <w:vAlign w:val="bottom"/>
            <w:hideMark/>
          </w:tcPr>
          <w:p w14:paraId="4A6AB7AB"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7B14E6A5"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6BE14BBD"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3D237EFB" w14:textId="77777777" w:rsidR="00000000" w:rsidRDefault="002F725F">
            <w:pPr>
              <w:jc w:val="right"/>
              <w:rPr>
                <w:rFonts w:eastAsia="Times New Roman"/>
                <w:sz w:val="20"/>
                <w:szCs w:val="20"/>
              </w:rPr>
            </w:pPr>
            <w:r>
              <w:rPr>
                <w:rFonts w:eastAsia="Times New Roman"/>
                <w:sz w:val="20"/>
                <w:szCs w:val="20"/>
              </w:rPr>
              <w:t>562.52</w:t>
            </w:r>
          </w:p>
        </w:tc>
        <w:tc>
          <w:tcPr>
            <w:tcW w:w="50" w:type="pct"/>
            <w:shd w:val="clear" w:color="auto" w:fill="CCEEFF"/>
            <w:vAlign w:val="bottom"/>
            <w:hideMark/>
          </w:tcPr>
          <w:p w14:paraId="15CB3DA0"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3107DFD1"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162233B7"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39269E57" w14:textId="77777777" w:rsidR="00000000" w:rsidRDefault="002F725F">
            <w:pPr>
              <w:jc w:val="right"/>
              <w:rPr>
                <w:rFonts w:eastAsia="Times New Roman"/>
                <w:sz w:val="20"/>
                <w:szCs w:val="20"/>
              </w:rPr>
            </w:pPr>
            <w:r>
              <w:rPr>
                <w:rFonts w:eastAsia="Times New Roman"/>
                <w:sz w:val="20"/>
                <w:szCs w:val="20"/>
              </w:rPr>
              <w:t>578.46</w:t>
            </w:r>
          </w:p>
        </w:tc>
        <w:tc>
          <w:tcPr>
            <w:tcW w:w="50" w:type="pct"/>
            <w:shd w:val="clear" w:color="auto" w:fill="CCEEFF"/>
            <w:vAlign w:val="bottom"/>
            <w:hideMark/>
          </w:tcPr>
          <w:p w14:paraId="1995458D" w14:textId="77777777" w:rsidR="00000000" w:rsidRDefault="002F725F">
            <w:pPr>
              <w:rPr>
                <w:rFonts w:eastAsia="Times New Roman"/>
                <w:sz w:val="20"/>
                <w:szCs w:val="20"/>
              </w:rPr>
            </w:pPr>
            <w:r>
              <w:rPr>
                <w:rFonts w:eastAsia="Times New Roman"/>
                <w:sz w:val="20"/>
                <w:szCs w:val="20"/>
              </w:rPr>
              <w:t> </w:t>
            </w:r>
          </w:p>
        </w:tc>
      </w:tr>
      <w:tr w:rsidR="002F725F" w14:paraId="7DE2A5C5" w14:textId="77777777">
        <w:trPr>
          <w:divId w:val="415980837"/>
        </w:trPr>
        <w:tc>
          <w:tcPr>
            <w:tcW w:w="0" w:type="auto"/>
            <w:shd w:val="clear" w:color="auto" w:fill="FFFFFF"/>
            <w:tcMar>
              <w:top w:w="0" w:type="dxa"/>
              <w:left w:w="180" w:type="dxa"/>
              <w:bottom w:w="30" w:type="dxa"/>
              <w:right w:w="0" w:type="dxa"/>
            </w:tcMar>
            <w:vAlign w:val="bottom"/>
            <w:hideMark/>
          </w:tcPr>
          <w:p w14:paraId="4304DF11" w14:textId="77777777" w:rsidR="00000000" w:rsidRDefault="002F725F">
            <w:pPr>
              <w:ind w:hanging="180"/>
              <w:rPr>
                <w:rFonts w:eastAsia="Times New Roman"/>
                <w:b/>
                <w:bCs/>
                <w:sz w:val="20"/>
                <w:szCs w:val="20"/>
              </w:rPr>
            </w:pPr>
            <w:r>
              <w:rPr>
                <w:rFonts w:eastAsia="Times New Roman"/>
                <w:b/>
                <w:bCs/>
                <w:sz w:val="20"/>
                <w:szCs w:val="20"/>
              </w:rPr>
              <w:t>Cost of Revenue</w:t>
            </w:r>
          </w:p>
        </w:tc>
        <w:tc>
          <w:tcPr>
            <w:tcW w:w="0" w:type="auto"/>
            <w:shd w:val="clear" w:color="auto" w:fill="FFFFFF"/>
            <w:tcMar>
              <w:top w:w="0" w:type="dxa"/>
              <w:left w:w="0" w:type="dxa"/>
              <w:bottom w:w="30" w:type="dxa"/>
              <w:right w:w="0" w:type="dxa"/>
            </w:tcMar>
            <w:vAlign w:val="bottom"/>
            <w:hideMark/>
          </w:tcPr>
          <w:p w14:paraId="2CEE7049"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52566394"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57371468" w14:textId="77777777" w:rsidR="00000000" w:rsidRDefault="002F725F">
            <w:pPr>
              <w:jc w:val="right"/>
              <w:rPr>
                <w:rFonts w:eastAsia="Times New Roman"/>
                <w:sz w:val="20"/>
                <w:szCs w:val="20"/>
              </w:rPr>
            </w:pPr>
            <w:r>
              <w:rPr>
                <w:rFonts w:eastAsia="Times New Roman"/>
                <w:sz w:val="20"/>
                <w:szCs w:val="20"/>
              </w:rPr>
              <w:t>(111.69</w:t>
            </w:r>
          </w:p>
        </w:tc>
        <w:tc>
          <w:tcPr>
            <w:tcW w:w="0" w:type="auto"/>
            <w:shd w:val="clear" w:color="auto" w:fill="FFFFFF"/>
            <w:tcMar>
              <w:top w:w="0" w:type="dxa"/>
              <w:left w:w="0" w:type="dxa"/>
              <w:bottom w:w="30" w:type="dxa"/>
              <w:right w:w="0" w:type="dxa"/>
            </w:tcMar>
            <w:vAlign w:val="bottom"/>
            <w:hideMark/>
          </w:tcPr>
          <w:p w14:paraId="7716CC58"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40AA41C2"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5EA977A2"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265F589F" w14:textId="77777777" w:rsidR="00000000" w:rsidRDefault="002F725F">
            <w:pPr>
              <w:jc w:val="right"/>
              <w:rPr>
                <w:rFonts w:eastAsia="Times New Roman"/>
                <w:sz w:val="20"/>
                <w:szCs w:val="20"/>
              </w:rPr>
            </w:pPr>
            <w:r>
              <w:rPr>
                <w:rFonts w:eastAsia="Times New Roman"/>
                <w:sz w:val="20"/>
                <w:szCs w:val="20"/>
              </w:rPr>
              <w:t>(114.48</w:t>
            </w:r>
          </w:p>
        </w:tc>
        <w:tc>
          <w:tcPr>
            <w:tcW w:w="0" w:type="auto"/>
            <w:shd w:val="clear" w:color="auto" w:fill="FFFFFF"/>
            <w:tcMar>
              <w:top w:w="0" w:type="dxa"/>
              <w:left w:w="0" w:type="dxa"/>
              <w:bottom w:w="30" w:type="dxa"/>
              <w:right w:w="0" w:type="dxa"/>
            </w:tcMar>
            <w:vAlign w:val="bottom"/>
            <w:hideMark/>
          </w:tcPr>
          <w:p w14:paraId="32D78C47"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122D4255"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D5675BE"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28EFE313" w14:textId="77777777" w:rsidR="00000000" w:rsidRDefault="002F725F">
            <w:pPr>
              <w:jc w:val="right"/>
              <w:rPr>
                <w:rFonts w:eastAsia="Times New Roman"/>
                <w:sz w:val="20"/>
                <w:szCs w:val="20"/>
              </w:rPr>
            </w:pPr>
            <w:r>
              <w:rPr>
                <w:rFonts w:eastAsia="Times New Roman"/>
                <w:sz w:val="20"/>
                <w:szCs w:val="20"/>
              </w:rPr>
              <w:t>(112.81</w:t>
            </w:r>
          </w:p>
        </w:tc>
        <w:tc>
          <w:tcPr>
            <w:tcW w:w="0" w:type="auto"/>
            <w:shd w:val="clear" w:color="auto" w:fill="FFFFFF"/>
            <w:tcMar>
              <w:top w:w="0" w:type="dxa"/>
              <w:left w:w="0" w:type="dxa"/>
              <w:bottom w:w="30" w:type="dxa"/>
              <w:right w:w="0" w:type="dxa"/>
            </w:tcMar>
            <w:vAlign w:val="bottom"/>
            <w:hideMark/>
          </w:tcPr>
          <w:p w14:paraId="15E71CDB"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5E4AC5F0"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759873DB"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74A1996F" w14:textId="77777777" w:rsidR="00000000" w:rsidRDefault="002F725F">
            <w:pPr>
              <w:jc w:val="right"/>
              <w:rPr>
                <w:rFonts w:eastAsia="Times New Roman"/>
                <w:sz w:val="20"/>
                <w:szCs w:val="20"/>
              </w:rPr>
            </w:pPr>
            <w:r>
              <w:rPr>
                <w:rFonts w:eastAsia="Times New Roman"/>
                <w:sz w:val="20"/>
                <w:szCs w:val="20"/>
              </w:rPr>
              <w:t>(107.73</w:t>
            </w:r>
          </w:p>
        </w:tc>
        <w:tc>
          <w:tcPr>
            <w:tcW w:w="0" w:type="auto"/>
            <w:shd w:val="clear" w:color="auto" w:fill="FFFFFF"/>
            <w:tcMar>
              <w:top w:w="0" w:type="dxa"/>
              <w:left w:w="0" w:type="dxa"/>
              <w:bottom w:w="30" w:type="dxa"/>
              <w:right w:w="0" w:type="dxa"/>
            </w:tcMar>
            <w:vAlign w:val="bottom"/>
            <w:hideMark/>
          </w:tcPr>
          <w:p w14:paraId="76882158"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5F742E12"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0718412F"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88956FB" w14:textId="77777777" w:rsidR="00000000" w:rsidRDefault="002F725F">
            <w:pPr>
              <w:jc w:val="right"/>
              <w:rPr>
                <w:rFonts w:eastAsia="Times New Roman"/>
                <w:sz w:val="20"/>
                <w:szCs w:val="20"/>
              </w:rPr>
            </w:pPr>
            <w:r>
              <w:rPr>
                <w:rFonts w:eastAsia="Times New Roman"/>
                <w:sz w:val="20"/>
                <w:szCs w:val="20"/>
              </w:rPr>
              <w:t>(106.17</w:t>
            </w:r>
          </w:p>
        </w:tc>
        <w:tc>
          <w:tcPr>
            <w:tcW w:w="0" w:type="auto"/>
            <w:shd w:val="clear" w:color="auto" w:fill="FFFFFF"/>
            <w:tcMar>
              <w:top w:w="0" w:type="dxa"/>
              <w:left w:w="0" w:type="dxa"/>
              <w:bottom w:w="30" w:type="dxa"/>
              <w:right w:w="0" w:type="dxa"/>
            </w:tcMar>
            <w:vAlign w:val="bottom"/>
            <w:hideMark/>
          </w:tcPr>
          <w:p w14:paraId="57DAA9C8"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7AB04C3F"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586A10FC"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781A7660" w14:textId="77777777" w:rsidR="00000000" w:rsidRDefault="002F725F">
            <w:pPr>
              <w:jc w:val="right"/>
              <w:rPr>
                <w:rFonts w:eastAsia="Times New Roman"/>
                <w:sz w:val="20"/>
                <w:szCs w:val="20"/>
              </w:rPr>
            </w:pPr>
            <w:r>
              <w:rPr>
                <w:rFonts w:eastAsia="Times New Roman"/>
                <w:sz w:val="20"/>
                <w:szCs w:val="20"/>
              </w:rPr>
              <w:t>(104.91</w:t>
            </w:r>
          </w:p>
        </w:tc>
        <w:tc>
          <w:tcPr>
            <w:tcW w:w="0" w:type="auto"/>
            <w:shd w:val="clear" w:color="auto" w:fill="FFFFFF"/>
            <w:tcMar>
              <w:top w:w="0" w:type="dxa"/>
              <w:left w:w="0" w:type="dxa"/>
              <w:bottom w:w="30" w:type="dxa"/>
              <w:right w:w="0" w:type="dxa"/>
            </w:tcMar>
            <w:vAlign w:val="bottom"/>
            <w:hideMark/>
          </w:tcPr>
          <w:p w14:paraId="2A3C311F"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623529A2"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2C8B0E9C"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DBC3995" w14:textId="77777777" w:rsidR="00000000" w:rsidRDefault="002F725F">
            <w:pPr>
              <w:jc w:val="right"/>
              <w:rPr>
                <w:rFonts w:eastAsia="Times New Roman"/>
                <w:sz w:val="20"/>
                <w:szCs w:val="20"/>
              </w:rPr>
            </w:pPr>
            <w:r>
              <w:rPr>
                <w:rFonts w:eastAsia="Times New Roman"/>
                <w:sz w:val="20"/>
                <w:szCs w:val="20"/>
              </w:rPr>
              <w:t>(103.61</w:t>
            </w:r>
          </w:p>
        </w:tc>
        <w:tc>
          <w:tcPr>
            <w:tcW w:w="0" w:type="auto"/>
            <w:shd w:val="clear" w:color="auto" w:fill="FFFFFF"/>
            <w:tcMar>
              <w:top w:w="0" w:type="dxa"/>
              <w:left w:w="0" w:type="dxa"/>
              <w:bottom w:w="30" w:type="dxa"/>
              <w:right w:w="0" w:type="dxa"/>
            </w:tcMar>
            <w:vAlign w:val="bottom"/>
            <w:hideMark/>
          </w:tcPr>
          <w:p w14:paraId="68F9EAD5"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56B2E82F"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2882481D"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29154FBC" w14:textId="77777777" w:rsidR="00000000" w:rsidRDefault="002F725F">
            <w:pPr>
              <w:jc w:val="right"/>
              <w:rPr>
                <w:rFonts w:eastAsia="Times New Roman"/>
                <w:sz w:val="20"/>
                <w:szCs w:val="20"/>
              </w:rPr>
            </w:pPr>
            <w:r>
              <w:rPr>
                <w:rFonts w:eastAsia="Times New Roman"/>
                <w:sz w:val="20"/>
                <w:szCs w:val="20"/>
              </w:rPr>
              <w:t>(105.48</w:t>
            </w:r>
          </w:p>
        </w:tc>
        <w:tc>
          <w:tcPr>
            <w:tcW w:w="0" w:type="auto"/>
            <w:shd w:val="clear" w:color="auto" w:fill="FFFFFF"/>
            <w:tcMar>
              <w:top w:w="0" w:type="dxa"/>
              <w:left w:w="0" w:type="dxa"/>
              <w:bottom w:w="30" w:type="dxa"/>
              <w:right w:w="0" w:type="dxa"/>
            </w:tcMar>
            <w:vAlign w:val="bottom"/>
            <w:hideMark/>
          </w:tcPr>
          <w:p w14:paraId="31A0B8EA" w14:textId="77777777" w:rsidR="00000000" w:rsidRDefault="002F725F">
            <w:pPr>
              <w:rPr>
                <w:rFonts w:eastAsia="Times New Roman"/>
                <w:sz w:val="20"/>
                <w:szCs w:val="20"/>
              </w:rPr>
            </w:pPr>
            <w:r>
              <w:rPr>
                <w:rFonts w:eastAsia="Times New Roman"/>
                <w:sz w:val="20"/>
                <w:szCs w:val="20"/>
              </w:rPr>
              <w:t>)</w:t>
            </w:r>
          </w:p>
        </w:tc>
      </w:tr>
      <w:tr w:rsidR="002F725F" w14:paraId="28BE8E5D" w14:textId="77777777">
        <w:trPr>
          <w:divId w:val="415980837"/>
        </w:trPr>
        <w:tc>
          <w:tcPr>
            <w:tcW w:w="0" w:type="auto"/>
            <w:shd w:val="clear" w:color="auto" w:fill="CCEEFF"/>
            <w:tcMar>
              <w:top w:w="0" w:type="dxa"/>
              <w:left w:w="180" w:type="dxa"/>
              <w:bottom w:w="0" w:type="dxa"/>
              <w:right w:w="0" w:type="dxa"/>
            </w:tcMar>
            <w:vAlign w:val="bottom"/>
            <w:hideMark/>
          </w:tcPr>
          <w:p w14:paraId="7AFE82AE" w14:textId="77777777" w:rsidR="00000000" w:rsidRDefault="002F725F">
            <w:pPr>
              <w:ind w:hanging="180"/>
              <w:rPr>
                <w:rFonts w:eastAsia="Times New Roman"/>
                <w:b/>
                <w:bCs/>
                <w:sz w:val="20"/>
                <w:szCs w:val="20"/>
              </w:rPr>
            </w:pPr>
            <w:r>
              <w:rPr>
                <w:rFonts w:eastAsia="Times New Roman"/>
                <w:b/>
                <w:bCs/>
                <w:sz w:val="20"/>
                <w:szCs w:val="20"/>
              </w:rPr>
              <w:t>Gross Profit</w:t>
            </w:r>
          </w:p>
        </w:tc>
        <w:tc>
          <w:tcPr>
            <w:tcW w:w="0" w:type="auto"/>
            <w:shd w:val="clear" w:color="auto" w:fill="CCEEFF"/>
            <w:vAlign w:val="bottom"/>
            <w:hideMark/>
          </w:tcPr>
          <w:p w14:paraId="10E840D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90BC2F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343F958" w14:textId="77777777" w:rsidR="00000000" w:rsidRDefault="002F725F">
            <w:pPr>
              <w:jc w:val="right"/>
              <w:rPr>
                <w:rFonts w:eastAsia="Times New Roman"/>
                <w:sz w:val="20"/>
                <w:szCs w:val="20"/>
              </w:rPr>
            </w:pPr>
            <w:r>
              <w:rPr>
                <w:rFonts w:eastAsia="Times New Roman"/>
                <w:sz w:val="20"/>
                <w:szCs w:val="20"/>
              </w:rPr>
              <w:t>404.78</w:t>
            </w:r>
          </w:p>
        </w:tc>
        <w:tc>
          <w:tcPr>
            <w:tcW w:w="0" w:type="auto"/>
            <w:shd w:val="clear" w:color="auto" w:fill="CCEEFF"/>
            <w:vAlign w:val="bottom"/>
            <w:hideMark/>
          </w:tcPr>
          <w:p w14:paraId="31C1567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120227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8D6673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442E08E" w14:textId="77777777" w:rsidR="00000000" w:rsidRDefault="002F725F">
            <w:pPr>
              <w:jc w:val="right"/>
              <w:rPr>
                <w:rFonts w:eastAsia="Times New Roman"/>
                <w:sz w:val="20"/>
                <w:szCs w:val="20"/>
              </w:rPr>
            </w:pPr>
            <w:r>
              <w:rPr>
                <w:rFonts w:eastAsia="Times New Roman"/>
                <w:sz w:val="20"/>
                <w:szCs w:val="20"/>
              </w:rPr>
              <w:t>403.23</w:t>
            </w:r>
          </w:p>
        </w:tc>
        <w:tc>
          <w:tcPr>
            <w:tcW w:w="0" w:type="auto"/>
            <w:shd w:val="clear" w:color="auto" w:fill="CCEEFF"/>
            <w:vAlign w:val="bottom"/>
            <w:hideMark/>
          </w:tcPr>
          <w:p w14:paraId="54AD822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F67C2F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AAFC75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4800CC1" w14:textId="77777777" w:rsidR="00000000" w:rsidRDefault="002F725F">
            <w:pPr>
              <w:jc w:val="right"/>
              <w:rPr>
                <w:rFonts w:eastAsia="Times New Roman"/>
                <w:sz w:val="20"/>
                <w:szCs w:val="20"/>
              </w:rPr>
            </w:pPr>
            <w:r>
              <w:rPr>
                <w:rFonts w:eastAsia="Times New Roman"/>
                <w:sz w:val="20"/>
                <w:szCs w:val="20"/>
              </w:rPr>
              <w:t>407.75</w:t>
            </w:r>
          </w:p>
        </w:tc>
        <w:tc>
          <w:tcPr>
            <w:tcW w:w="0" w:type="auto"/>
            <w:shd w:val="clear" w:color="auto" w:fill="CCEEFF"/>
            <w:vAlign w:val="bottom"/>
            <w:hideMark/>
          </w:tcPr>
          <w:p w14:paraId="6F763D6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61D700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2609D6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F827957" w14:textId="77777777" w:rsidR="00000000" w:rsidRDefault="002F725F">
            <w:pPr>
              <w:jc w:val="right"/>
              <w:rPr>
                <w:rFonts w:eastAsia="Times New Roman"/>
                <w:sz w:val="20"/>
                <w:szCs w:val="20"/>
              </w:rPr>
            </w:pPr>
            <w:r>
              <w:rPr>
                <w:rFonts w:eastAsia="Times New Roman"/>
                <w:sz w:val="20"/>
                <w:szCs w:val="20"/>
              </w:rPr>
              <w:t>411.73</w:t>
            </w:r>
          </w:p>
        </w:tc>
        <w:tc>
          <w:tcPr>
            <w:tcW w:w="0" w:type="auto"/>
            <w:shd w:val="clear" w:color="auto" w:fill="CCEEFF"/>
            <w:vAlign w:val="bottom"/>
            <w:hideMark/>
          </w:tcPr>
          <w:p w14:paraId="2B75D60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2A1633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4686BE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4FF7F57" w14:textId="77777777" w:rsidR="00000000" w:rsidRDefault="002F725F">
            <w:pPr>
              <w:jc w:val="right"/>
              <w:rPr>
                <w:rFonts w:eastAsia="Times New Roman"/>
                <w:sz w:val="20"/>
                <w:szCs w:val="20"/>
              </w:rPr>
            </w:pPr>
            <w:r>
              <w:rPr>
                <w:rFonts w:eastAsia="Times New Roman"/>
                <w:sz w:val="20"/>
                <w:szCs w:val="20"/>
              </w:rPr>
              <w:t>422.24</w:t>
            </w:r>
          </w:p>
        </w:tc>
        <w:tc>
          <w:tcPr>
            <w:tcW w:w="0" w:type="auto"/>
            <w:shd w:val="clear" w:color="auto" w:fill="CCEEFF"/>
            <w:vAlign w:val="bottom"/>
            <w:hideMark/>
          </w:tcPr>
          <w:p w14:paraId="28C4F5F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71CB18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2D3C67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1707F37" w14:textId="77777777" w:rsidR="00000000" w:rsidRDefault="002F725F">
            <w:pPr>
              <w:jc w:val="right"/>
              <w:rPr>
                <w:rFonts w:eastAsia="Times New Roman"/>
                <w:sz w:val="20"/>
                <w:szCs w:val="20"/>
              </w:rPr>
            </w:pPr>
            <w:r>
              <w:rPr>
                <w:rFonts w:eastAsia="Times New Roman"/>
                <w:sz w:val="20"/>
                <w:szCs w:val="20"/>
              </w:rPr>
              <w:t>441.45</w:t>
            </w:r>
          </w:p>
        </w:tc>
        <w:tc>
          <w:tcPr>
            <w:tcW w:w="0" w:type="auto"/>
            <w:shd w:val="clear" w:color="auto" w:fill="CCEEFF"/>
            <w:vAlign w:val="bottom"/>
            <w:hideMark/>
          </w:tcPr>
          <w:p w14:paraId="33CD5A9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819252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7B2276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89E47AC" w14:textId="77777777" w:rsidR="00000000" w:rsidRDefault="002F725F">
            <w:pPr>
              <w:jc w:val="right"/>
              <w:rPr>
                <w:rFonts w:eastAsia="Times New Roman"/>
                <w:sz w:val="20"/>
                <w:szCs w:val="20"/>
              </w:rPr>
            </w:pPr>
            <w:r>
              <w:rPr>
                <w:rFonts w:eastAsia="Times New Roman"/>
                <w:sz w:val="20"/>
                <w:szCs w:val="20"/>
              </w:rPr>
              <w:t>458.91</w:t>
            </w:r>
          </w:p>
        </w:tc>
        <w:tc>
          <w:tcPr>
            <w:tcW w:w="0" w:type="auto"/>
            <w:shd w:val="clear" w:color="auto" w:fill="CCEEFF"/>
            <w:vAlign w:val="bottom"/>
            <w:hideMark/>
          </w:tcPr>
          <w:p w14:paraId="6B30869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FA871D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C23883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A2C7FCA" w14:textId="77777777" w:rsidR="00000000" w:rsidRDefault="002F725F">
            <w:pPr>
              <w:jc w:val="right"/>
              <w:rPr>
                <w:rFonts w:eastAsia="Times New Roman"/>
                <w:sz w:val="20"/>
                <w:szCs w:val="20"/>
              </w:rPr>
            </w:pPr>
            <w:r>
              <w:rPr>
                <w:rFonts w:eastAsia="Times New Roman"/>
                <w:sz w:val="20"/>
                <w:szCs w:val="20"/>
              </w:rPr>
              <w:t>472.98</w:t>
            </w:r>
          </w:p>
        </w:tc>
        <w:tc>
          <w:tcPr>
            <w:tcW w:w="0" w:type="auto"/>
            <w:shd w:val="clear" w:color="auto" w:fill="CCEEFF"/>
            <w:vAlign w:val="bottom"/>
            <w:hideMark/>
          </w:tcPr>
          <w:p w14:paraId="582F46DE" w14:textId="77777777" w:rsidR="00000000" w:rsidRDefault="002F725F">
            <w:pPr>
              <w:rPr>
                <w:rFonts w:eastAsia="Times New Roman"/>
                <w:sz w:val="20"/>
                <w:szCs w:val="20"/>
              </w:rPr>
            </w:pPr>
            <w:r>
              <w:rPr>
                <w:rFonts w:eastAsia="Times New Roman"/>
                <w:sz w:val="20"/>
                <w:szCs w:val="20"/>
              </w:rPr>
              <w:t> </w:t>
            </w:r>
          </w:p>
        </w:tc>
      </w:tr>
      <w:tr w:rsidR="002F725F" w14:paraId="74AE2229" w14:textId="77777777">
        <w:trPr>
          <w:divId w:val="415980837"/>
        </w:trPr>
        <w:tc>
          <w:tcPr>
            <w:tcW w:w="0" w:type="auto"/>
            <w:shd w:val="clear" w:color="auto" w:fill="FFFFFF"/>
            <w:tcMar>
              <w:top w:w="0" w:type="dxa"/>
              <w:left w:w="180" w:type="dxa"/>
              <w:bottom w:w="30" w:type="dxa"/>
              <w:right w:w="0" w:type="dxa"/>
            </w:tcMar>
            <w:vAlign w:val="bottom"/>
            <w:hideMark/>
          </w:tcPr>
          <w:p w14:paraId="316845DA" w14:textId="77777777" w:rsidR="00000000" w:rsidRDefault="002F725F">
            <w:pPr>
              <w:ind w:hanging="180"/>
              <w:rPr>
                <w:rFonts w:eastAsia="Times New Roman"/>
                <w:b/>
                <w:bCs/>
                <w:sz w:val="20"/>
                <w:szCs w:val="20"/>
              </w:rPr>
            </w:pPr>
            <w:r>
              <w:rPr>
                <w:rFonts w:eastAsia="Times New Roman"/>
                <w:b/>
                <w:bCs/>
                <w:sz w:val="20"/>
                <w:szCs w:val="20"/>
              </w:rPr>
              <w:t>Margin %</w:t>
            </w:r>
          </w:p>
        </w:tc>
        <w:tc>
          <w:tcPr>
            <w:tcW w:w="0" w:type="auto"/>
            <w:shd w:val="clear" w:color="auto" w:fill="FFFFFF"/>
            <w:tcMar>
              <w:top w:w="0" w:type="dxa"/>
              <w:left w:w="0" w:type="dxa"/>
              <w:bottom w:w="30" w:type="dxa"/>
              <w:right w:w="0" w:type="dxa"/>
            </w:tcMar>
            <w:vAlign w:val="bottom"/>
            <w:hideMark/>
          </w:tcPr>
          <w:p w14:paraId="084C7B4A" w14:textId="77777777" w:rsidR="00000000" w:rsidRDefault="002F725F">
            <w:pPr>
              <w:rPr>
                <w:rFonts w:eastAsia="Times New Roman"/>
                <w:i/>
                <w:iCs/>
                <w:sz w:val="20"/>
                <w:szCs w:val="20"/>
              </w:rPr>
            </w:pPr>
            <w:r>
              <w:rPr>
                <w:rFonts w:eastAsia="Times New Roman"/>
                <w:i/>
                <w:iCs/>
                <w:sz w:val="20"/>
                <w:szCs w:val="20"/>
              </w:rPr>
              <w:t> </w:t>
            </w:r>
          </w:p>
        </w:tc>
        <w:tc>
          <w:tcPr>
            <w:tcW w:w="0" w:type="auto"/>
            <w:tcBorders>
              <w:bottom w:val="single" w:sz="12" w:space="0" w:color="000000"/>
            </w:tcBorders>
            <w:shd w:val="clear" w:color="auto" w:fill="FFFFFF"/>
            <w:vAlign w:val="bottom"/>
            <w:hideMark/>
          </w:tcPr>
          <w:p w14:paraId="7922771C" w14:textId="77777777" w:rsidR="00000000" w:rsidRDefault="002F725F">
            <w:pPr>
              <w:rPr>
                <w:rFonts w:eastAsia="Times New Roman"/>
                <w:i/>
                <w:iCs/>
                <w:sz w:val="20"/>
                <w:szCs w:val="20"/>
              </w:rPr>
            </w:pPr>
            <w:r>
              <w:rPr>
                <w:rFonts w:eastAsia="Times New Roman"/>
                <w:i/>
                <w:iCs/>
                <w:sz w:val="20"/>
                <w:szCs w:val="20"/>
              </w:rPr>
              <w:t> </w:t>
            </w:r>
          </w:p>
        </w:tc>
        <w:tc>
          <w:tcPr>
            <w:tcW w:w="0" w:type="auto"/>
            <w:tcBorders>
              <w:bottom w:val="single" w:sz="12" w:space="0" w:color="000000"/>
            </w:tcBorders>
            <w:shd w:val="clear" w:color="auto" w:fill="FFFFFF"/>
            <w:vAlign w:val="bottom"/>
            <w:hideMark/>
          </w:tcPr>
          <w:p w14:paraId="3A4053F9" w14:textId="77777777" w:rsidR="00000000" w:rsidRDefault="002F725F">
            <w:pPr>
              <w:jc w:val="right"/>
              <w:rPr>
                <w:rFonts w:eastAsia="Times New Roman"/>
                <w:i/>
                <w:iCs/>
                <w:sz w:val="20"/>
                <w:szCs w:val="20"/>
              </w:rPr>
            </w:pPr>
            <w:r>
              <w:rPr>
                <w:rFonts w:eastAsia="Times New Roman"/>
                <w:i/>
                <w:iCs/>
                <w:sz w:val="20"/>
                <w:szCs w:val="20"/>
              </w:rPr>
              <w:t>78.37</w:t>
            </w:r>
          </w:p>
        </w:tc>
        <w:tc>
          <w:tcPr>
            <w:tcW w:w="0" w:type="auto"/>
            <w:shd w:val="clear" w:color="auto" w:fill="FFFFFF"/>
            <w:tcMar>
              <w:top w:w="0" w:type="dxa"/>
              <w:left w:w="0" w:type="dxa"/>
              <w:bottom w:w="30" w:type="dxa"/>
              <w:right w:w="0" w:type="dxa"/>
            </w:tcMar>
            <w:vAlign w:val="bottom"/>
            <w:hideMark/>
          </w:tcPr>
          <w:p w14:paraId="50E25963" w14:textId="77777777" w:rsidR="00000000" w:rsidRDefault="002F725F">
            <w:pPr>
              <w:rPr>
                <w:rFonts w:eastAsia="Times New Roman"/>
                <w:i/>
                <w:iCs/>
                <w:sz w:val="20"/>
                <w:szCs w:val="20"/>
              </w:rPr>
            </w:pPr>
            <w:r>
              <w:rPr>
                <w:rFonts w:eastAsia="Times New Roman"/>
                <w:i/>
                <w:iCs/>
                <w:sz w:val="20"/>
                <w:szCs w:val="20"/>
              </w:rPr>
              <w:t>%</w:t>
            </w:r>
          </w:p>
        </w:tc>
        <w:tc>
          <w:tcPr>
            <w:tcW w:w="0" w:type="auto"/>
            <w:shd w:val="clear" w:color="auto" w:fill="FFFFFF"/>
            <w:tcMar>
              <w:top w:w="0" w:type="dxa"/>
              <w:left w:w="0" w:type="dxa"/>
              <w:bottom w:w="30" w:type="dxa"/>
              <w:right w:w="0" w:type="dxa"/>
            </w:tcMar>
            <w:vAlign w:val="bottom"/>
            <w:hideMark/>
          </w:tcPr>
          <w:p w14:paraId="168C1451" w14:textId="77777777" w:rsidR="00000000" w:rsidRDefault="002F725F">
            <w:pPr>
              <w:rPr>
                <w:rFonts w:eastAsia="Times New Roman"/>
                <w:i/>
                <w:iCs/>
                <w:sz w:val="20"/>
                <w:szCs w:val="20"/>
              </w:rPr>
            </w:pPr>
            <w:r>
              <w:rPr>
                <w:rFonts w:eastAsia="Times New Roman"/>
                <w:i/>
                <w:iCs/>
                <w:sz w:val="20"/>
                <w:szCs w:val="20"/>
              </w:rPr>
              <w:t> </w:t>
            </w:r>
          </w:p>
        </w:tc>
        <w:tc>
          <w:tcPr>
            <w:tcW w:w="0" w:type="auto"/>
            <w:tcBorders>
              <w:bottom w:val="single" w:sz="12" w:space="0" w:color="000000"/>
            </w:tcBorders>
            <w:shd w:val="clear" w:color="auto" w:fill="FFFFFF"/>
            <w:vAlign w:val="bottom"/>
            <w:hideMark/>
          </w:tcPr>
          <w:p w14:paraId="16F429BD" w14:textId="77777777" w:rsidR="00000000" w:rsidRDefault="002F725F">
            <w:pPr>
              <w:rPr>
                <w:rFonts w:eastAsia="Times New Roman"/>
                <w:i/>
                <w:iCs/>
                <w:sz w:val="20"/>
                <w:szCs w:val="20"/>
              </w:rPr>
            </w:pPr>
            <w:r>
              <w:rPr>
                <w:rFonts w:eastAsia="Times New Roman"/>
                <w:i/>
                <w:iCs/>
                <w:sz w:val="20"/>
                <w:szCs w:val="20"/>
              </w:rPr>
              <w:t> </w:t>
            </w:r>
          </w:p>
        </w:tc>
        <w:tc>
          <w:tcPr>
            <w:tcW w:w="0" w:type="auto"/>
            <w:tcBorders>
              <w:bottom w:val="single" w:sz="12" w:space="0" w:color="000000"/>
            </w:tcBorders>
            <w:shd w:val="clear" w:color="auto" w:fill="FFFFFF"/>
            <w:vAlign w:val="bottom"/>
            <w:hideMark/>
          </w:tcPr>
          <w:p w14:paraId="2FF207FC" w14:textId="77777777" w:rsidR="00000000" w:rsidRDefault="002F725F">
            <w:pPr>
              <w:jc w:val="right"/>
              <w:rPr>
                <w:rFonts w:eastAsia="Times New Roman"/>
                <w:i/>
                <w:iCs/>
                <w:sz w:val="20"/>
                <w:szCs w:val="20"/>
              </w:rPr>
            </w:pPr>
            <w:r>
              <w:rPr>
                <w:rFonts w:eastAsia="Times New Roman"/>
                <w:i/>
                <w:iCs/>
                <w:sz w:val="20"/>
                <w:szCs w:val="20"/>
              </w:rPr>
              <w:t>77.89</w:t>
            </w:r>
          </w:p>
        </w:tc>
        <w:tc>
          <w:tcPr>
            <w:tcW w:w="0" w:type="auto"/>
            <w:shd w:val="clear" w:color="auto" w:fill="FFFFFF"/>
            <w:tcMar>
              <w:top w:w="0" w:type="dxa"/>
              <w:left w:w="0" w:type="dxa"/>
              <w:bottom w:w="30" w:type="dxa"/>
              <w:right w:w="0" w:type="dxa"/>
            </w:tcMar>
            <w:vAlign w:val="bottom"/>
            <w:hideMark/>
          </w:tcPr>
          <w:p w14:paraId="73291D98" w14:textId="77777777" w:rsidR="00000000" w:rsidRDefault="002F725F">
            <w:pPr>
              <w:rPr>
                <w:rFonts w:eastAsia="Times New Roman"/>
                <w:i/>
                <w:iCs/>
                <w:sz w:val="20"/>
                <w:szCs w:val="20"/>
              </w:rPr>
            </w:pPr>
            <w:r>
              <w:rPr>
                <w:rFonts w:eastAsia="Times New Roman"/>
                <w:i/>
                <w:iCs/>
                <w:sz w:val="20"/>
                <w:szCs w:val="20"/>
              </w:rPr>
              <w:t>%</w:t>
            </w:r>
          </w:p>
        </w:tc>
        <w:tc>
          <w:tcPr>
            <w:tcW w:w="0" w:type="auto"/>
            <w:shd w:val="clear" w:color="auto" w:fill="FFFFFF"/>
            <w:tcMar>
              <w:top w:w="0" w:type="dxa"/>
              <w:left w:w="0" w:type="dxa"/>
              <w:bottom w:w="30" w:type="dxa"/>
              <w:right w:w="0" w:type="dxa"/>
            </w:tcMar>
            <w:vAlign w:val="bottom"/>
            <w:hideMark/>
          </w:tcPr>
          <w:p w14:paraId="0B614243" w14:textId="77777777" w:rsidR="00000000" w:rsidRDefault="002F725F">
            <w:pPr>
              <w:rPr>
                <w:rFonts w:eastAsia="Times New Roman"/>
                <w:i/>
                <w:iCs/>
                <w:sz w:val="20"/>
                <w:szCs w:val="20"/>
              </w:rPr>
            </w:pPr>
            <w:r>
              <w:rPr>
                <w:rFonts w:eastAsia="Times New Roman"/>
                <w:i/>
                <w:iCs/>
                <w:sz w:val="20"/>
                <w:szCs w:val="20"/>
              </w:rPr>
              <w:t> </w:t>
            </w:r>
          </w:p>
        </w:tc>
        <w:tc>
          <w:tcPr>
            <w:tcW w:w="0" w:type="auto"/>
            <w:tcBorders>
              <w:bottom w:val="single" w:sz="12" w:space="0" w:color="000000"/>
            </w:tcBorders>
            <w:shd w:val="clear" w:color="auto" w:fill="FFFFFF"/>
            <w:vAlign w:val="bottom"/>
            <w:hideMark/>
          </w:tcPr>
          <w:p w14:paraId="2D37C980" w14:textId="77777777" w:rsidR="00000000" w:rsidRDefault="002F725F">
            <w:pPr>
              <w:rPr>
                <w:rFonts w:eastAsia="Times New Roman"/>
                <w:i/>
                <w:iCs/>
                <w:sz w:val="20"/>
                <w:szCs w:val="20"/>
              </w:rPr>
            </w:pPr>
            <w:r>
              <w:rPr>
                <w:rFonts w:eastAsia="Times New Roman"/>
                <w:i/>
                <w:iCs/>
                <w:sz w:val="20"/>
                <w:szCs w:val="20"/>
              </w:rPr>
              <w:t> </w:t>
            </w:r>
          </w:p>
        </w:tc>
        <w:tc>
          <w:tcPr>
            <w:tcW w:w="0" w:type="auto"/>
            <w:tcBorders>
              <w:bottom w:val="single" w:sz="12" w:space="0" w:color="000000"/>
            </w:tcBorders>
            <w:shd w:val="clear" w:color="auto" w:fill="FFFFFF"/>
            <w:vAlign w:val="bottom"/>
            <w:hideMark/>
          </w:tcPr>
          <w:p w14:paraId="503A0013" w14:textId="77777777" w:rsidR="00000000" w:rsidRDefault="002F725F">
            <w:pPr>
              <w:jc w:val="right"/>
              <w:rPr>
                <w:rFonts w:eastAsia="Times New Roman"/>
                <w:i/>
                <w:iCs/>
                <w:sz w:val="20"/>
                <w:szCs w:val="20"/>
              </w:rPr>
            </w:pPr>
            <w:r>
              <w:rPr>
                <w:rFonts w:eastAsia="Times New Roman"/>
                <w:i/>
                <w:iCs/>
                <w:sz w:val="20"/>
                <w:szCs w:val="20"/>
              </w:rPr>
              <w:t>78.33</w:t>
            </w:r>
          </w:p>
        </w:tc>
        <w:tc>
          <w:tcPr>
            <w:tcW w:w="0" w:type="auto"/>
            <w:shd w:val="clear" w:color="auto" w:fill="FFFFFF"/>
            <w:tcMar>
              <w:top w:w="0" w:type="dxa"/>
              <w:left w:w="0" w:type="dxa"/>
              <w:bottom w:w="30" w:type="dxa"/>
              <w:right w:w="0" w:type="dxa"/>
            </w:tcMar>
            <w:vAlign w:val="bottom"/>
            <w:hideMark/>
          </w:tcPr>
          <w:p w14:paraId="5C21CB2B" w14:textId="77777777" w:rsidR="00000000" w:rsidRDefault="002F725F">
            <w:pPr>
              <w:rPr>
                <w:rFonts w:eastAsia="Times New Roman"/>
                <w:i/>
                <w:iCs/>
                <w:sz w:val="20"/>
                <w:szCs w:val="20"/>
              </w:rPr>
            </w:pPr>
            <w:r>
              <w:rPr>
                <w:rFonts w:eastAsia="Times New Roman"/>
                <w:i/>
                <w:iCs/>
                <w:sz w:val="20"/>
                <w:szCs w:val="20"/>
              </w:rPr>
              <w:t>%</w:t>
            </w:r>
          </w:p>
        </w:tc>
        <w:tc>
          <w:tcPr>
            <w:tcW w:w="0" w:type="auto"/>
            <w:shd w:val="clear" w:color="auto" w:fill="FFFFFF"/>
            <w:tcMar>
              <w:top w:w="0" w:type="dxa"/>
              <w:left w:w="0" w:type="dxa"/>
              <w:bottom w:w="30" w:type="dxa"/>
              <w:right w:w="0" w:type="dxa"/>
            </w:tcMar>
            <w:vAlign w:val="bottom"/>
            <w:hideMark/>
          </w:tcPr>
          <w:p w14:paraId="177C0A8A" w14:textId="77777777" w:rsidR="00000000" w:rsidRDefault="002F725F">
            <w:pPr>
              <w:rPr>
                <w:rFonts w:eastAsia="Times New Roman"/>
                <w:i/>
                <w:iCs/>
                <w:sz w:val="20"/>
                <w:szCs w:val="20"/>
              </w:rPr>
            </w:pPr>
            <w:r>
              <w:rPr>
                <w:rFonts w:eastAsia="Times New Roman"/>
                <w:i/>
                <w:iCs/>
                <w:sz w:val="20"/>
                <w:szCs w:val="20"/>
              </w:rPr>
              <w:t> </w:t>
            </w:r>
          </w:p>
        </w:tc>
        <w:tc>
          <w:tcPr>
            <w:tcW w:w="0" w:type="auto"/>
            <w:tcBorders>
              <w:bottom w:val="single" w:sz="12" w:space="0" w:color="000000"/>
            </w:tcBorders>
            <w:shd w:val="clear" w:color="auto" w:fill="FFFFFF"/>
            <w:vAlign w:val="bottom"/>
            <w:hideMark/>
          </w:tcPr>
          <w:p w14:paraId="0CAD026A" w14:textId="77777777" w:rsidR="00000000" w:rsidRDefault="002F725F">
            <w:pPr>
              <w:rPr>
                <w:rFonts w:eastAsia="Times New Roman"/>
                <w:i/>
                <w:iCs/>
                <w:sz w:val="20"/>
                <w:szCs w:val="20"/>
              </w:rPr>
            </w:pPr>
            <w:r>
              <w:rPr>
                <w:rFonts w:eastAsia="Times New Roman"/>
                <w:i/>
                <w:iCs/>
                <w:sz w:val="20"/>
                <w:szCs w:val="20"/>
              </w:rPr>
              <w:t> </w:t>
            </w:r>
          </w:p>
        </w:tc>
        <w:tc>
          <w:tcPr>
            <w:tcW w:w="0" w:type="auto"/>
            <w:tcBorders>
              <w:bottom w:val="single" w:sz="12" w:space="0" w:color="000000"/>
            </w:tcBorders>
            <w:shd w:val="clear" w:color="auto" w:fill="FFFFFF"/>
            <w:vAlign w:val="bottom"/>
            <w:hideMark/>
          </w:tcPr>
          <w:p w14:paraId="64424B69" w14:textId="77777777" w:rsidR="00000000" w:rsidRDefault="002F725F">
            <w:pPr>
              <w:jc w:val="right"/>
              <w:rPr>
                <w:rFonts w:eastAsia="Times New Roman"/>
                <w:i/>
                <w:iCs/>
                <w:sz w:val="20"/>
                <w:szCs w:val="20"/>
              </w:rPr>
            </w:pPr>
            <w:r>
              <w:rPr>
                <w:rFonts w:eastAsia="Times New Roman"/>
                <w:i/>
                <w:iCs/>
                <w:sz w:val="20"/>
                <w:szCs w:val="20"/>
              </w:rPr>
              <w:t>79.26</w:t>
            </w:r>
          </w:p>
        </w:tc>
        <w:tc>
          <w:tcPr>
            <w:tcW w:w="0" w:type="auto"/>
            <w:shd w:val="clear" w:color="auto" w:fill="FFFFFF"/>
            <w:tcMar>
              <w:top w:w="0" w:type="dxa"/>
              <w:left w:w="0" w:type="dxa"/>
              <w:bottom w:w="30" w:type="dxa"/>
              <w:right w:w="0" w:type="dxa"/>
            </w:tcMar>
            <w:vAlign w:val="bottom"/>
            <w:hideMark/>
          </w:tcPr>
          <w:p w14:paraId="5E53F01B" w14:textId="77777777" w:rsidR="00000000" w:rsidRDefault="002F725F">
            <w:pPr>
              <w:rPr>
                <w:rFonts w:eastAsia="Times New Roman"/>
                <w:i/>
                <w:iCs/>
                <w:sz w:val="20"/>
                <w:szCs w:val="20"/>
              </w:rPr>
            </w:pPr>
            <w:r>
              <w:rPr>
                <w:rFonts w:eastAsia="Times New Roman"/>
                <w:i/>
                <w:iCs/>
                <w:sz w:val="20"/>
                <w:szCs w:val="20"/>
              </w:rPr>
              <w:t>%</w:t>
            </w:r>
          </w:p>
        </w:tc>
        <w:tc>
          <w:tcPr>
            <w:tcW w:w="0" w:type="auto"/>
            <w:shd w:val="clear" w:color="auto" w:fill="FFFFFF"/>
            <w:tcMar>
              <w:top w:w="0" w:type="dxa"/>
              <w:left w:w="0" w:type="dxa"/>
              <w:bottom w:w="30" w:type="dxa"/>
              <w:right w:w="0" w:type="dxa"/>
            </w:tcMar>
            <w:vAlign w:val="bottom"/>
            <w:hideMark/>
          </w:tcPr>
          <w:p w14:paraId="552F2A67" w14:textId="77777777" w:rsidR="00000000" w:rsidRDefault="002F725F">
            <w:pPr>
              <w:rPr>
                <w:rFonts w:eastAsia="Times New Roman"/>
                <w:i/>
                <w:iCs/>
                <w:sz w:val="20"/>
                <w:szCs w:val="20"/>
              </w:rPr>
            </w:pPr>
            <w:r>
              <w:rPr>
                <w:rFonts w:eastAsia="Times New Roman"/>
                <w:i/>
                <w:iCs/>
                <w:sz w:val="20"/>
                <w:szCs w:val="20"/>
              </w:rPr>
              <w:t> </w:t>
            </w:r>
          </w:p>
        </w:tc>
        <w:tc>
          <w:tcPr>
            <w:tcW w:w="0" w:type="auto"/>
            <w:tcBorders>
              <w:bottom w:val="single" w:sz="12" w:space="0" w:color="000000"/>
            </w:tcBorders>
            <w:shd w:val="clear" w:color="auto" w:fill="FFFFFF"/>
            <w:vAlign w:val="bottom"/>
            <w:hideMark/>
          </w:tcPr>
          <w:p w14:paraId="0D7A8F28" w14:textId="77777777" w:rsidR="00000000" w:rsidRDefault="002F725F">
            <w:pPr>
              <w:rPr>
                <w:rFonts w:eastAsia="Times New Roman"/>
                <w:i/>
                <w:iCs/>
                <w:sz w:val="20"/>
                <w:szCs w:val="20"/>
              </w:rPr>
            </w:pPr>
            <w:r>
              <w:rPr>
                <w:rFonts w:eastAsia="Times New Roman"/>
                <w:i/>
                <w:iCs/>
                <w:sz w:val="20"/>
                <w:szCs w:val="20"/>
              </w:rPr>
              <w:t> </w:t>
            </w:r>
          </w:p>
        </w:tc>
        <w:tc>
          <w:tcPr>
            <w:tcW w:w="0" w:type="auto"/>
            <w:tcBorders>
              <w:bottom w:val="single" w:sz="12" w:space="0" w:color="000000"/>
            </w:tcBorders>
            <w:shd w:val="clear" w:color="auto" w:fill="FFFFFF"/>
            <w:vAlign w:val="bottom"/>
            <w:hideMark/>
          </w:tcPr>
          <w:p w14:paraId="31D2ADED" w14:textId="77777777" w:rsidR="00000000" w:rsidRDefault="002F725F">
            <w:pPr>
              <w:jc w:val="right"/>
              <w:rPr>
                <w:rFonts w:eastAsia="Times New Roman"/>
                <w:i/>
                <w:iCs/>
                <w:sz w:val="20"/>
                <w:szCs w:val="20"/>
              </w:rPr>
            </w:pPr>
            <w:r>
              <w:rPr>
                <w:rFonts w:eastAsia="Times New Roman"/>
                <w:i/>
                <w:iCs/>
                <w:sz w:val="20"/>
                <w:szCs w:val="20"/>
              </w:rPr>
              <w:t>79.91</w:t>
            </w:r>
          </w:p>
        </w:tc>
        <w:tc>
          <w:tcPr>
            <w:tcW w:w="0" w:type="auto"/>
            <w:shd w:val="clear" w:color="auto" w:fill="FFFFFF"/>
            <w:tcMar>
              <w:top w:w="0" w:type="dxa"/>
              <w:left w:w="0" w:type="dxa"/>
              <w:bottom w:w="30" w:type="dxa"/>
              <w:right w:w="0" w:type="dxa"/>
            </w:tcMar>
            <w:vAlign w:val="bottom"/>
            <w:hideMark/>
          </w:tcPr>
          <w:p w14:paraId="7A672001" w14:textId="77777777" w:rsidR="00000000" w:rsidRDefault="002F725F">
            <w:pPr>
              <w:rPr>
                <w:rFonts w:eastAsia="Times New Roman"/>
                <w:i/>
                <w:iCs/>
                <w:sz w:val="20"/>
                <w:szCs w:val="20"/>
              </w:rPr>
            </w:pPr>
            <w:r>
              <w:rPr>
                <w:rFonts w:eastAsia="Times New Roman"/>
                <w:i/>
                <w:iCs/>
                <w:sz w:val="20"/>
                <w:szCs w:val="20"/>
              </w:rPr>
              <w:t>%</w:t>
            </w:r>
          </w:p>
        </w:tc>
        <w:tc>
          <w:tcPr>
            <w:tcW w:w="0" w:type="auto"/>
            <w:shd w:val="clear" w:color="auto" w:fill="FFFFFF"/>
            <w:tcMar>
              <w:top w:w="0" w:type="dxa"/>
              <w:left w:w="0" w:type="dxa"/>
              <w:bottom w:w="30" w:type="dxa"/>
              <w:right w:w="0" w:type="dxa"/>
            </w:tcMar>
            <w:vAlign w:val="bottom"/>
            <w:hideMark/>
          </w:tcPr>
          <w:p w14:paraId="6143CE6E" w14:textId="77777777" w:rsidR="00000000" w:rsidRDefault="002F725F">
            <w:pPr>
              <w:rPr>
                <w:rFonts w:eastAsia="Times New Roman"/>
                <w:i/>
                <w:iCs/>
                <w:sz w:val="20"/>
                <w:szCs w:val="20"/>
              </w:rPr>
            </w:pPr>
            <w:r>
              <w:rPr>
                <w:rFonts w:eastAsia="Times New Roman"/>
                <w:i/>
                <w:iCs/>
                <w:sz w:val="20"/>
                <w:szCs w:val="20"/>
              </w:rPr>
              <w:t> </w:t>
            </w:r>
          </w:p>
        </w:tc>
        <w:tc>
          <w:tcPr>
            <w:tcW w:w="0" w:type="auto"/>
            <w:tcBorders>
              <w:bottom w:val="single" w:sz="12" w:space="0" w:color="000000"/>
            </w:tcBorders>
            <w:shd w:val="clear" w:color="auto" w:fill="FFFFFF"/>
            <w:vAlign w:val="bottom"/>
            <w:hideMark/>
          </w:tcPr>
          <w:p w14:paraId="01534CC6" w14:textId="77777777" w:rsidR="00000000" w:rsidRDefault="002F725F">
            <w:pPr>
              <w:rPr>
                <w:rFonts w:eastAsia="Times New Roman"/>
                <w:i/>
                <w:iCs/>
                <w:sz w:val="20"/>
                <w:szCs w:val="20"/>
              </w:rPr>
            </w:pPr>
            <w:r>
              <w:rPr>
                <w:rFonts w:eastAsia="Times New Roman"/>
                <w:i/>
                <w:iCs/>
                <w:sz w:val="20"/>
                <w:szCs w:val="20"/>
              </w:rPr>
              <w:t> </w:t>
            </w:r>
          </w:p>
        </w:tc>
        <w:tc>
          <w:tcPr>
            <w:tcW w:w="0" w:type="auto"/>
            <w:tcBorders>
              <w:bottom w:val="single" w:sz="12" w:space="0" w:color="000000"/>
            </w:tcBorders>
            <w:shd w:val="clear" w:color="auto" w:fill="FFFFFF"/>
            <w:vAlign w:val="bottom"/>
            <w:hideMark/>
          </w:tcPr>
          <w:p w14:paraId="73B4F03D" w14:textId="77777777" w:rsidR="00000000" w:rsidRDefault="002F725F">
            <w:pPr>
              <w:jc w:val="right"/>
              <w:rPr>
                <w:rFonts w:eastAsia="Times New Roman"/>
                <w:i/>
                <w:iCs/>
                <w:sz w:val="20"/>
                <w:szCs w:val="20"/>
              </w:rPr>
            </w:pPr>
            <w:r>
              <w:rPr>
                <w:rFonts w:eastAsia="Times New Roman"/>
                <w:i/>
                <w:iCs/>
                <w:sz w:val="20"/>
                <w:szCs w:val="20"/>
              </w:rPr>
              <w:t>80.80</w:t>
            </w:r>
          </w:p>
        </w:tc>
        <w:tc>
          <w:tcPr>
            <w:tcW w:w="0" w:type="auto"/>
            <w:shd w:val="clear" w:color="auto" w:fill="FFFFFF"/>
            <w:tcMar>
              <w:top w:w="0" w:type="dxa"/>
              <w:left w:w="0" w:type="dxa"/>
              <w:bottom w:w="30" w:type="dxa"/>
              <w:right w:w="0" w:type="dxa"/>
            </w:tcMar>
            <w:vAlign w:val="bottom"/>
            <w:hideMark/>
          </w:tcPr>
          <w:p w14:paraId="7F7149B8" w14:textId="77777777" w:rsidR="00000000" w:rsidRDefault="002F725F">
            <w:pPr>
              <w:rPr>
                <w:rFonts w:eastAsia="Times New Roman"/>
                <w:i/>
                <w:iCs/>
                <w:sz w:val="20"/>
                <w:szCs w:val="20"/>
              </w:rPr>
            </w:pPr>
            <w:r>
              <w:rPr>
                <w:rFonts w:eastAsia="Times New Roman"/>
                <w:i/>
                <w:iCs/>
                <w:sz w:val="20"/>
                <w:szCs w:val="20"/>
              </w:rPr>
              <w:t>%</w:t>
            </w:r>
          </w:p>
        </w:tc>
        <w:tc>
          <w:tcPr>
            <w:tcW w:w="0" w:type="auto"/>
            <w:shd w:val="clear" w:color="auto" w:fill="FFFFFF"/>
            <w:tcMar>
              <w:top w:w="0" w:type="dxa"/>
              <w:left w:w="0" w:type="dxa"/>
              <w:bottom w:w="30" w:type="dxa"/>
              <w:right w:w="0" w:type="dxa"/>
            </w:tcMar>
            <w:vAlign w:val="bottom"/>
            <w:hideMark/>
          </w:tcPr>
          <w:p w14:paraId="38262370" w14:textId="77777777" w:rsidR="00000000" w:rsidRDefault="002F725F">
            <w:pPr>
              <w:rPr>
                <w:rFonts w:eastAsia="Times New Roman"/>
                <w:i/>
                <w:iCs/>
                <w:sz w:val="20"/>
                <w:szCs w:val="20"/>
              </w:rPr>
            </w:pPr>
            <w:r>
              <w:rPr>
                <w:rFonts w:eastAsia="Times New Roman"/>
                <w:i/>
                <w:iCs/>
                <w:sz w:val="20"/>
                <w:szCs w:val="20"/>
              </w:rPr>
              <w:t> </w:t>
            </w:r>
          </w:p>
        </w:tc>
        <w:tc>
          <w:tcPr>
            <w:tcW w:w="0" w:type="auto"/>
            <w:tcBorders>
              <w:bottom w:val="single" w:sz="12" w:space="0" w:color="000000"/>
            </w:tcBorders>
            <w:shd w:val="clear" w:color="auto" w:fill="FFFFFF"/>
            <w:vAlign w:val="bottom"/>
            <w:hideMark/>
          </w:tcPr>
          <w:p w14:paraId="2A2A4273" w14:textId="77777777" w:rsidR="00000000" w:rsidRDefault="002F725F">
            <w:pPr>
              <w:rPr>
                <w:rFonts w:eastAsia="Times New Roman"/>
                <w:i/>
                <w:iCs/>
                <w:sz w:val="20"/>
                <w:szCs w:val="20"/>
              </w:rPr>
            </w:pPr>
            <w:r>
              <w:rPr>
                <w:rFonts w:eastAsia="Times New Roman"/>
                <w:i/>
                <w:iCs/>
                <w:sz w:val="20"/>
                <w:szCs w:val="20"/>
              </w:rPr>
              <w:t> </w:t>
            </w:r>
          </w:p>
        </w:tc>
        <w:tc>
          <w:tcPr>
            <w:tcW w:w="0" w:type="auto"/>
            <w:tcBorders>
              <w:bottom w:val="single" w:sz="12" w:space="0" w:color="000000"/>
            </w:tcBorders>
            <w:shd w:val="clear" w:color="auto" w:fill="FFFFFF"/>
            <w:vAlign w:val="bottom"/>
            <w:hideMark/>
          </w:tcPr>
          <w:p w14:paraId="3244098C" w14:textId="77777777" w:rsidR="00000000" w:rsidRDefault="002F725F">
            <w:pPr>
              <w:jc w:val="right"/>
              <w:rPr>
                <w:rFonts w:eastAsia="Times New Roman"/>
                <w:i/>
                <w:iCs/>
                <w:sz w:val="20"/>
                <w:szCs w:val="20"/>
              </w:rPr>
            </w:pPr>
            <w:r>
              <w:rPr>
                <w:rFonts w:eastAsia="Times New Roman"/>
                <w:i/>
                <w:iCs/>
                <w:sz w:val="20"/>
                <w:szCs w:val="20"/>
              </w:rPr>
              <w:t>81.58</w:t>
            </w:r>
          </w:p>
        </w:tc>
        <w:tc>
          <w:tcPr>
            <w:tcW w:w="0" w:type="auto"/>
            <w:shd w:val="clear" w:color="auto" w:fill="FFFFFF"/>
            <w:tcMar>
              <w:top w:w="0" w:type="dxa"/>
              <w:left w:w="0" w:type="dxa"/>
              <w:bottom w:w="30" w:type="dxa"/>
              <w:right w:w="0" w:type="dxa"/>
            </w:tcMar>
            <w:vAlign w:val="bottom"/>
            <w:hideMark/>
          </w:tcPr>
          <w:p w14:paraId="772F1C8B" w14:textId="77777777" w:rsidR="00000000" w:rsidRDefault="002F725F">
            <w:pPr>
              <w:rPr>
                <w:rFonts w:eastAsia="Times New Roman"/>
                <w:i/>
                <w:iCs/>
                <w:sz w:val="20"/>
                <w:szCs w:val="20"/>
              </w:rPr>
            </w:pPr>
            <w:r>
              <w:rPr>
                <w:rFonts w:eastAsia="Times New Roman"/>
                <w:i/>
                <w:iCs/>
                <w:sz w:val="20"/>
                <w:szCs w:val="20"/>
              </w:rPr>
              <w:t>%</w:t>
            </w:r>
          </w:p>
        </w:tc>
        <w:tc>
          <w:tcPr>
            <w:tcW w:w="0" w:type="auto"/>
            <w:shd w:val="clear" w:color="auto" w:fill="FFFFFF"/>
            <w:tcMar>
              <w:top w:w="0" w:type="dxa"/>
              <w:left w:w="0" w:type="dxa"/>
              <w:bottom w:w="30" w:type="dxa"/>
              <w:right w:w="0" w:type="dxa"/>
            </w:tcMar>
            <w:vAlign w:val="bottom"/>
            <w:hideMark/>
          </w:tcPr>
          <w:p w14:paraId="6566F4C8" w14:textId="77777777" w:rsidR="00000000" w:rsidRDefault="002F725F">
            <w:pPr>
              <w:rPr>
                <w:rFonts w:eastAsia="Times New Roman"/>
                <w:i/>
                <w:iCs/>
                <w:sz w:val="20"/>
                <w:szCs w:val="20"/>
              </w:rPr>
            </w:pPr>
            <w:r>
              <w:rPr>
                <w:rFonts w:eastAsia="Times New Roman"/>
                <w:i/>
                <w:iCs/>
                <w:sz w:val="20"/>
                <w:szCs w:val="20"/>
              </w:rPr>
              <w:t> </w:t>
            </w:r>
          </w:p>
        </w:tc>
        <w:tc>
          <w:tcPr>
            <w:tcW w:w="0" w:type="auto"/>
            <w:tcBorders>
              <w:bottom w:val="single" w:sz="12" w:space="0" w:color="000000"/>
            </w:tcBorders>
            <w:shd w:val="clear" w:color="auto" w:fill="FFFFFF"/>
            <w:vAlign w:val="bottom"/>
            <w:hideMark/>
          </w:tcPr>
          <w:p w14:paraId="39C99943" w14:textId="77777777" w:rsidR="00000000" w:rsidRDefault="002F725F">
            <w:pPr>
              <w:rPr>
                <w:rFonts w:eastAsia="Times New Roman"/>
                <w:i/>
                <w:iCs/>
                <w:sz w:val="20"/>
                <w:szCs w:val="20"/>
              </w:rPr>
            </w:pPr>
            <w:r>
              <w:rPr>
                <w:rFonts w:eastAsia="Times New Roman"/>
                <w:i/>
                <w:iCs/>
                <w:sz w:val="20"/>
                <w:szCs w:val="20"/>
              </w:rPr>
              <w:t> </w:t>
            </w:r>
          </w:p>
        </w:tc>
        <w:tc>
          <w:tcPr>
            <w:tcW w:w="0" w:type="auto"/>
            <w:tcBorders>
              <w:bottom w:val="single" w:sz="12" w:space="0" w:color="000000"/>
            </w:tcBorders>
            <w:shd w:val="clear" w:color="auto" w:fill="FFFFFF"/>
            <w:vAlign w:val="bottom"/>
            <w:hideMark/>
          </w:tcPr>
          <w:p w14:paraId="06097BCE" w14:textId="77777777" w:rsidR="00000000" w:rsidRDefault="002F725F">
            <w:pPr>
              <w:jc w:val="right"/>
              <w:rPr>
                <w:rFonts w:eastAsia="Times New Roman"/>
                <w:i/>
                <w:iCs/>
                <w:sz w:val="20"/>
                <w:szCs w:val="20"/>
              </w:rPr>
            </w:pPr>
            <w:r>
              <w:rPr>
                <w:rFonts w:eastAsia="Times New Roman"/>
                <w:i/>
                <w:iCs/>
                <w:sz w:val="20"/>
                <w:szCs w:val="20"/>
              </w:rPr>
              <w:t>81.77</w:t>
            </w:r>
          </w:p>
        </w:tc>
        <w:tc>
          <w:tcPr>
            <w:tcW w:w="0" w:type="auto"/>
            <w:shd w:val="clear" w:color="auto" w:fill="FFFFFF"/>
            <w:tcMar>
              <w:top w:w="0" w:type="dxa"/>
              <w:left w:w="0" w:type="dxa"/>
              <w:bottom w:w="30" w:type="dxa"/>
              <w:right w:w="0" w:type="dxa"/>
            </w:tcMar>
            <w:vAlign w:val="bottom"/>
            <w:hideMark/>
          </w:tcPr>
          <w:p w14:paraId="34DF46DB" w14:textId="77777777" w:rsidR="00000000" w:rsidRDefault="002F725F">
            <w:pPr>
              <w:rPr>
                <w:rFonts w:eastAsia="Times New Roman"/>
                <w:i/>
                <w:iCs/>
                <w:sz w:val="20"/>
                <w:szCs w:val="20"/>
              </w:rPr>
            </w:pPr>
            <w:r>
              <w:rPr>
                <w:rFonts w:eastAsia="Times New Roman"/>
                <w:i/>
                <w:iCs/>
                <w:sz w:val="20"/>
                <w:szCs w:val="20"/>
              </w:rPr>
              <w:t>%</w:t>
            </w:r>
          </w:p>
        </w:tc>
      </w:tr>
      <w:tr w:rsidR="002F725F" w14:paraId="02184792" w14:textId="77777777">
        <w:trPr>
          <w:divId w:val="415980837"/>
        </w:trPr>
        <w:tc>
          <w:tcPr>
            <w:tcW w:w="0" w:type="auto"/>
            <w:shd w:val="clear" w:color="auto" w:fill="CCEEFF"/>
            <w:tcMar>
              <w:top w:w="0" w:type="dxa"/>
              <w:left w:w="180" w:type="dxa"/>
              <w:bottom w:w="0" w:type="dxa"/>
              <w:right w:w="0" w:type="dxa"/>
            </w:tcMar>
            <w:vAlign w:val="bottom"/>
            <w:hideMark/>
          </w:tcPr>
          <w:p w14:paraId="57618098" w14:textId="77777777" w:rsidR="00000000" w:rsidRDefault="002F725F">
            <w:pPr>
              <w:ind w:hanging="180"/>
              <w:rPr>
                <w:rFonts w:eastAsia="Times New Roman"/>
                <w:b/>
                <w:bCs/>
                <w:sz w:val="20"/>
                <w:szCs w:val="20"/>
              </w:rPr>
            </w:pPr>
            <w:r>
              <w:rPr>
                <w:rFonts w:eastAsia="Times New Roman"/>
                <w:b/>
                <w:bCs/>
                <w:sz w:val="20"/>
                <w:szCs w:val="20"/>
              </w:rPr>
              <w:t>EBIT</w:t>
            </w:r>
          </w:p>
        </w:tc>
        <w:tc>
          <w:tcPr>
            <w:tcW w:w="0" w:type="auto"/>
            <w:shd w:val="clear" w:color="auto" w:fill="CCEEFF"/>
            <w:vAlign w:val="bottom"/>
            <w:hideMark/>
          </w:tcPr>
          <w:p w14:paraId="528F313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A60F22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437ED09" w14:textId="77777777" w:rsidR="00000000" w:rsidRDefault="002F725F">
            <w:pPr>
              <w:jc w:val="right"/>
              <w:rPr>
                <w:rFonts w:eastAsia="Times New Roman"/>
                <w:sz w:val="20"/>
                <w:szCs w:val="20"/>
              </w:rPr>
            </w:pPr>
            <w:r>
              <w:rPr>
                <w:rFonts w:eastAsia="Times New Roman"/>
                <w:sz w:val="20"/>
                <w:szCs w:val="20"/>
              </w:rPr>
              <w:t>(58.51</w:t>
            </w:r>
          </w:p>
        </w:tc>
        <w:tc>
          <w:tcPr>
            <w:tcW w:w="0" w:type="auto"/>
            <w:shd w:val="clear" w:color="auto" w:fill="CCEEFF"/>
            <w:vAlign w:val="bottom"/>
            <w:hideMark/>
          </w:tcPr>
          <w:p w14:paraId="008D44B2"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46910CA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59F07A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0F69F8B" w14:textId="77777777" w:rsidR="00000000" w:rsidRDefault="002F725F">
            <w:pPr>
              <w:jc w:val="right"/>
              <w:rPr>
                <w:rFonts w:eastAsia="Times New Roman"/>
                <w:sz w:val="20"/>
                <w:szCs w:val="20"/>
              </w:rPr>
            </w:pPr>
            <w:r>
              <w:rPr>
                <w:rFonts w:eastAsia="Times New Roman"/>
                <w:sz w:val="20"/>
                <w:szCs w:val="20"/>
              </w:rPr>
              <w:t>(3.46</w:t>
            </w:r>
          </w:p>
        </w:tc>
        <w:tc>
          <w:tcPr>
            <w:tcW w:w="0" w:type="auto"/>
            <w:shd w:val="clear" w:color="auto" w:fill="CCEEFF"/>
            <w:vAlign w:val="bottom"/>
            <w:hideMark/>
          </w:tcPr>
          <w:p w14:paraId="1053383E"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63A1647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197E23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ACE23F4" w14:textId="77777777" w:rsidR="00000000" w:rsidRDefault="002F725F">
            <w:pPr>
              <w:jc w:val="right"/>
              <w:rPr>
                <w:rFonts w:eastAsia="Times New Roman"/>
                <w:sz w:val="20"/>
                <w:szCs w:val="20"/>
              </w:rPr>
            </w:pPr>
            <w:r>
              <w:rPr>
                <w:rFonts w:eastAsia="Times New Roman"/>
                <w:sz w:val="20"/>
                <w:szCs w:val="20"/>
              </w:rPr>
              <w:t>23.25</w:t>
            </w:r>
          </w:p>
        </w:tc>
        <w:tc>
          <w:tcPr>
            <w:tcW w:w="0" w:type="auto"/>
            <w:shd w:val="clear" w:color="auto" w:fill="CCEEFF"/>
            <w:vAlign w:val="bottom"/>
            <w:hideMark/>
          </w:tcPr>
          <w:p w14:paraId="51464EE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14D2F1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9132F0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0013FC5" w14:textId="77777777" w:rsidR="00000000" w:rsidRDefault="002F725F">
            <w:pPr>
              <w:jc w:val="right"/>
              <w:rPr>
                <w:rFonts w:eastAsia="Times New Roman"/>
                <w:sz w:val="20"/>
                <w:szCs w:val="20"/>
              </w:rPr>
            </w:pPr>
            <w:r>
              <w:rPr>
                <w:rFonts w:eastAsia="Times New Roman"/>
                <w:sz w:val="20"/>
                <w:szCs w:val="20"/>
              </w:rPr>
              <w:t>31.20</w:t>
            </w:r>
          </w:p>
        </w:tc>
        <w:tc>
          <w:tcPr>
            <w:tcW w:w="0" w:type="auto"/>
            <w:shd w:val="clear" w:color="auto" w:fill="CCEEFF"/>
            <w:vAlign w:val="bottom"/>
            <w:hideMark/>
          </w:tcPr>
          <w:p w14:paraId="5AF842E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12C808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34C5DC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3B5F90D" w14:textId="77777777" w:rsidR="00000000" w:rsidRDefault="002F725F">
            <w:pPr>
              <w:jc w:val="right"/>
              <w:rPr>
                <w:rFonts w:eastAsia="Times New Roman"/>
                <w:sz w:val="20"/>
                <w:szCs w:val="20"/>
              </w:rPr>
            </w:pPr>
            <w:r>
              <w:rPr>
                <w:rFonts w:eastAsia="Times New Roman"/>
                <w:sz w:val="20"/>
                <w:szCs w:val="20"/>
              </w:rPr>
              <w:t>35.90</w:t>
            </w:r>
          </w:p>
        </w:tc>
        <w:tc>
          <w:tcPr>
            <w:tcW w:w="0" w:type="auto"/>
            <w:shd w:val="clear" w:color="auto" w:fill="CCEEFF"/>
            <w:vAlign w:val="bottom"/>
            <w:hideMark/>
          </w:tcPr>
          <w:p w14:paraId="37204CB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D2ADFB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0D653C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95854A7" w14:textId="77777777" w:rsidR="00000000" w:rsidRDefault="002F725F">
            <w:pPr>
              <w:jc w:val="right"/>
              <w:rPr>
                <w:rFonts w:eastAsia="Times New Roman"/>
                <w:sz w:val="20"/>
                <w:szCs w:val="20"/>
              </w:rPr>
            </w:pPr>
            <w:r>
              <w:rPr>
                <w:rFonts w:eastAsia="Times New Roman"/>
                <w:sz w:val="20"/>
                <w:szCs w:val="20"/>
              </w:rPr>
              <w:t>47.28</w:t>
            </w:r>
          </w:p>
        </w:tc>
        <w:tc>
          <w:tcPr>
            <w:tcW w:w="0" w:type="auto"/>
            <w:shd w:val="clear" w:color="auto" w:fill="CCEEFF"/>
            <w:vAlign w:val="bottom"/>
            <w:hideMark/>
          </w:tcPr>
          <w:p w14:paraId="2CB46B5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086352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7B114F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F7F4497" w14:textId="77777777" w:rsidR="00000000" w:rsidRDefault="002F725F">
            <w:pPr>
              <w:jc w:val="right"/>
              <w:rPr>
                <w:rFonts w:eastAsia="Times New Roman"/>
                <w:sz w:val="20"/>
                <w:szCs w:val="20"/>
              </w:rPr>
            </w:pPr>
            <w:r>
              <w:rPr>
                <w:rFonts w:eastAsia="Times New Roman"/>
                <w:sz w:val="20"/>
                <w:szCs w:val="20"/>
              </w:rPr>
              <w:t>54.21</w:t>
            </w:r>
          </w:p>
        </w:tc>
        <w:tc>
          <w:tcPr>
            <w:tcW w:w="0" w:type="auto"/>
            <w:shd w:val="clear" w:color="auto" w:fill="CCEEFF"/>
            <w:vAlign w:val="bottom"/>
            <w:hideMark/>
          </w:tcPr>
          <w:p w14:paraId="1077396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8E241D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B04C70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1530212" w14:textId="77777777" w:rsidR="00000000" w:rsidRDefault="002F725F">
            <w:pPr>
              <w:jc w:val="right"/>
              <w:rPr>
                <w:rFonts w:eastAsia="Times New Roman"/>
                <w:sz w:val="20"/>
                <w:szCs w:val="20"/>
              </w:rPr>
            </w:pPr>
            <w:r>
              <w:rPr>
                <w:rFonts w:eastAsia="Times New Roman"/>
                <w:sz w:val="20"/>
                <w:szCs w:val="20"/>
              </w:rPr>
              <w:t>58.55</w:t>
            </w:r>
          </w:p>
        </w:tc>
        <w:tc>
          <w:tcPr>
            <w:tcW w:w="0" w:type="auto"/>
            <w:shd w:val="clear" w:color="auto" w:fill="CCEEFF"/>
            <w:vAlign w:val="bottom"/>
            <w:hideMark/>
          </w:tcPr>
          <w:p w14:paraId="188359CA" w14:textId="77777777" w:rsidR="00000000" w:rsidRDefault="002F725F">
            <w:pPr>
              <w:rPr>
                <w:rFonts w:eastAsia="Times New Roman"/>
                <w:sz w:val="20"/>
                <w:szCs w:val="20"/>
              </w:rPr>
            </w:pPr>
            <w:r>
              <w:rPr>
                <w:rFonts w:eastAsia="Times New Roman"/>
                <w:sz w:val="20"/>
                <w:szCs w:val="20"/>
              </w:rPr>
              <w:t> </w:t>
            </w:r>
          </w:p>
        </w:tc>
      </w:tr>
      <w:tr w:rsidR="002F725F" w14:paraId="737017DC" w14:textId="77777777">
        <w:trPr>
          <w:divId w:val="415980837"/>
        </w:trPr>
        <w:tc>
          <w:tcPr>
            <w:tcW w:w="0" w:type="auto"/>
            <w:shd w:val="clear" w:color="auto" w:fill="FFFFFF"/>
            <w:tcMar>
              <w:top w:w="0" w:type="dxa"/>
              <w:left w:w="180" w:type="dxa"/>
              <w:bottom w:w="0" w:type="dxa"/>
              <w:right w:w="0" w:type="dxa"/>
            </w:tcMar>
            <w:vAlign w:val="bottom"/>
            <w:hideMark/>
          </w:tcPr>
          <w:p w14:paraId="787E4D74" w14:textId="77777777" w:rsidR="00000000" w:rsidRDefault="002F725F">
            <w:pPr>
              <w:ind w:hanging="180"/>
              <w:rPr>
                <w:rFonts w:eastAsia="Times New Roman"/>
                <w:b/>
                <w:bCs/>
                <w:sz w:val="20"/>
                <w:szCs w:val="20"/>
              </w:rPr>
            </w:pPr>
            <w:r>
              <w:rPr>
                <w:rFonts w:eastAsia="Times New Roman"/>
                <w:b/>
                <w:bCs/>
                <w:sz w:val="20"/>
                <w:szCs w:val="20"/>
              </w:rPr>
              <w:t>Margin %</w:t>
            </w:r>
          </w:p>
        </w:tc>
        <w:tc>
          <w:tcPr>
            <w:tcW w:w="0" w:type="auto"/>
            <w:shd w:val="clear" w:color="auto" w:fill="FFFFFF"/>
            <w:vAlign w:val="bottom"/>
            <w:hideMark/>
          </w:tcPr>
          <w:p w14:paraId="206E5BCC" w14:textId="77777777" w:rsidR="00000000" w:rsidRDefault="002F725F">
            <w:pPr>
              <w:rPr>
                <w:rFonts w:eastAsia="Times New Roman"/>
                <w:i/>
                <w:iCs/>
                <w:sz w:val="20"/>
                <w:szCs w:val="20"/>
              </w:rPr>
            </w:pPr>
            <w:r>
              <w:rPr>
                <w:rFonts w:eastAsia="Times New Roman"/>
                <w:i/>
                <w:iCs/>
                <w:sz w:val="20"/>
                <w:szCs w:val="20"/>
              </w:rPr>
              <w:t> </w:t>
            </w:r>
          </w:p>
        </w:tc>
        <w:tc>
          <w:tcPr>
            <w:tcW w:w="0" w:type="auto"/>
            <w:shd w:val="clear" w:color="auto" w:fill="FFFFFF"/>
            <w:vAlign w:val="bottom"/>
            <w:hideMark/>
          </w:tcPr>
          <w:p w14:paraId="44C466DE" w14:textId="77777777" w:rsidR="00000000" w:rsidRDefault="002F725F">
            <w:pPr>
              <w:rPr>
                <w:rFonts w:eastAsia="Times New Roman"/>
                <w:i/>
                <w:iCs/>
                <w:sz w:val="20"/>
                <w:szCs w:val="20"/>
              </w:rPr>
            </w:pPr>
            <w:r>
              <w:rPr>
                <w:rFonts w:eastAsia="Times New Roman"/>
                <w:i/>
                <w:iCs/>
                <w:sz w:val="20"/>
                <w:szCs w:val="20"/>
              </w:rPr>
              <w:t> </w:t>
            </w:r>
          </w:p>
        </w:tc>
        <w:tc>
          <w:tcPr>
            <w:tcW w:w="0" w:type="auto"/>
            <w:shd w:val="clear" w:color="auto" w:fill="FFFFFF"/>
            <w:vAlign w:val="bottom"/>
            <w:hideMark/>
          </w:tcPr>
          <w:p w14:paraId="3DAB309C" w14:textId="77777777" w:rsidR="00000000" w:rsidRDefault="002F725F">
            <w:pPr>
              <w:jc w:val="right"/>
              <w:rPr>
                <w:rFonts w:eastAsia="Times New Roman"/>
                <w:i/>
                <w:iCs/>
                <w:sz w:val="20"/>
                <w:szCs w:val="20"/>
              </w:rPr>
            </w:pPr>
            <w:r>
              <w:rPr>
                <w:rFonts w:eastAsia="Times New Roman"/>
                <w:i/>
                <w:iCs/>
                <w:sz w:val="20"/>
                <w:szCs w:val="20"/>
              </w:rPr>
              <w:t>-11.33</w:t>
            </w:r>
          </w:p>
        </w:tc>
        <w:tc>
          <w:tcPr>
            <w:tcW w:w="0" w:type="auto"/>
            <w:shd w:val="clear" w:color="auto" w:fill="FFFFFF"/>
            <w:vAlign w:val="bottom"/>
            <w:hideMark/>
          </w:tcPr>
          <w:p w14:paraId="6B74A1F7" w14:textId="77777777" w:rsidR="00000000" w:rsidRDefault="002F725F">
            <w:pPr>
              <w:rPr>
                <w:rFonts w:eastAsia="Times New Roman"/>
                <w:i/>
                <w:iCs/>
                <w:sz w:val="20"/>
                <w:szCs w:val="20"/>
              </w:rPr>
            </w:pPr>
            <w:r>
              <w:rPr>
                <w:rFonts w:eastAsia="Times New Roman"/>
                <w:i/>
                <w:iCs/>
                <w:sz w:val="20"/>
                <w:szCs w:val="20"/>
              </w:rPr>
              <w:t>%</w:t>
            </w:r>
          </w:p>
        </w:tc>
        <w:tc>
          <w:tcPr>
            <w:tcW w:w="0" w:type="auto"/>
            <w:shd w:val="clear" w:color="auto" w:fill="FFFFFF"/>
            <w:vAlign w:val="bottom"/>
            <w:hideMark/>
          </w:tcPr>
          <w:p w14:paraId="74768401" w14:textId="77777777" w:rsidR="00000000" w:rsidRDefault="002F725F">
            <w:pPr>
              <w:rPr>
                <w:rFonts w:eastAsia="Times New Roman"/>
                <w:i/>
                <w:iCs/>
                <w:sz w:val="20"/>
                <w:szCs w:val="20"/>
              </w:rPr>
            </w:pPr>
            <w:r>
              <w:rPr>
                <w:rFonts w:eastAsia="Times New Roman"/>
                <w:i/>
                <w:iCs/>
                <w:sz w:val="20"/>
                <w:szCs w:val="20"/>
              </w:rPr>
              <w:t> </w:t>
            </w:r>
          </w:p>
        </w:tc>
        <w:tc>
          <w:tcPr>
            <w:tcW w:w="0" w:type="auto"/>
            <w:shd w:val="clear" w:color="auto" w:fill="FFFFFF"/>
            <w:vAlign w:val="bottom"/>
            <w:hideMark/>
          </w:tcPr>
          <w:p w14:paraId="01B2FD33" w14:textId="77777777" w:rsidR="00000000" w:rsidRDefault="002F725F">
            <w:pPr>
              <w:rPr>
                <w:rFonts w:eastAsia="Times New Roman"/>
                <w:i/>
                <w:iCs/>
                <w:sz w:val="20"/>
                <w:szCs w:val="20"/>
              </w:rPr>
            </w:pPr>
            <w:r>
              <w:rPr>
                <w:rFonts w:eastAsia="Times New Roman"/>
                <w:i/>
                <w:iCs/>
                <w:sz w:val="20"/>
                <w:szCs w:val="20"/>
              </w:rPr>
              <w:t> </w:t>
            </w:r>
          </w:p>
        </w:tc>
        <w:tc>
          <w:tcPr>
            <w:tcW w:w="0" w:type="auto"/>
            <w:shd w:val="clear" w:color="auto" w:fill="FFFFFF"/>
            <w:vAlign w:val="bottom"/>
            <w:hideMark/>
          </w:tcPr>
          <w:p w14:paraId="4AA8311E" w14:textId="77777777" w:rsidR="00000000" w:rsidRDefault="002F725F">
            <w:pPr>
              <w:jc w:val="right"/>
              <w:rPr>
                <w:rFonts w:eastAsia="Times New Roman"/>
                <w:i/>
                <w:iCs/>
                <w:sz w:val="20"/>
                <w:szCs w:val="20"/>
              </w:rPr>
            </w:pPr>
            <w:r>
              <w:rPr>
                <w:rFonts w:eastAsia="Times New Roman"/>
                <w:i/>
                <w:iCs/>
                <w:sz w:val="20"/>
                <w:szCs w:val="20"/>
              </w:rPr>
              <w:t>-0.67</w:t>
            </w:r>
          </w:p>
        </w:tc>
        <w:tc>
          <w:tcPr>
            <w:tcW w:w="0" w:type="auto"/>
            <w:shd w:val="clear" w:color="auto" w:fill="FFFFFF"/>
            <w:vAlign w:val="bottom"/>
            <w:hideMark/>
          </w:tcPr>
          <w:p w14:paraId="31713075" w14:textId="77777777" w:rsidR="00000000" w:rsidRDefault="002F725F">
            <w:pPr>
              <w:rPr>
                <w:rFonts w:eastAsia="Times New Roman"/>
                <w:i/>
                <w:iCs/>
                <w:sz w:val="20"/>
                <w:szCs w:val="20"/>
              </w:rPr>
            </w:pPr>
            <w:r>
              <w:rPr>
                <w:rFonts w:eastAsia="Times New Roman"/>
                <w:i/>
                <w:iCs/>
                <w:sz w:val="20"/>
                <w:szCs w:val="20"/>
              </w:rPr>
              <w:t>%</w:t>
            </w:r>
          </w:p>
        </w:tc>
        <w:tc>
          <w:tcPr>
            <w:tcW w:w="0" w:type="auto"/>
            <w:shd w:val="clear" w:color="auto" w:fill="FFFFFF"/>
            <w:vAlign w:val="bottom"/>
            <w:hideMark/>
          </w:tcPr>
          <w:p w14:paraId="5E5CB9D7" w14:textId="77777777" w:rsidR="00000000" w:rsidRDefault="002F725F">
            <w:pPr>
              <w:rPr>
                <w:rFonts w:eastAsia="Times New Roman"/>
                <w:i/>
                <w:iCs/>
                <w:sz w:val="20"/>
                <w:szCs w:val="20"/>
              </w:rPr>
            </w:pPr>
            <w:r>
              <w:rPr>
                <w:rFonts w:eastAsia="Times New Roman"/>
                <w:i/>
                <w:iCs/>
                <w:sz w:val="20"/>
                <w:szCs w:val="20"/>
              </w:rPr>
              <w:t> </w:t>
            </w:r>
          </w:p>
        </w:tc>
        <w:tc>
          <w:tcPr>
            <w:tcW w:w="0" w:type="auto"/>
            <w:shd w:val="clear" w:color="auto" w:fill="FFFFFF"/>
            <w:vAlign w:val="bottom"/>
            <w:hideMark/>
          </w:tcPr>
          <w:p w14:paraId="265255EF" w14:textId="77777777" w:rsidR="00000000" w:rsidRDefault="002F725F">
            <w:pPr>
              <w:rPr>
                <w:rFonts w:eastAsia="Times New Roman"/>
                <w:i/>
                <w:iCs/>
                <w:sz w:val="20"/>
                <w:szCs w:val="20"/>
              </w:rPr>
            </w:pPr>
            <w:r>
              <w:rPr>
                <w:rFonts w:eastAsia="Times New Roman"/>
                <w:i/>
                <w:iCs/>
                <w:sz w:val="20"/>
                <w:szCs w:val="20"/>
              </w:rPr>
              <w:t> </w:t>
            </w:r>
          </w:p>
        </w:tc>
        <w:tc>
          <w:tcPr>
            <w:tcW w:w="0" w:type="auto"/>
            <w:shd w:val="clear" w:color="auto" w:fill="FFFFFF"/>
            <w:vAlign w:val="bottom"/>
            <w:hideMark/>
          </w:tcPr>
          <w:p w14:paraId="3FB769B9" w14:textId="77777777" w:rsidR="00000000" w:rsidRDefault="002F725F">
            <w:pPr>
              <w:jc w:val="right"/>
              <w:rPr>
                <w:rFonts w:eastAsia="Times New Roman"/>
                <w:i/>
                <w:iCs/>
                <w:sz w:val="20"/>
                <w:szCs w:val="20"/>
              </w:rPr>
            </w:pPr>
            <w:r>
              <w:rPr>
                <w:rFonts w:eastAsia="Times New Roman"/>
                <w:i/>
                <w:iCs/>
                <w:sz w:val="20"/>
                <w:szCs w:val="20"/>
              </w:rPr>
              <w:t>4.47</w:t>
            </w:r>
          </w:p>
        </w:tc>
        <w:tc>
          <w:tcPr>
            <w:tcW w:w="0" w:type="auto"/>
            <w:shd w:val="clear" w:color="auto" w:fill="FFFFFF"/>
            <w:vAlign w:val="bottom"/>
            <w:hideMark/>
          </w:tcPr>
          <w:p w14:paraId="7A5FA503" w14:textId="77777777" w:rsidR="00000000" w:rsidRDefault="002F725F">
            <w:pPr>
              <w:rPr>
                <w:rFonts w:eastAsia="Times New Roman"/>
                <w:i/>
                <w:iCs/>
                <w:sz w:val="20"/>
                <w:szCs w:val="20"/>
              </w:rPr>
            </w:pPr>
            <w:r>
              <w:rPr>
                <w:rFonts w:eastAsia="Times New Roman"/>
                <w:i/>
                <w:iCs/>
                <w:sz w:val="20"/>
                <w:szCs w:val="20"/>
              </w:rPr>
              <w:t>%</w:t>
            </w:r>
          </w:p>
        </w:tc>
        <w:tc>
          <w:tcPr>
            <w:tcW w:w="0" w:type="auto"/>
            <w:shd w:val="clear" w:color="auto" w:fill="FFFFFF"/>
            <w:vAlign w:val="bottom"/>
            <w:hideMark/>
          </w:tcPr>
          <w:p w14:paraId="424A56E1" w14:textId="77777777" w:rsidR="00000000" w:rsidRDefault="002F725F">
            <w:pPr>
              <w:rPr>
                <w:rFonts w:eastAsia="Times New Roman"/>
                <w:i/>
                <w:iCs/>
                <w:sz w:val="20"/>
                <w:szCs w:val="20"/>
              </w:rPr>
            </w:pPr>
            <w:r>
              <w:rPr>
                <w:rFonts w:eastAsia="Times New Roman"/>
                <w:i/>
                <w:iCs/>
                <w:sz w:val="20"/>
                <w:szCs w:val="20"/>
              </w:rPr>
              <w:t> </w:t>
            </w:r>
          </w:p>
        </w:tc>
        <w:tc>
          <w:tcPr>
            <w:tcW w:w="0" w:type="auto"/>
            <w:shd w:val="clear" w:color="auto" w:fill="FFFFFF"/>
            <w:vAlign w:val="bottom"/>
            <w:hideMark/>
          </w:tcPr>
          <w:p w14:paraId="38F3DA11" w14:textId="77777777" w:rsidR="00000000" w:rsidRDefault="002F725F">
            <w:pPr>
              <w:rPr>
                <w:rFonts w:eastAsia="Times New Roman"/>
                <w:i/>
                <w:iCs/>
                <w:sz w:val="20"/>
                <w:szCs w:val="20"/>
              </w:rPr>
            </w:pPr>
            <w:r>
              <w:rPr>
                <w:rFonts w:eastAsia="Times New Roman"/>
                <w:i/>
                <w:iCs/>
                <w:sz w:val="20"/>
                <w:szCs w:val="20"/>
              </w:rPr>
              <w:t> </w:t>
            </w:r>
          </w:p>
        </w:tc>
        <w:tc>
          <w:tcPr>
            <w:tcW w:w="0" w:type="auto"/>
            <w:shd w:val="clear" w:color="auto" w:fill="FFFFFF"/>
            <w:vAlign w:val="bottom"/>
            <w:hideMark/>
          </w:tcPr>
          <w:p w14:paraId="7E01A054" w14:textId="77777777" w:rsidR="00000000" w:rsidRDefault="002F725F">
            <w:pPr>
              <w:jc w:val="right"/>
              <w:rPr>
                <w:rFonts w:eastAsia="Times New Roman"/>
                <w:i/>
                <w:iCs/>
                <w:sz w:val="20"/>
                <w:szCs w:val="20"/>
              </w:rPr>
            </w:pPr>
            <w:r>
              <w:rPr>
                <w:rFonts w:eastAsia="Times New Roman"/>
                <w:i/>
                <w:iCs/>
                <w:sz w:val="20"/>
                <w:szCs w:val="20"/>
              </w:rPr>
              <w:t>6.01</w:t>
            </w:r>
          </w:p>
        </w:tc>
        <w:tc>
          <w:tcPr>
            <w:tcW w:w="0" w:type="auto"/>
            <w:shd w:val="clear" w:color="auto" w:fill="FFFFFF"/>
            <w:vAlign w:val="bottom"/>
            <w:hideMark/>
          </w:tcPr>
          <w:p w14:paraId="1F70B4C6" w14:textId="77777777" w:rsidR="00000000" w:rsidRDefault="002F725F">
            <w:pPr>
              <w:rPr>
                <w:rFonts w:eastAsia="Times New Roman"/>
                <w:i/>
                <w:iCs/>
                <w:sz w:val="20"/>
                <w:szCs w:val="20"/>
              </w:rPr>
            </w:pPr>
            <w:r>
              <w:rPr>
                <w:rFonts w:eastAsia="Times New Roman"/>
                <w:i/>
                <w:iCs/>
                <w:sz w:val="20"/>
                <w:szCs w:val="20"/>
              </w:rPr>
              <w:t>%</w:t>
            </w:r>
          </w:p>
        </w:tc>
        <w:tc>
          <w:tcPr>
            <w:tcW w:w="0" w:type="auto"/>
            <w:shd w:val="clear" w:color="auto" w:fill="FFFFFF"/>
            <w:vAlign w:val="bottom"/>
            <w:hideMark/>
          </w:tcPr>
          <w:p w14:paraId="41D3C5F4" w14:textId="77777777" w:rsidR="00000000" w:rsidRDefault="002F725F">
            <w:pPr>
              <w:rPr>
                <w:rFonts w:eastAsia="Times New Roman"/>
                <w:i/>
                <w:iCs/>
                <w:sz w:val="20"/>
                <w:szCs w:val="20"/>
              </w:rPr>
            </w:pPr>
            <w:r>
              <w:rPr>
                <w:rFonts w:eastAsia="Times New Roman"/>
                <w:i/>
                <w:iCs/>
                <w:sz w:val="20"/>
                <w:szCs w:val="20"/>
              </w:rPr>
              <w:t> </w:t>
            </w:r>
          </w:p>
        </w:tc>
        <w:tc>
          <w:tcPr>
            <w:tcW w:w="0" w:type="auto"/>
            <w:shd w:val="clear" w:color="auto" w:fill="FFFFFF"/>
            <w:vAlign w:val="bottom"/>
            <w:hideMark/>
          </w:tcPr>
          <w:p w14:paraId="745DFA0E" w14:textId="77777777" w:rsidR="00000000" w:rsidRDefault="002F725F">
            <w:pPr>
              <w:rPr>
                <w:rFonts w:eastAsia="Times New Roman"/>
                <w:i/>
                <w:iCs/>
                <w:sz w:val="20"/>
                <w:szCs w:val="20"/>
              </w:rPr>
            </w:pPr>
            <w:r>
              <w:rPr>
                <w:rFonts w:eastAsia="Times New Roman"/>
                <w:i/>
                <w:iCs/>
                <w:sz w:val="20"/>
                <w:szCs w:val="20"/>
              </w:rPr>
              <w:t> </w:t>
            </w:r>
          </w:p>
        </w:tc>
        <w:tc>
          <w:tcPr>
            <w:tcW w:w="0" w:type="auto"/>
            <w:shd w:val="clear" w:color="auto" w:fill="FFFFFF"/>
            <w:vAlign w:val="bottom"/>
            <w:hideMark/>
          </w:tcPr>
          <w:p w14:paraId="544ED1D0" w14:textId="77777777" w:rsidR="00000000" w:rsidRDefault="002F725F">
            <w:pPr>
              <w:jc w:val="right"/>
              <w:rPr>
                <w:rFonts w:eastAsia="Times New Roman"/>
                <w:i/>
                <w:iCs/>
                <w:sz w:val="20"/>
                <w:szCs w:val="20"/>
              </w:rPr>
            </w:pPr>
            <w:r>
              <w:rPr>
                <w:rFonts w:eastAsia="Times New Roman"/>
                <w:i/>
                <w:iCs/>
                <w:sz w:val="20"/>
                <w:szCs w:val="20"/>
              </w:rPr>
              <w:t>6.79</w:t>
            </w:r>
          </w:p>
        </w:tc>
        <w:tc>
          <w:tcPr>
            <w:tcW w:w="0" w:type="auto"/>
            <w:shd w:val="clear" w:color="auto" w:fill="FFFFFF"/>
            <w:vAlign w:val="bottom"/>
            <w:hideMark/>
          </w:tcPr>
          <w:p w14:paraId="6ED3F399" w14:textId="77777777" w:rsidR="00000000" w:rsidRDefault="002F725F">
            <w:pPr>
              <w:rPr>
                <w:rFonts w:eastAsia="Times New Roman"/>
                <w:i/>
                <w:iCs/>
                <w:sz w:val="20"/>
                <w:szCs w:val="20"/>
              </w:rPr>
            </w:pPr>
            <w:r>
              <w:rPr>
                <w:rFonts w:eastAsia="Times New Roman"/>
                <w:i/>
                <w:iCs/>
                <w:sz w:val="20"/>
                <w:szCs w:val="20"/>
              </w:rPr>
              <w:t>%</w:t>
            </w:r>
          </w:p>
        </w:tc>
        <w:tc>
          <w:tcPr>
            <w:tcW w:w="0" w:type="auto"/>
            <w:shd w:val="clear" w:color="auto" w:fill="FFFFFF"/>
            <w:vAlign w:val="bottom"/>
            <w:hideMark/>
          </w:tcPr>
          <w:p w14:paraId="54352905" w14:textId="77777777" w:rsidR="00000000" w:rsidRDefault="002F725F">
            <w:pPr>
              <w:rPr>
                <w:rFonts w:eastAsia="Times New Roman"/>
                <w:i/>
                <w:iCs/>
                <w:sz w:val="20"/>
                <w:szCs w:val="20"/>
              </w:rPr>
            </w:pPr>
            <w:r>
              <w:rPr>
                <w:rFonts w:eastAsia="Times New Roman"/>
                <w:i/>
                <w:iCs/>
                <w:sz w:val="20"/>
                <w:szCs w:val="20"/>
              </w:rPr>
              <w:t> </w:t>
            </w:r>
          </w:p>
        </w:tc>
        <w:tc>
          <w:tcPr>
            <w:tcW w:w="0" w:type="auto"/>
            <w:shd w:val="clear" w:color="auto" w:fill="FFFFFF"/>
            <w:vAlign w:val="bottom"/>
            <w:hideMark/>
          </w:tcPr>
          <w:p w14:paraId="16738926" w14:textId="77777777" w:rsidR="00000000" w:rsidRDefault="002F725F">
            <w:pPr>
              <w:rPr>
                <w:rFonts w:eastAsia="Times New Roman"/>
                <w:i/>
                <w:iCs/>
                <w:sz w:val="20"/>
                <w:szCs w:val="20"/>
              </w:rPr>
            </w:pPr>
            <w:r>
              <w:rPr>
                <w:rFonts w:eastAsia="Times New Roman"/>
                <w:i/>
                <w:iCs/>
                <w:sz w:val="20"/>
                <w:szCs w:val="20"/>
              </w:rPr>
              <w:t> </w:t>
            </w:r>
          </w:p>
        </w:tc>
        <w:tc>
          <w:tcPr>
            <w:tcW w:w="0" w:type="auto"/>
            <w:shd w:val="clear" w:color="auto" w:fill="FFFFFF"/>
            <w:vAlign w:val="bottom"/>
            <w:hideMark/>
          </w:tcPr>
          <w:p w14:paraId="69613298" w14:textId="77777777" w:rsidR="00000000" w:rsidRDefault="002F725F">
            <w:pPr>
              <w:jc w:val="right"/>
              <w:rPr>
                <w:rFonts w:eastAsia="Times New Roman"/>
                <w:i/>
                <w:iCs/>
                <w:sz w:val="20"/>
                <w:szCs w:val="20"/>
              </w:rPr>
            </w:pPr>
            <w:r>
              <w:rPr>
                <w:rFonts w:eastAsia="Times New Roman"/>
                <w:i/>
                <w:iCs/>
                <w:sz w:val="20"/>
                <w:szCs w:val="20"/>
              </w:rPr>
              <w:t>8.65</w:t>
            </w:r>
          </w:p>
        </w:tc>
        <w:tc>
          <w:tcPr>
            <w:tcW w:w="0" w:type="auto"/>
            <w:shd w:val="clear" w:color="auto" w:fill="FFFFFF"/>
            <w:vAlign w:val="bottom"/>
            <w:hideMark/>
          </w:tcPr>
          <w:p w14:paraId="50DEEF79" w14:textId="77777777" w:rsidR="00000000" w:rsidRDefault="002F725F">
            <w:pPr>
              <w:rPr>
                <w:rFonts w:eastAsia="Times New Roman"/>
                <w:i/>
                <w:iCs/>
                <w:sz w:val="20"/>
                <w:szCs w:val="20"/>
              </w:rPr>
            </w:pPr>
            <w:r>
              <w:rPr>
                <w:rFonts w:eastAsia="Times New Roman"/>
                <w:i/>
                <w:iCs/>
                <w:sz w:val="20"/>
                <w:szCs w:val="20"/>
              </w:rPr>
              <w:t>%</w:t>
            </w:r>
          </w:p>
        </w:tc>
        <w:tc>
          <w:tcPr>
            <w:tcW w:w="0" w:type="auto"/>
            <w:shd w:val="clear" w:color="auto" w:fill="FFFFFF"/>
            <w:vAlign w:val="bottom"/>
            <w:hideMark/>
          </w:tcPr>
          <w:p w14:paraId="1395D146" w14:textId="77777777" w:rsidR="00000000" w:rsidRDefault="002F725F">
            <w:pPr>
              <w:rPr>
                <w:rFonts w:eastAsia="Times New Roman"/>
                <w:i/>
                <w:iCs/>
                <w:sz w:val="20"/>
                <w:szCs w:val="20"/>
              </w:rPr>
            </w:pPr>
            <w:r>
              <w:rPr>
                <w:rFonts w:eastAsia="Times New Roman"/>
                <w:i/>
                <w:iCs/>
                <w:sz w:val="20"/>
                <w:szCs w:val="20"/>
              </w:rPr>
              <w:t> </w:t>
            </w:r>
          </w:p>
        </w:tc>
        <w:tc>
          <w:tcPr>
            <w:tcW w:w="0" w:type="auto"/>
            <w:shd w:val="clear" w:color="auto" w:fill="FFFFFF"/>
            <w:vAlign w:val="bottom"/>
            <w:hideMark/>
          </w:tcPr>
          <w:p w14:paraId="758A1583" w14:textId="77777777" w:rsidR="00000000" w:rsidRDefault="002F725F">
            <w:pPr>
              <w:rPr>
                <w:rFonts w:eastAsia="Times New Roman"/>
                <w:i/>
                <w:iCs/>
                <w:sz w:val="20"/>
                <w:szCs w:val="20"/>
              </w:rPr>
            </w:pPr>
            <w:r>
              <w:rPr>
                <w:rFonts w:eastAsia="Times New Roman"/>
                <w:i/>
                <w:iCs/>
                <w:sz w:val="20"/>
                <w:szCs w:val="20"/>
              </w:rPr>
              <w:t> </w:t>
            </w:r>
          </w:p>
        </w:tc>
        <w:tc>
          <w:tcPr>
            <w:tcW w:w="0" w:type="auto"/>
            <w:shd w:val="clear" w:color="auto" w:fill="FFFFFF"/>
            <w:vAlign w:val="bottom"/>
            <w:hideMark/>
          </w:tcPr>
          <w:p w14:paraId="4D682D70" w14:textId="77777777" w:rsidR="00000000" w:rsidRDefault="002F725F">
            <w:pPr>
              <w:jc w:val="right"/>
              <w:rPr>
                <w:rFonts w:eastAsia="Times New Roman"/>
                <w:i/>
                <w:iCs/>
                <w:sz w:val="20"/>
                <w:szCs w:val="20"/>
              </w:rPr>
            </w:pPr>
            <w:r>
              <w:rPr>
                <w:rFonts w:eastAsia="Times New Roman"/>
                <w:i/>
                <w:iCs/>
                <w:sz w:val="20"/>
                <w:szCs w:val="20"/>
              </w:rPr>
              <w:t>9.64</w:t>
            </w:r>
          </w:p>
        </w:tc>
        <w:tc>
          <w:tcPr>
            <w:tcW w:w="0" w:type="auto"/>
            <w:shd w:val="clear" w:color="auto" w:fill="FFFFFF"/>
            <w:vAlign w:val="bottom"/>
            <w:hideMark/>
          </w:tcPr>
          <w:p w14:paraId="30A3FC6D" w14:textId="77777777" w:rsidR="00000000" w:rsidRDefault="002F725F">
            <w:pPr>
              <w:rPr>
                <w:rFonts w:eastAsia="Times New Roman"/>
                <w:i/>
                <w:iCs/>
                <w:sz w:val="20"/>
                <w:szCs w:val="20"/>
              </w:rPr>
            </w:pPr>
            <w:r>
              <w:rPr>
                <w:rFonts w:eastAsia="Times New Roman"/>
                <w:i/>
                <w:iCs/>
                <w:sz w:val="20"/>
                <w:szCs w:val="20"/>
              </w:rPr>
              <w:t>%</w:t>
            </w:r>
          </w:p>
        </w:tc>
        <w:tc>
          <w:tcPr>
            <w:tcW w:w="0" w:type="auto"/>
            <w:shd w:val="clear" w:color="auto" w:fill="FFFFFF"/>
            <w:vAlign w:val="bottom"/>
            <w:hideMark/>
          </w:tcPr>
          <w:p w14:paraId="1E17BA2A" w14:textId="77777777" w:rsidR="00000000" w:rsidRDefault="002F725F">
            <w:pPr>
              <w:rPr>
                <w:rFonts w:eastAsia="Times New Roman"/>
                <w:i/>
                <w:iCs/>
                <w:sz w:val="20"/>
                <w:szCs w:val="20"/>
              </w:rPr>
            </w:pPr>
            <w:r>
              <w:rPr>
                <w:rFonts w:eastAsia="Times New Roman"/>
                <w:i/>
                <w:iCs/>
                <w:sz w:val="20"/>
                <w:szCs w:val="20"/>
              </w:rPr>
              <w:t> </w:t>
            </w:r>
          </w:p>
        </w:tc>
        <w:tc>
          <w:tcPr>
            <w:tcW w:w="0" w:type="auto"/>
            <w:shd w:val="clear" w:color="auto" w:fill="FFFFFF"/>
            <w:vAlign w:val="bottom"/>
            <w:hideMark/>
          </w:tcPr>
          <w:p w14:paraId="0F4DAB90" w14:textId="77777777" w:rsidR="00000000" w:rsidRDefault="002F725F">
            <w:pPr>
              <w:rPr>
                <w:rFonts w:eastAsia="Times New Roman"/>
                <w:i/>
                <w:iCs/>
                <w:sz w:val="20"/>
                <w:szCs w:val="20"/>
              </w:rPr>
            </w:pPr>
            <w:r>
              <w:rPr>
                <w:rFonts w:eastAsia="Times New Roman"/>
                <w:i/>
                <w:iCs/>
                <w:sz w:val="20"/>
                <w:szCs w:val="20"/>
              </w:rPr>
              <w:t> </w:t>
            </w:r>
          </w:p>
        </w:tc>
        <w:tc>
          <w:tcPr>
            <w:tcW w:w="0" w:type="auto"/>
            <w:shd w:val="clear" w:color="auto" w:fill="FFFFFF"/>
            <w:vAlign w:val="bottom"/>
            <w:hideMark/>
          </w:tcPr>
          <w:p w14:paraId="31BB5FAC" w14:textId="77777777" w:rsidR="00000000" w:rsidRDefault="002F725F">
            <w:pPr>
              <w:jc w:val="right"/>
              <w:rPr>
                <w:rFonts w:eastAsia="Times New Roman"/>
                <w:i/>
                <w:iCs/>
                <w:sz w:val="20"/>
                <w:szCs w:val="20"/>
              </w:rPr>
            </w:pPr>
            <w:r>
              <w:rPr>
                <w:rFonts w:eastAsia="Times New Roman"/>
                <w:i/>
                <w:iCs/>
                <w:sz w:val="20"/>
                <w:szCs w:val="20"/>
              </w:rPr>
              <w:t>10.12</w:t>
            </w:r>
          </w:p>
        </w:tc>
        <w:tc>
          <w:tcPr>
            <w:tcW w:w="0" w:type="auto"/>
            <w:shd w:val="clear" w:color="auto" w:fill="FFFFFF"/>
            <w:vAlign w:val="bottom"/>
            <w:hideMark/>
          </w:tcPr>
          <w:p w14:paraId="7C521156" w14:textId="77777777" w:rsidR="00000000" w:rsidRDefault="002F725F">
            <w:pPr>
              <w:rPr>
                <w:rFonts w:eastAsia="Times New Roman"/>
                <w:i/>
                <w:iCs/>
                <w:sz w:val="20"/>
                <w:szCs w:val="20"/>
              </w:rPr>
            </w:pPr>
            <w:r>
              <w:rPr>
                <w:rFonts w:eastAsia="Times New Roman"/>
                <w:i/>
                <w:iCs/>
                <w:sz w:val="20"/>
                <w:szCs w:val="20"/>
              </w:rPr>
              <w:t>%</w:t>
            </w:r>
          </w:p>
        </w:tc>
      </w:tr>
      <w:tr w:rsidR="002F725F" w14:paraId="31F51013" w14:textId="77777777">
        <w:trPr>
          <w:divId w:val="415980837"/>
        </w:trPr>
        <w:tc>
          <w:tcPr>
            <w:tcW w:w="0" w:type="auto"/>
            <w:shd w:val="clear" w:color="auto" w:fill="CCEEFF"/>
            <w:tcMar>
              <w:top w:w="0" w:type="dxa"/>
              <w:left w:w="180" w:type="dxa"/>
              <w:bottom w:w="0" w:type="dxa"/>
              <w:right w:w="0" w:type="dxa"/>
            </w:tcMar>
            <w:vAlign w:val="bottom"/>
            <w:hideMark/>
          </w:tcPr>
          <w:p w14:paraId="2E504A6F" w14:textId="77777777" w:rsidR="00000000" w:rsidRDefault="002F725F">
            <w:pPr>
              <w:ind w:hanging="180"/>
              <w:rPr>
                <w:rFonts w:eastAsia="Times New Roman"/>
                <w:b/>
                <w:bCs/>
                <w:sz w:val="20"/>
                <w:szCs w:val="20"/>
              </w:rPr>
            </w:pPr>
            <w:r>
              <w:rPr>
                <w:rFonts w:eastAsia="Times New Roman"/>
                <w:b/>
                <w:bCs/>
                <w:sz w:val="20"/>
                <w:szCs w:val="20"/>
              </w:rPr>
              <w:t>Capital Expenditures</w:t>
            </w:r>
          </w:p>
        </w:tc>
        <w:tc>
          <w:tcPr>
            <w:tcW w:w="0" w:type="auto"/>
            <w:shd w:val="clear" w:color="auto" w:fill="CCEEFF"/>
            <w:vAlign w:val="bottom"/>
            <w:hideMark/>
          </w:tcPr>
          <w:p w14:paraId="5944535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D3F558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1C1ED98" w14:textId="77777777" w:rsidR="00000000" w:rsidRDefault="002F725F">
            <w:pPr>
              <w:jc w:val="right"/>
              <w:rPr>
                <w:rFonts w:eastAsia="Times New Roman"/>
                <w:sz w:val="20"/>
                <w:szCs w:val="20"/>
              </w:rPr>
            </w:pPr>
            <w:r>
              <w:rPr>
                <w:rFonts w:eastAsia="Times New Roman"/>
                <w:sz w:val="20"/>
                <w:szCs w:val="20"/>
              </w:rPr>
              <w:t>34.00</w:t>
            </w:r>
          </w:p>
        </w:tc>
        <w:tc>
          <w:tcPr>
            <w:tcW w:w="0" w:type="auto"/>
            <w:shd w:val="clear" w:color="auto" w:fill="CCEEFF"/>
            <w:vAlign w:val="bottom"/>
            <w:hideMark/>
          </w:tcPr>
          <w:p w14:paraId="37C4C53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2CEEFD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7D4575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828441C" w14:textId="77777777" w:rsidR="00000000" w:rsidRDefault="002F725F">
            <w:pPr>
              <w:jc w:val="right"/>
              <w:rPr>
                <w:rFonts w:eastAsia="Times New Roman"/>
                <w:sz w:val="20"/>
                <w:szCs w:val="20"/>
              </w:rPr>
            </w:pPr>
            <w:r>
              <w:rPr>
                <w:rFonts w:eastAsia="Times New Roman"/>
                <w:sz w:val="20"/>
                <w:szCs w:val="20"/>
              </w:rPr>
              <w:t>9.00</w:t>
            </w:r>
          </w:p>
        </w:tc>
        <w:tc>
          <w:tcPr>
            <w:tcW w:w="0" w:type="auto"/>
            <w:shd w:val="clear" w:color="auto" w:fill="CCEEFF"/>
            <w:vAlign w:val="bottom"/>
            <w:hideMark/>
          </w:tcPr>
          <w:p w14:paraId="5BC997E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FD629F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6143AB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11DB72E" w14:textId="77777777" w:rsidR="00000000" w:rsidRDefault="002F725F">
            <w:pPr>
              <w:jc w:val="right"/>
              <w:rPr>
                <w:rFonts w:eastAsia="Times New Roman"/>
                <w:sz w:val="20"/>
                <w:szCs w:val="20"/>
              </w:rPr>
            </w:pPr>
            <w:r>
              <w:rPr>
                <w:rFonts w:eastAsia="Times New Roman"/>
                <w:sz w:val="20"/>
                <w:szCs w:val="20"/>
              </w:rPr>
              <w:t>8.50</w:t>
            </w:r>
          </w:p>
        </w:tc>
        <w:tc>
          <w:tcPr>
            <w:tcW w:w="0" w:type="auto"/>
            <w:shd w:val="clear" w:color="auto" w:fill="CCEEFF"/>
            <w:vAlign w:val="bottom"/>
            <w:hideMark/>
          </w:tcPr>
          <w:p w14:paraId="2C092FB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77918D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BBAA5E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27B78F1" w14:textId="77777777" w:rsidR="00000000" w:rsidRDefault="002F725F">
            <w:pPr>
              <w:jc w:val="right"/>
              <w:rPr>
                <w:rFonts w:eastAsia="Times New Roman"/>
                <w:sz w:val="20"/>
                <w:szCs w:val="20"/>
              </w:rPr>
            </w:pPr>
            <w:r>
              <w:rPr>
                <w:rFonts w:eastAsia="Times New Roman"/>
                <w:sz w:val="20"/>
                <w:szCs w:val="20"/>
              </w:rPr>
              <w:t>9.00</w:t>
            </w:r>
          </w:p>
        </w:tc>
        <w:tc>
          <w:tcPr>
            <w:tcW w:w="0" w:type="auto"/>
            <w:shd w:val="clear" w:color="auto" w:fill="CCEEFF"/>
            <w:vAlign w:val="bottom"/>
            <w:hideMark/>
          </w:tcPr>
          <w:p w14:paraId="15DB904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33B3F7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2FDED1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27CEAFC" w14:textId="77777777" w:rsidR="00000000" w:rsidRDefault="002F725F">
            <w:pPr>
              <w:jc w:val="right"/>
              <w:rPr>
                <w:rFonts w:eastAsia="Times New Roman"/>
                <w:sz w:val="20"/>
                <w:szCs w:val="20"/>
              </w:rPr>
            </w:pPr>
            <w:r>
              <w:rPr>
                <w:rFonts w:eastAsia="Times New Roman"/>
                <w:sz w:val="20"/>
                <w:szCs w:val="20"/>
              </w:rPr>
              <w:t>10.00</w:t>
            </w:r>
          </w:p>
        </w:tc>
        <w:tc>
          <w:tcPr>
            <w:tcW w:w="0" w:type="auto"/>
            <w:shd w:val="clear" w:color="auto" w:fill="CCEEFF"/>
            <w:vAlign w:val="bottom"/>
            <w:hideMark/>
          </w:tcPr>
          <w:p w14:paraId="1D4FB3C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5B0477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6B24AD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0EEE7B0" w14:textId="77777777" w:rsidR="00000000" w:rsidRDefault="002F725F">
            <w:pPr>
              <w:jc w:val="right"/>
              <w:rPr>
                <w:rFonts w:eastAsia="Times New Roman"/>
                <w:sz w:val="20"/>
                <w:szCs w:val="20"/>
              </w:rPr>
            </w:pPr>
            <w:r>
              <w:rPr>
                <w:rFonts w:eastAsia="Times New Roman"/>
                <w:sz w:val="20"/>
                <w:szCs w:val="20"/>
              </w:rPr>
              <w:t>11.00</w:t>
            </w:r>
          </w:p>
        </w:tc>
        <w:tc>
          <w:tcPr>
            <w:tcW w:w="0" w:type="auto"/>
            <w:shd w:val="clear" w:color="auto" w:fill="CCEEFF"/>
            <w:vAlign w:val="bottom"/>
            <w:hideMark/>
          </w:tcPr>
          <w:p w14:paraId="083B17E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E104E3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29532E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0CF889D" w14:textId="77777777" w:rsidR="00000000" w:rsidRDefault="002F725F">
            <w:pPr>
              <w:jc w:val="right"/>
              <w:rPr>
                <w:rFonts w:eastAsia="Times New Roman"/>
                <w:sz w:val="20"/>
                <w:szCs w:val="20"/>
              </w:rPr>
            </w:pPr>
            <w:r>
              <w:rPr>
                <w:rFonts w:eastAsia="Times New Roman"/>
                <w:sz w:val="20"/>
                <w:szCs w:val="20"/>
              </w:rPr>
              <w:t>12.00</w:t>
            </w:r>
          </w:p>
        </w:tc>
        <w:tc>
          <w:tcPr>
            <w:tcW w:w="0" w:type="auto"/>
            <w:shd w:val="clear" w:color="auto" w:fill="CCEEFF"/>
            <w:vAlign w:val="bottom"/>
            <w:hideMark/>
          </w:tcPr>
          <w:p w14:paraId="54B8B2B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CAC315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4ED351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B1B6BF5" w14:textId="77777777" w:rsidR="00000000" w:rsidRDefault="002F725F">
            <w:pPr>
              <w:jc w:val="right"/>
              <w:rPr>
                <w:rFonts w:eastAsia="Times New Roman"/>
                <w:sz w:val="20"/>
                <w:szCs w:val="20"/>
              </w:rPr>
            </w:pPr>
            <w:r>
              <w:rPr>
                <w:rFonts w:eastAsia="Times New Roman"/>
                <w:sz w:val="20"/>
                <w:szCs w:val="20"/>
              </w:rPr>
              <w:t>13.00</w:t>
            </w:r>
          </w:p>
        </w:tc>
        <w:tc>
          <w:tcPr>
            <w:tcW w:w="0" w:type="auto"/>
            <w:shd w:val="clear" w:color="auto" w:fill="CCEEFF"/>
            <w:vAlign w:val="bottom"/>
            <w:hideMark/>
          </w:tcPr>
          <w:p w14:paraId="0609685B" w14:textId="77777777" w:rsidR="00000000" w:rsidRDefault="002F725F">
            <w:pPr>
              <w:rPr>
                <w:rFonts w:eastAsia="Times New Roman"/>
                <w:sz w:val="20"/>
                <w:szCs w:val="20"/>
              </w:rPr>
            </w:pPr>
            <w:r>
              <w:rPr>
                <w:rFonts w:eastAsia="Times New Roman"/>
                <w:sz w:val="20"/>
                <w:szCs w:val="20"/>
              </w:rPr>
              <w:t> </w:t>
            </w:r>
          </w:p>
        </w:tc>
      </w:tr>
      <w:tr w:rsidR="002F725F" w14:paraId="5CCA45DD" w14:textId="77777777">
        <w:trPr>
          <w:divId w:val="415980837"/>
        </w:trPr>
        <w:tc>
          <w:tcPr>
            <w:tcW w:w="0" w:type="auto"/>
            <w:shd w:val="clear" w:color="auto" w:fill="FFFFFF"/>
            <w:tcMar>
              <w:top w:w="0" w:type="dxa"/>
              <w:left w:w="180" w:type="dxa"/>
              <w:bottom w:w="30" w:type="dxa"/>
              <w:right w:w="0" w:type="dxa"/>
            </w:tcMar>
            <w:vAlign w:val="bottom"/>
            <w:hideMark/>
          </w:tcPr>
          <w:p w14:paraId="21767867" w14:textId="77777777" w:rsidR="00000000" w:rsidRDefault="002F725F">
            <w:pPr>
              <w:ind w:hanging="180"/>
              <w:rPr>
                <w:rFonts w:eastAsia="Times New Roman"/>
                <w:b/>
                <w:bCs/>
                <w:sz w:val="20"/>
                <w:szCs w:val="20"/>
              </w:rPr>
            </w:pPr>
            <w:r>
              <w:rPr>
                <w:rFonts w:eastAsia="Times New Roman"/>
                <w:b/>
                <w:bCs/>
                <w:sz w:val="20"/>
                <w:szCs w:val="20"/>
              </w:rPr>
              <w:t>Net Working Capital</w:t>
            </w:r>
          </w:p>
        </w:tc>
        <w:tc>
          <w:tcPr>
            <w:tcW w:w="0" w:type="auto"/>
            <w:shd w:val="clear" w:color="auto" w:fill="FFFFFF"/>
            <w:tcMar>
              <w:top w:w="0" w:type="dxa"/>
              <w:left w:w="0" w:type="dxa"/>
              <w:bottom w:w="30" w:type="dxa"/>
              <w:right w:w="0" w:type="dxa"/>
            </w:tcMar>
            <w:vAlign w:val="bottom"/>
            <w:hideMark/>
          </w:tcPr>
          <w:p w14:paraId="58F5D68B"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A346524"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7718FD54" w14:textId="77777777" w:rsidR="00000000" w:rsidRDefault="002F725F">
            <w:pPr>
              <w:jc w:val="right"/>
              <w:rPr>
                <w:rFonts w:eastAsia="Times New Roman"/>
                <w:sz w:val="20"/>
                <w:szCs w:val="20"/>
              </w:rPr>
            </w:pPr>
            <w:r>
              <w:rPr>
                <w:rFonts w:eastAsia="Times New Roman"/>
                <w:sz w:val="20"/>
                <w:szCs w:val="20"/>
              </w:rPr>
              <w:t>321.69</w:t>
            </w:r>
          </w:p>
        </w:tc>
        <w:tc>
          <w:tcPr>
            <w:tcW w:w="0" w:type="auto"/>
            <w:shd w:val="clear" w:color="auto" w:fill="FFFFFF"/>
            <w:tcMar>
              <w:top w:w="0" w:type="dxa"/>
              <w:left w:w="0" w:type="dxa"/>
              <w:bottom w:w="30" w:type="dxa"/>
              <w:right w:w="0" w:type="dxa"/>
            </w:tcMar>
            <w:vAlign w:val="bottom"/>
            <w:hideMark/>
          </w:tcPr>
          <w:p w14:paraId="14BB64E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741A75E3"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3629775B"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FD4BB7E" w14:textId="77777777" w:rsidR="00000000" w:rsidRDefault="002F725F">
            <w:pPr>
              <w:jc w:val="right"/>
              <w:rPr>
                <w:rFonts w:eastAsia="Times New Roman"/>
                <w:sz w:val="20"/>
                <w:szCs w:val="20"/>
              </w:rPr>
            </w:pPr>
            <w:r>
              <w:rPr>
                <w:rFonts w:eastAsia="Times New Roman"/>
                <w:sz w:val="20"/>
                <w:szCs w:val="20"/>
              </w:rPr>
              <w:t>366.04</w:t>
            </w:r>
          </w:p>
        </w:tc>
        <w:tc>
          <w:tcPr>
            <w:tcW w:w="0" w:type="auto"/>
            <w:shd w:val="clear" w:color="auto" w:fill="FFFFFF"/>
            <w:tcMar>
              <w:top w:w="0" w:type="dxa"/>
              <w:left w:w="0" w:type="dxa"/>
              <w:bottom w:w="30" w:type="dxa"/>
              <w:right w:w="0" w:type="dxa"/>
            </w:tcMar>
            <w:vAlign w:val="bottom"/>
            <w:hideMark/>
          </w:tcPr>
          <w:p w14:paraId="4F29BE0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0F6B995D"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2DE74C91"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D7130F8" w14:textId="77777777" w:rsidR="00000000" w:rsidRDefault="002F725F">
            <w:pPr>
              <w:jc w:val="right"/>
              <w:rPr>
                <w:rFonts w:eastAsia="Times New Roman"/>
                <w:sz w:val="20"/>
                <w:szCs w:val="20"/>
              </w:rPr>
            </w:pPr>
            <w:r>
              <w:rPr>
                <w:rFonts w:eastAsia="Times New Roman"/>
                <w:sz w:val="20"/>
                <w:szCs w:val="20"/>
              </w:rPr>
              <w:t>383.89</w:t>
            </w:r>
          </w:p>
        </w:tc>
        <w:tc>
          <w:tcPr>
            <w:tcW w:w="0" w:type="auto"/>
            <w:shd w:val="clear" w:color="auto" w:fill="FFFFFF"/>
            <w:tcMar>
              <w:top w:w="0" w:type="dxa"/>
              <w:left w:w="0" w:type="dxa"/>
              <w:bottom w:w="30" w:type="dxa"/>
              <w:right w:w="0" w:type="dxa"/>
            </w:tcMar>
            <w:vAlign w:val="bottom"/>
            <w:hideMark/>
          </w:tcPr>
          <w:p w14:paraId="1A7048D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60A793DB"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7E02F66"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0E8712AE" w14:textId="77777777" w:rsidR="00000000" w:rsidRDefault="002F725F">
            <w:pPr>
              <w:jc w:val="right"/>
              <w:rPr>
                <w:rFonts w:eastAsia="Times New Roman"/>
                <w:sz w:val="20"/>
                <w:szCs w:val="20"/>
              </w:rPr>
            </w:pPr>
            <w:r>
              <w:rPr>
                <w:rFonts w:eastAsia="Times New Roman"/>
                <w:sz w:val="20"/>
                <w:szCs w:val="20"/>
              </w:rPr>
              <w:t>377.99</w:t>
            </w:r>
          </w:p>
        </w:tc>
        <w:tc>
          <w:tcPr>
            <w:tcW w:w="0" w:type="auto"/>
            <w:shd w:val="clear" w:color="auto" w:fill="FFFFFF"/>
            <w:tcMar>
              <w:top w:w="0" w:type="dxa"/>
              <w:left w:w="0" w:type="dxa"/>
              <w:bottom w:w="30" w:type="dxa"/>
              <w:right w:w="0" w:type="dxa"/>
            </w:tcMar>
            <w:vAlign w:val="bottom"/>
            <w:hideMark/>
          </w:tcPr>
          <w:p w14:paraId="6EE460A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4A5C8610"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5A8FF1D9"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5F3DEA19" w14:textId="77777777" w:rsidR="00000000" w:rsidRDefault="002F725F">
            <w:pPr>
              <w:jc w:val="right"/>
              <w:rPr>
                <w:rFonts w:eastAsia="Times New Roman"/>
                <w:sz w:val="20"/>
                <w:szCs w:val="20"/>
              </w:rPr>
            </w:pPr>
            <w:r>
              <w:rPr>
                <w:rFonts w:eastAsia="Times New Roman"/>
                <w:sz w:val="20"/>
                <w:szCs w:val="20"/>
              </w:rPr>
              <w:t>394.49</w:t>
            </w:r>
          </w:p>
        </w:tc>
        <w:tc>
          <w:tcPr>
            <w:tcW w:w="0" w:type="auto"/>
            <w:shd w:val="clear" w:color="auto" w:fill="FFFFFF"/>
            <w:tcMar>
              <w:top w:w="0" w:type="dxa"/>
              <w:left w:w="0" w:type="dxa"/>
              <w:bottom w:w="30" w:type="dxa"/>
              <w:right w:w="0" w:type="dxa"/>
            </w:tcMar>
            <w:vAlign w:val="bottom"/>
            <w:hideMark/>
          </w:tcPr>
          <w:p w14:paraId="654A99D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79FDE337"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C02A1B4"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2C023F72" w14:textId="77777777" w:rsidR="00000000" w:rsidRDefault="002F725F">
            <w:pPr>
              <w:jc w:val="right"/>
              <w:rPr>
                <w:rFonts w:eastAsia="Times New Roman"/>
                <w:sz w:val="20"/>
                <w:szCs w:val="20"/>
              </w:rPr>
            </w:pPr>
            <w:r>
              <w:rPr>
                <w:rFonts w:eastAsia="Times New Roman"/>
                <w:sz w:val="20"/>
                <w:szCs w:val="20"/>
              </w:rPr>
              <w:t>418.31</w:t>
            </w:r>
          </w:p>
        </w:tc>
        <w:tc>
          <w:tcPr>
            <w:tcW w:w="0" w:type="auto"/>
            <w:shd w:val="clear" w:color="auto" w:fill="FFFFFF"/>
            <w:tcMar>
              <w:top w:w="0" w:type="dxa"/>
              <w:left w:w="0" w:type="dxa"/>
              <w:bottom w:w="30" w:type="dxa"/>
              <w:right w:w="0" w:type="dxa"/>
            </w:tcMar>
            <w:vAlign w:val="bottom"/>
            <w:hideMark/>
          </w:tcPr>
          <w:p w14:paraId="6D48D61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1E4972B1"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02C1B769"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5CA5F914" w14:textId="77777777" w:rsidR="00000000" w:rsidRDefault="002F725F">
            <w:pPr>
              <w:jc w:val="right"/>
              <w:rPr>
                <w:rFonts w:eastAsia="Times New Roman"/>
                <w:sz w:val="20"/>
                <w:szCs w:val="20"/>
              </w:rPr>
            </w:pPr>
            <w:r>
              <w:rPr>
                <w:rFonts w:eastAsia="Times New Roman"/>
                <w:sz w:val="20"/>
                <w:szCs w:val="20"/>
              </w:rPr>
              <w:t>423.13</w:t>
            </w:r>
          </w:p>
        </w:tc>
        <w:tc>
          <w:tcPr>
            <w:tcW w:w="0" w:type="auto"/>
            <w:shd w:val="clear" w:color="auto" w:fill="FFFFFF"/>
            <w:tcMar>
              <w:top w:w="0" w:type="dxa"/>
              <w:left w:w="0" w:type="dxa"/>
              <w:bottom w:w="30" w:type="dxa"/>
              <w:right w:w="0" w:type="dxa"/>
            </w:tcMar>
            <w:vAlign w:val="bottom"/>
            <w:hideMark/>
          </w:tcPr>
          <w:p w14:paraId="66516E7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5D08129D"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9BEF824"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E422E28" w14:textId="77777777" w:rsidR="00000000" w:rsidRDefault="002F725F">
            <w:pPr>
              <w:jc w:val="right"/>
              <w:rPr>
                <w:rFonts w:eastAsia="Times New Roman"/>
                <w:sz w:val="20"/>
                <w:szCs w:val="20"/>
              </w:rPr>
            </w:pPr>
            <w:r>
              <w:rPr>
                <w:rFonts w:eastAsia="Times New Roman"/>
                <w:sz w:val="20"/>
                <w:szCs w:val="20"/>
              </w:rPr>
              <w:t>434.20</w:t>
            </w:r>
          </w:p>
        </w:tc>
        <w:tc>
          <w:tcPr>
            <w:tcW w:w="0" w:type="auto"/>
            <w:shd w:val="clear" w:color="auto" w:fill="FFFFFF"/>
            <w:tcMar>
              <w:top w:w="0" w:type="dxa"/>
              <w:left w:w="0" w:type="dxa"/>
              <w:bottom w:w="30" w:type="dxa"/>
              <w:right w:w="0" w:type="dxa"/>
            </w:tcMar>
            <w:vAlign w:val="bottom"/>
            <w:hideMark/>
          </w:tcPr>
          <w:p w14:paraId="5BF18D65" w14:textId="77777777" w:rsidR="00000000" w:rsidRDefault="002F725F">
            <w:pPr>
              <w:rPr>
                <w:rFonts w:eastAsia="Times New Roman"/>
                <w:sz w:val="20"/>
                <w:szCs w:val="20"/>
              </w:rPr>
            </w:pPr>
            <w:r>
              <w:rPr>
                <w:rFonts w:eastAsia="Times New Roman"/>
                <w:sz w:val="20"/>
                <w:szCs w:val="20"/>
              </w:rPr>
              <w:t> </w:t>
            </w:r>
          </w:p>
        </w:tc>
      </w:tr>
    </w:tbl>
    <w:p w14:paraId="56E717E2" w14:textId="77777777" w:rsidR="00000000" w:rsidRDefault="002F725F">
      <w:pPr>
        <w:pStyle w:val="NormalWeb"/>
        <w:spacing w:before="0" w:beforeAutospacing="0" w:after="0" w:afterAutospacing="0"/>
        <w:divId w:val="415980837"/>
        <w:rPr>
          <w:sz w:val="20"/>
          <w:szCs w:val="20"/>
        </w:rPr>
      </w:pPr>
      <w:r>
        <w:rPr>
          <w:sz w:val="20"/>
          <w:szCs w:val="20"/>
        </w:rPr>
        <w:t> </w:t>
      </w:r>
    </w:p>
    <w:p w14:paraId="7A8C28D1" w14:textId="77777777" w:rsidR="00000000" w:rsidRDefault="002F725F">
      <w:pPr>
        <w:divId w:val="1232422266"/>
        <w:rPr>
          <w:rFonts w:eastAsia="Times New Roman"/>
          <w:sz w:val="2"/>
          <w:szCs w:val="2"/>
        </w:rPr>
      </w:pPr>
      <w:r>
        <w:rPr>
          <w:rFonts w:eastAsia="Times New Roman"/>
          <w:sz w:val="2"/>
          <w:szCs w:val="2"/>
        </w:rPr>
        <w:t> </w:t>
      </w:r>
    </w:p>
    <w:p w14:paraId="6E06D375" w14:textId="77777777" w:rsidR="00000000" w:rsidRDefault="002F725F">
      <w:pPr>
        <w:pStyle w:val="NormalWeb"/>
        <w:spacing w:before="0" w:beforeAutospacing="0" w:after="0" w:afterAutospacing="0"/>
        <w:divId w:val="415980837"/>
        <w:rPr>
          <w:sz w:val="20"/>
          <w:szCs w:val="20"/>
        </w:rPr>
      </w:pPr>
      <w:r>
        <w:rPr>
          <w:sz w:val="20"/>
          <w:szCs w:val="20"/>
        </w:rPr>
        <w:t>Notes:</w:t>
      </w:r>
    </w:p>
    <w:p w14:paraId="16EB2153" w14:textId="77777777" w:rsidR="00000000" w:rsidRDefault="002F725F">
      <w:pPr>
        <w:pStyle w:val="NormalWeb"/>
        <w:spacing w:before="0" w:beforeAutospacing="0" w:after="0" w:afterAutospacing="0"/>
        <w:ind w:left="765" w:hanging="405"/>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405"/>
        <w:gridCol w:w="8955"/>
      </w:tblGrid>
      <w:tr w:rsidR="00000000" w14:paraId="4943D518" w14:textId="77777777">
        <w:trPr>
          <w:divId w:val="415980837"/>
          <w:tblCellSpacing w:w="0" w:type="dxa"/>
        </w:trPr>
        <w:tc>
          <w:tcPr>
            <w:tcW w:w="405" w:type="dxa"/>
            <w:hideMark/>
          </w:tcPr>
          <w:p w14:paraId="556A1D55" w14:textId="77777777" w:rsidR="00000000" w:rsidRDefault="002F725F">
            <w:pPr>
              <w:rPr>
                <w:rFonts w:eastAsia="Times New Roman"/>
                <w:sz w:val="20"/>
                <w:szCs w:val="20"/>
              </w:rPr>
            </w:pPr>
            <w:r>
              <w:rPr>
                <w:rFonts w:eastAsia="Times New Roman"/>
                <w:sz w:val="20"/>
                <w:szCs w:val="20"/>
              </w:rPr>
              <w:t>(1)</w:t>
            </w:r>
          </w:p>
        </w:tc>
        <w:tc>
          <w:tcPr>
            <w:tcW w:w="0" w:type="auto"/>
            <w:hideMark/>
          </w:tcPr>
          <w:p w14:paraId="62F417D9" w14:textId="77777777" w:rsidR="00000000" w:rsidRDefault="002F725F">
            <w:pPr>
              <w:jc w:val="both"/>
              <w:rPr>
                <w:rFonts w:eastAsia="Times New Roman"/>
                <w:sz w:val="20"/>
                <w:szCs w:val="20"/>
              </w:rPr>
            </w:pPr>
            <w:r>
              <w:rPr>
                <w:rFonts w:eastAsia="Times New Roman"/>
                <w:sz w:val="20"/>
                <w:szCs w:val="20"/>
              </w:rPr>
              <w:t>“EBIT” means the Company’s earnings before interest and taxes, which is adjusted to exclude public company costs and non-recurring items as provided by the management of the Company.</w:t>
            </w:r>
          </w:p>
        </w:tc>
      </w:tr>
    </w:tbl>
    <w:p w14:paraId="4A52DDD3" w14:textId="77777777" w:rsidR="00000000" w:rsidRDefault="002F725F">
      <w:pPr>
        <w:divId w:val="415980837"/>
        <w:rPr>
          <w:rFonts w:eastAsia="Times New Roman"/>
          <w:vanish/>
          <w:sz w:val="20"/>
          <w:szCs w:val="20"/>
        </w:rPr>
      </w:pPr>
    </w:p>
    <w:tbl>
      <w:tblPr>
        <w:tblW w:w="5000" w:type="pct"/>
        <w:tblCellSpacing w:w="0" w:type="dxa"/>
        <w:tblCellMar>
          <w:left w:w="0" w:type="dxa"/>
          <w:right w:w="0" w:type="dxa"/>
        </w:tblCellMar>
        <w:tblLook w:val="04A0" w:firstRow="1" w:lastRow="0" w:firstColumn="1" w:lastColumn="0" w:noHBand="0" w:noVBand="1"/>
      </w:tblPr>
      <w:tblGrid>
        <w:gridCol w:w="405"/>
        <w:gridCol w:w="8955"/>
      </w:tblGrid>
      <w:tr w:rsidR="00000000" w14:paraId="55C7012C" w14:textId="77777777">
        <w:trPr>
          <w:divId w:val="415980837"/>
          <w:tblCellSpacing w:w="0" w:type="dxa"/>
        </w:trPr>
        <w:tc>
          <w:tcPr>
            <w:tcW w:w="405" w:type="dxa"/>
            <w:hideMark/>
          </w:tcPr>
          <w:p w14:paraId="6814B4E7" w14:textId="77777777" w:rsidR="00000000" w:rsidRDefault="002F725F">
            <w:pPr>
              <w:rPr>
                <w:rFonts w:eastAsia="Times New Roman"/>
                <w:sz w:val="20"/>
                <w:szCs w:val="20"/>
              </w:rPr>
            </w:pPr>
            <w:r>
              <w:rPr>
                <w:rFonts w:eastAsia="Times New Roman"/>
                <w:sz w:val="20"/>
                <w:szCs w:val="20"/>
              </w:rPr>
              <w:t>(2)</w:t>
            </w:r>
          </w:p>
        </w:tc>
        <w:tc>
          <w:tcPr>
            <w:tcW w:w="0" w:type="auto"/>
            <w:hideMark/>
          </w:tcPr>
          <w:p w14:paraId="7D6CE62B" w14:textId="77777777" w:rsidR="00000000" w:rsidRDefault="002F725F">
            <w:pPr>
              <w:jc w:val="both"/>
              <w:rPr>
                <w:rFonts w:eastAsia="Times New Roman"/>
                <w:sz w:val="20"/>
                <w:szCs w:val="20"/>
              </w:rPr>
            </w:pPr>
            <w:r>
              <w:rPr>
                <w:rFonts w:eastAsia="Times New Roman"/>
                <w:sz w:val="20"/>
                <w:szCs w:val="20"/>
              </w:rPr>
              <w:t xml:space="preserve">Capital expenditures include acquisition of property, </w:t>
            </w:r>
            <w:r>
              <w:rPr>
                <w:rFonts w:eastAsia="Times New Roman"/>
                <w:sz w:val="20"/>
                <w:szCs w:val="20"/>
              </w:rPr>
              <w:t>plant and equipment.</w:t>
            </w:r>
          </w:p>
        </w:tc>
      </w:tr>
    </w:tbl>
    <w:p w14:paraId="4E84D112" w14:textId="77777777" w:rsidR="00000000" w:rsidRDefault="002F725F">
      <w:pPr>
        <w:pStyle w:val="NormalWeb"/>
        <w:spacing w:before="0" w:beforeAutospacing="0" w:after="0" w:afterAutospacing="0"/>
        <w:ind w:left="765" w:hanging="405"/>
        <w:jc w:val="both"/>
        <w:divId w:val="415980837"/>
        <w:rPr>
          <w:sz w:val="20"/>
          <w:szCs w:val="20"/>
        </w:rPr>
      </w:pPr>
      <w:r>
        <w:rPr>
          <w:sz w:val="20"/>
          <w:szCs w:val="20"/>
        </w:rPr>
        <w:t> </w:t>
      </w:r>
    </w:p>
    <w:p w14:paraId="5855827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as the Special Committee’s financial advisor, reviewed with the Special Committee certain financial analysis that was based, in part, on the Management Projections summarized above. For additional information regardin</w:t>
      </w:r>
      <w:r>
        <w:rPr>
          <w:sz w:val="20"/>
          <w:szCs w:val="20"/>
        </w:rPr>
        <w:t>g the analyses by the Special Committee’s financial advisor, see “Discussion Materials prepared by Duff &amp; Phelps for discussion with the special committee of the board of directors of the Company, dated April 28, 2026” filed as Exhibit (c)-(4) to the Compa</w:t>
      </w:r>
      <w:r>
        <w:rPr>
          <w:sz w:val="20"/>
          <w:szCs w:val="20"/>
        </w:rPr>
        <w:t>ny’s transaction statement on Schedule 13E-3 and “Special Factors—Opinion of the Special Committee’s Financial Advisor dated April 28, 2026” beginning on page 48.</w:t>
      </w:r>
    </w:p>
    <w:p w14:paraId="637A204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F3483CD" w14:textId="77777777" w:rsidR="00000000" w:rsidRDefault="002F725F">
      <w:pPr>
        <w:pStyle w:val="NormalWeb"/>
        <w:spacing w:before="0" w:beforeAutospacing="0" w:after="0" w:afterAutospacing="0"/>
        <w:jc w:val="center"/>
        <w:divId w:val="794761421"/>
        <w:rPr>
          <w:sz w:val="20"/>
          <w:szCs w:val="20"/>
        </w:rPr>
      </w:pPr>
      <w:r>
        <w:rPr>
          <w:sz w:val="20"/>
          <w:szCs w:val="20"/>
        </w:rPr>
        <w:t>4</w:t>
      </w:r>
      <w:r>
        <w:rPr>
          <w:sz w:val="20"/>
          <w:szCs w:val="20"/>
        </w:rPr>
        <w:t>0</w:t>
      </w:r>
    </w:p>
    <w:p w14:paraId="7CB14B07" w14:textId="77777777" w:rsidR="00000000" w:rsidRDefault="002F725F">
      <w:pPr>
        <w:pStyle w:val="NormalWeb"/>
        <w:spacing w:before="0" w:beforeAutospacing="0" w:after="0" w:afterAutospacing="0"/>
        <w:divId w:val="315647447"/>
        <w:rPr>
          <w:sz w:val="20"/>
          <w:szCs w:val="20"/>
        </w:rPr>
      </w:pPr>
      <w:r>
        <w:rPr>
          <w:sz w:val="20"/>
          <w:szCs w:val="20"/>
        </w:rPr>
        <w:t> </w:t>
      </w:r>
    </w:p>
    <w:p w14:paraId="3898398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2E42F7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In preparing the Prior Management </w:t>
      </w:r>
      <w:r>
        <w:rPr>
          <w:sz w:val="20"/>
          <w:szCs w:val="20"/>
        </w:rPr>
        <w:t>Projections and the Management Projections, the Company’s management necessarily made certain assumptions about future financial factors affecting the Company’s business, including, primarily:</w:t>
      </w:r>
    </w:p>
    <w:p w14:paraId="46FE8568"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9C6385E" w14:textId="77777777">
        <w:trPr>
          <w:divId w:val="415980837"/>
          <w:tblCellSpacing w:w="0" w:type="dxa"/>
        </w:trPr>
        <w:tc>
          <w:tcPr>
            <w:tcW w:w="720" w:type="dxa"/>
            <w:hideMark/>
          </w:tcPr>
          <w:p w14:paraId="2D50CD0F" w14:textId="77777777" w:rsidR="00000000" w:rsidRDefault="002F725F">
            <w:pPr>
              <w:rPr>
                <w:sz w:val="20"/>
                <w:szCs w:val="20"/>
              </w:rPr>
            </w:pPr>
          </w:p>
        </w:tc>
        <w:tc>
          <w:tcPr>
            <w:tcW w:w="360" w:type="dxa"/>
            <w:hideMark/>
          </w:tcPr>
          <w:p w14:paraId="0FD78FF8" w14:textId="77777777" w:rsidR="00000000" w:rsidRDefault="002F725F">
            <w:pPr>
              <w:rPr>
                <w:rFonts w:eastAsia="Times New Roman"/>
                <w:sz w:val="20"/>
                <w:szCs w:val="20"/>
              </w:rPr>
            </w:pPr>
            <w:r>
              <w:rPr>
                <w:rFonts w:eastAsia="Times New Roman"/>
                <w:sz w:val="20"/>
                <w:szCs w:val="20"/>
              </w:rPr>
              <w:t>●</w:t>
            </w:r>
          </w:p>
        </w:tc>
        <w:tc>
          <w:tcPr>
            <w:tcW w:w="0" w:type="auto"/>
            <w:hideMark/>
          </w:tcPr>
          <w:p w14:paraId="5BBAD690" w14:textId="77777777" w:rsidR="00000000" w:rsidRDefault="002F725F">
            <w:pPr>
              <w:jc w:val="both"/>
              <w:rPr>
                <w:rFonts w:eastAsia="Times New Roman"/>
                <w:sz w:val="20"/>
                <w:szCs w:val="20"/>
              </w:rPr>
            </w:pPr>
            <w:r>
              <w:rPr>
                <w:rFonts w:eastAsia="Times New Roman"/>
                <w:sz w:val="20"/>
                <w:szCs w:val="20"/>
              </w:rPr>
              <w:t>the Company will be able to successfully deliver its produ</w:t>
            </w:r>
            <w:r>
              <w:rPr>
                <w:rFonts w:eastAsia="Times New Roman"/>
                <w:sz w:val="20"/>
                <w:szCs w:val="20"/>
              </w:rPr>
              <w:t>cts while maintaining consistent and high-quality operations;</w:t>
            </w:r>
          </w:p>
        </w:tc>
      </w:tr>
    </w:tbl>
    <w:p w14:paraId="346D30C3"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4DE12DD" w14:textId="77777777">
        <w:trPr>
          <w:divId w:val="415980837"/>
          <w:tblCellSpacing w:w="0" w:type="dxa"/>
        </w:trPr>
        <w:tc>
          <w:tcPr>
            <w:tcW w:w="720" w:type="dxa"/>
            <w:hideMark/>
          </w:tcPr>
          <w:p w14:paraId="5BF46EAC" w14:textId="77777777" w:rsidR="00000000" w:rsidRDefault="002F725F">
            <w:pPr>
              <w:rPr>
                <w:sz w:val="20"/>
                <w:szCs w:val="20"/>
              </w:rPr>
            </w:pPr>
          </w:p>
        </w:tc>
        <w:tc>
          <w:tcPr>
            <w:tcW w:w="360" w:type="dxa"/>
            <w:hideMark/>
          </w:tcPr>
          <w:p w14:paraId="4B46A16A" w14:textId="77777777" w:rsidR="00000000" w:rsidRDefault="002F725F">
            <w:pPr>
              <w:rPr>
                <w:rFonts w:eastAsia="Times New Roman"/>
                <w:sz w:val="20"/>
                <w:szCs w:val="20"/>
              </w:rPr>
            </w:pPr>
            <w:r>
              <w:rPr>
                <w:rFonts w:eastAsia="Times New Roman"/>
                <w:sz w:val="20"/>
                <w:szCs w:val="20"/>
              </w:rPr>
              <w:t>●</w:t>
            </w:r>
          </w:p>
        </w:tc>
        <w:tc>
          <w:tcPr>
            <w:tcW w:w="0" w:type="auto"/>
            <w:hideMark/>
          </w:tcPr>
          <w:p w14:paraId="6FAB2CAE" w14:textId="77777777" w:rsidR="00000000" w:rsidRDefault="002F725F">
            <w:pPr>
              <w:jc w:val="both"/>
              <w:rPr>
                <w:rFonts w:eastAsia="Times New Roman"/>
                <w:sz w:val="20"/>
                <w:szCs w:val="20"/>
              </w:rPr>
            </w:pPr>
            <w:r>
              <w:rPr>
                <w:rFonts w:eastAsia="Times New Roman"/>
                <w:sz w:val="20"/>
                <w:szCs w:val="20"/>
              </w:rPr>
              <w:t>demand for the Company’s products will continue in line with management’s expectations;</w:t>
            </w:r>
          </w:p>
        </w:tc>
      </w:tr>
    </w:tbl>
    <w:p w14:paraId="2686614F"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F4EEF5B" w14:textId="77777777">
        <w:trPr>
          <w:divId w:val="415980837"/>
          <w:tblCellSpacing w:w="0" w:type="dxa"/>
        </w:trPr>
        <w:tc>
          <w:tcPr>
            <w:tcW w:w="720" w:type="dxa"/>
            <w:hideMark/>
          </w:tcPr>
          <w:p w14:paraId="0C4FCFF2" w14:textId="77777777" w:rsidR="00000000" w:rsidRDefault="002F725F">
            <w:pPr>
              <w:rPr>
                <w:sz w:val="20"/>
                <w:szCs w:val="20"/>
              </w:rPr>
            </w:pPr>
          </w:p>
        </w:tc>
        <w:tc>
          <w:tcPr>
            <w:tcW w:w="360" w:type="dxa"/>
            <w:hideMark/>
          </w:tcPr>
          <w:p w14:paraId="6CE92BE3" w14:textId="77777777" w:rsidR="00000000" w:rsidRDefault="002F725F">
            <w:pPr>
              <w:rPr>
                <w:rFonts w:eastAsia="Times New Roman"/>
                <w:sz w:val="20"/>
                <w:szCs w:val="20"/>
              </w:rPr>
            </w:pPr>
            <w:r>
              <w:rPr>
                <w:rFonts w:eastAsia="Times New Roman"/>
                <w:sz w:val="20"/>
                <w:szCs w:val="20"/>
              </w:rPr>
              <w:t>●</w:t>
            </w:r>
          </w:p>
        </w:tc>
        <w:tc>
          <w:tcPr>
            <w:tcW w:w="0" w:type="auto"/>
            <w:hideMark/>
          </w:tcPr>
          <w:p w14:paraId="48458D6A" w14:textId="77777777" w:rsidR="00000000" w:rsidRDefault="002F725F">
            <w:pPr>
              <w:jc w:val="both"/>
              <w:rPr>
                <w:rFonts w:eastAsia="Times New Roman"/>
                <w:sz w:val="20"/>
                <w:szCs w:val="20"/>
              </w:rPr>
            </w:pPr>
            <w:r>
              <w:rPr>
                <w:rFonts w:eastAsia="Times New Roman"/>
                <w:sz w:val="20"/>
                <w:szCs w:val="20"/>
              </w:rPr>
              <w:t>the Company’</w:t>
            </w:r>
            <w:r>
              <w:rPr>
                <w:rFonts w:eastAsia="Times New Roman"/>
                <w:sz w:val="20"/>
                <w:szCs w:val="20"/>
              </w:rPr>
              <w:t>s effective tax rate is assumed to be in line with management’s expectations, primarily taking into account the preferential income tax rate of 15% for entities qualified as high and new technology enterprises, which are subject to periodic qualification r</w:t>
            </w:r>
            <w:r>
              <w:rPr>
                <w:rFonts w:eastAsia="Times New Roman"/>
                <w:sz w:val="20"/>
                <w:szCs w:val="20"/>
              </w:rPr>
              <w:t>eview by the relevant PRC tax authorities, and the PRC statutory income tax rate of 25% for other Chinese operating entities, where applicable;</w:t>
            </w:r>
          </w:p>
        </w:tc>
      </w:tr>
    </w:tbl>
    <w:p w14:paraId="0241335B"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49E042E" w14:textId="77777777">
        <w:trPr>
          <w:divId w:val="415980837"/>
          <w:tblCellSpacing w:w="0" w:type="dxa"/>
        </w:trPr>
        <w:tc>
          <w:tcPr>
            <w:tcW w:w="720" w:type="dxa"/>
            <w:hideMark/>
          </w:tcPr>
          <w:p w14:paraId="1A5BCD81" w14:textId="77777777" w:rsidR="00000000" w:rsidRDefault="002F725F">
            <w:pPr>
              <w:rPr>
                <w:sz w:val="20"/>
                <w:szCs w:val="20"/>
              </w:rPr>
            </w:pPr>
          </w:p>
        </w:tc>
        <w:tc>
          <w:tcPr>
            <w:tcW w:w="360" w:type="dxa"/>
            <w:hideMark/>
          </w:tcPr>
          <w:p w14:paraId="4EE77E1E" w14:textId="77777777" w:rsidR="00000000" w:rsidRDefault="002F725F">
            <w:pPr>
              <w:rPr>
                <w:rFonts w:eastAsia="Times New Roman"/>
                <w:sz w:val="20"/>
                <w:szCs w:val="20"/>
              </w:rPr>
            </w:pPr>
            <w:r>
              <w:rPr>
                <w:rFonts w:eastAsia="Times New Roman"/>
                <w:sz w:val="20"/>
                <w:szCs w:val="20"/>
              </w:rPr>
              <w:t>●</w:t>
            </w:r>
          </w:p>
        </w:tc>
        <w:tc>
          <w:tcPr>
            <w:tcW w:w="0" w:type="auto"/>
            <w:hideMark/>
          </w:tcPr>
          <w:p w14:paraId="21DE34D8" w14:textId="77777777" w:rsidR="00000000" w:rsidRDefault="002F725F">
            <w:pPr>
              <w:jc w:val="both"/>
              <w:rPr>
                <w:rFonts w:eastAsia="Times New Roman"/>
                <w:sz w:val="20"/>
                <w:szCs w:val="20"/>
              </w:rPr>
            </w:pPr>
            <w:r>
              <w:rPr>
                <w:rFonts w:eastAsia="Times New Roman"/>
                <w:sz w:val="20"/>
                <w:szCs w:val="20"/>
              </w:rPr>
              <w:t>the Renminbi and the overall economy in China will generally remain stable;</w:t>
            </w:r>
          </w:p>
        </w:tc>
      </w:tr>
    </w:tbl>
    <w:p w14:paraId="1D133E04"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C980644" w14:textId="77777777">
        <w:trPr>
          <w:divId w:val="415980837"/>
          <w:tblCellSpacing w:w="0" w:type="dxa"/>
        </w:trPr>
        <w:tc>
          <w:tcPr>
            <w:tcW w:w="720" w:type="dxa"/>
            <w:hideMark/>
          </w:tcPr>
          <w:p w14:paraId="063EE91D" w14:textId="77777777" w:rsidR="00000000" w:rsidRDefault="002F725F">
            <w:pPr>
              <w:rPr>
                <w:sz w:val="20"/>
                <w:szCs w:val="20"/>
              </w:rPr>
            </w:pPr>
          </w:p>
        </w:tc>
        <w:tc>
          <w:tcPr>
            <w:tcW w:w="360" w:type="dxa"/>
            <w:hideMark/>
          </w:tcPr>
          <w:p w14:paraId="36819FDA" w14:textId="77777777" w:rsidR="00000000" w:rsidRDefault="002F725F">
            <w:pPr>
              <w:rPr>
                <w:rFonts w:eastAsia="Times New Roman"/>
                <w:sz w:val="20"/>
                <w:szCs w:val="20"/>
              </w:rPr>
            </w:pPr>
            <w:r>
              <w:rPr>
                <w:rFonts w:eastAsia="Times New Roman"/>
                <w:sz w:val="20"/>
                <w:szCs w:val="20"/>
              </w:rPr>
              <w:t>●</w:t>
            </w:r>
          </w:p>
        </w:tc>
        <w:tc>
          <w:tcPr>
            <w:tcW w:w="0" w:type="auto"/>
            <w:hideMark/>
          </w:tcPr>
          <w:p w14:paraId="25DE4F61" w14:textId="77777777" w:rsidR="00000000" w:rsidRDefault="002F725F">
            <w:pPr>
              <w:jc w:val="both"/>
              <w:rPr>
                <w:rFonts w:eastAsia="Times New Roman"/>
                <w:sz w:val="20"/>
                <w:szCs w:val="20"/>
              </w:rPr>
            </w:pPr>
            <w:r>
              <w:rPr>
                <w:rFonts w:eastAsia="Times New Roman"/>
                <w:sz w:val="20"/>
                <w:szCs w:val="20"/>
              </w:rPr>
              <w:t>there will be no materia</w:t>
            </w:r>
            <w:r>
              <w:rPr>
                <w:rFonts w:eastAsia="Times New Roman"/>
                <w:sz w:val="20"/>
                <w:szCs w:val="20"/>
              </w:rPr>
              <w:t>l adverse change in the competition, the industry, and relevant regulations affecting the Company;</w:t>
            </w:r>
          </w:p>
        </w:tc>
      </w:tr>
    </w:tbl>
    <w:p w14:paraId="4F354A3A"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FADF043" w14:textId="77777777">
        <w:trPr>
          <w:divId w:val="415980837"/>
          <w:tblCellSpacing w:w="0" w:type="dxa"/>
        </w:trPr>
        <w:tc>
          <w:tcPr>
            <w:tcW w:w="720" w:type="dxa"/>
            <w:hideMark/>
          </w:tcPr>
          <w:p w14:paraId="4A6D5FA6" w14:textId="77777777" w:rsidR="00000000" w:rsidRDefault="002F725F">
            <w:pPr>
              <w:rPr>
                <w:sz w:val="20"/>
                <w:szCs w:val="20"/>
              </w:rPr>
            </w:pPr>
          </w:p>
        </w:tc>
        <w:tc>
          <w:tcPr>
            <w:tcW w:w="360" w:type="dxa"/>
            <w:hideMark/>
          </w:tcPr>
          <w:p w14:paraId="60FB2F35" w14:textId="77777777" w:rsidR="00000000" w:rsidRDefault="002F725F">
            <w:pPr>
              <w:rPr>
                <w:rFonts w:eastAsia="Times New Roman"/>
                <w:sz w:val="20"/>
                <w:szCs w:val="20"/>
              </w:rPr>
            </w:pPr>
            <w:r>
              <w:rPr>
                <w:rFonts w:eastAsia="Times New Roman"/>
                <w:sz w:val="20"/>
                <w:szCs w:val="20"/>
              </w:rPr>
              <w:t>●</w:t>
            </w:r>
          </w:p>
        </w:tc>
        <w:tc>
          <w:tcPr>
            <w:tcW w:w="0" w:type="auto"/>
            <w:hideMark/>
          </w:tcPr>
          <w:p w14:paraId="1F4EDE2C" w14:textId="77777777" w:rsidR="00000000" w:rsidRDefault="002F725F">
            <w:pPr>
              <w:jc w:val="both"/>
              <w:rPr>
                <w:rFonts w:eastAsia="Times New Roman"/>
                <w:sz w:val="20"/>
                <w:szCs w:val="20"/>
              </w:rPr>
            </w:pPr>
            <w:r>
              <w:rPr>
                <w:rFonts w:eastAsia="Times New Roman"/>
                <w:sz w:val="20"/>
                <w:szCs w:val="20"/>
              </w:rPr>
              <w:t>there will be no material adverse change in government regulations of the industry or the financial markets in general; and</w:t>
            </w:r>
          </w:p>
        </w:tc>
      </w:tr>
    </w:tbl>
    <w:p w14:paraId="3EE70F9C"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C86F8BF" w14:textId="77777777">
        <w:trPr>
          <w:divId w:val="415980837"/>
          <w:tblCellSpacing w:w="0" w:type="dxa"/>
        </w:trPr>
        <w:tc>
          <w:tcPr>
            <w:tcW w:w="720" w:type="dxa"/>
            <w:hideMark/>
          </w:tcPr>
          <w:p w14:paraId="414EA246" w14:textId="77777777" w:rsidR="00000000" w:rsidRDefault="002F725F">
            <w:pPr>
              <w:rPr>
                <w:sz w:val="20"/>
                <w:szCs w:val="20"/>
              </w:rPr>
            </w:pPr>
          </w:p>
        </w:tc>
        <w:tc>
          <w:tcPr>
            <w:tcW w:w="360" w:type="dxa"/>
            <w:hideMark/>
          </w:tcPr>
          <w:p w14:paraId="00B41FAA" w14:textId="77777777" w:rsidR="00000000" w:rsidRDefault="002F725F">
            <w:pPr>
              <w:rPr>
                <w:rFonts w:eastAsia="Times New Roman"/>
                <w:sz w:val="20"/>
                <w:szCs w:val="20"/>
              </w:rPr>
            </w:pPr>
            <w:r>
              <w:rPr>
                <w:rFonts w:eastAsia="Times New Roman"/>
                <w:sz w:val="20"/>
                <w:szCs w:val="20"/>
              </w:rPr>
              <w:t>●</w:t>
            </w:r>
          </w:p>
        </w:tc>
        <w:tc>
          <w:tcPr>
            <w:tcW w:w="0" w:type="auto"/>
            <w:hideMark/>
          </w:tcPr>
          <w:p w14:paraId="192F7422" w14:textId="77777777" w:rsidR="00000000" w:rsidRDefault="002F725F">
            <w:pPr>
              <w:jc w:val="both"/>
              <w:rPr>
                <w:rFonts w:eastAsia="Times New Roman"/>
                <w:sz w:val="20"/>
                <w:szCs w:val="20"/>
              </w:rPr>
            </w:pPr>
            <w:r>
              <w:rPr>
                <w:rFonts w:eastAsia="Times New Roman"/>
                <w:sz w:val="20"/>
                <w:szCs w:val="20"/>
              </w:rPr>
              <w:t>there is no material adverse change in the financial condition and prospects of the Company.</w:t>
            </w:r>
          </w:p>
        </w:tc>
      </w:tr>
    </w:tbl>
    <w:p w14:paraId="710185CC" w14:textId="77777777" w:rsidR="00000000" w:rsidRDefault="002F725F">
      <w:pPr>
        <w:pStyle w:val="NormalWeb"/>
        <w:spacing w:before="0" w:beforeAutospacing="0" w:after="0" w:afterAutospacing="0"/>
        <w:jc w:val="both"/>
        <w:divId w:val="415980837"/>
        <w:rPr>
          <w:sz w:val="20"/>
          <w:szCs w:val="20"/>
        </w:rPr>
      </w:pPr>
      <w:r>
        <w:rPr>
          <w:b/>
          <w:bCs/>
          <w:sz w:val="20"/>
          <w:szCs w:val="20"/>
        </w:rPr>
        <w:lastRenderedPageBreak/>
        <w:t> </w:t>
      </w:r>
    </w:p>
    <w:p w14:paraId="6276D380" w14:textId="77777777" w:rsidR="00000000" w:rsidRDefault="002F725F">
      <w:pPr>
        <w:pStyle w:val="NormalWeb"/>
        <w:spacing w:before="0" w:beforeAutospacing="0" w:after="0" w:afterAutospacing="0"/>
        <w:jc w:val="both"/>
        <w:divId w:val="415980837"/>
        <w:rPr>
          <w:sz w:val="20"/>
          <w:szCs w:val="20"/>
        </w:rPr>
      </w:pPr>
      <w:r>
        <w:rPr>
          <w:b/>
          <w:bCs/>
          <w:sz w:val="20"/>
          <w:szCs w:val="20"/>
        </w:rPr>
        <w:t>Prior Opinion of the Special Committee’s Financial Advisor</w:t>
      </w:r>
    </w:p>
    <w:p w14:paraId="039CC10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FA5CFC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Pursuant to the D&amp;P Engagement Letter, Duff &amp; Phelps was retained to serve as the Special Committee</w:t>
      </w:r>
      <w:r>
        <w:rPr>
          <w:sz w:val="20"/>
          <w:szCs w:val="20"/>
        </w:rPr>
        <w:t>’s independent financial advisor and to deliver a fairness opinion in connection with the Merger. Duff &amp; Phelps is an internationally recognized financial services firm that, among other things, is regularly engaged in the investment banking business, incl</w:t>
      </w:r>
      <w:r>
        <w:rPr>
          <w:sz w:val="20"/>
          <w:szCs w:val="20"/>
        </w:rPr>
        <w:t>uding the valuation of businesses and securities in connection with mergers and acquisitions, underwritings and private placements of securities, and other investment banking services.</w:t>
      </w:r>
    </w:p>
    <w:p w14:paraId="0720116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447902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a meeting of the Special Committee on November 4, 2025, Duff &amp; Phe</w:t>
      </w:r>
      <w:r>
        <w:rPr>
          <w:sz w:val="20"/>
          <w:szCs w:val="20"/>
        </w:rPr>
        <w:t xml:space="preserve">lps rendered its oral opinion (which was confirmed in writing by the delivery of Duff &amp; Phelps’ written opinion, dated as of November 4, 2025, addressed to the Special Committee) to the Special Committee that, as of such date and based upon and subject to </w:t>
      </w:r>
      <w:r>
        <w:rPr>
          <w:sz w:val="20"/>
          <w:szCs w:val="20"/>
        </w:rPr>
        <w:t>the factors, assumptions, qualifications and limitations set forth in its opinion, the Per Share Merger Consideration (as defined in the Original Merger Agreement) of US$0.90 to be received by the holders of Shares (other than the Excluded Shares and the D</w:t>
      </w:r>
      <w:r>
        <w:rPr>
          <w:sz w:val="20"/>
          <w:szCs w:val="20"/>
        </w:rPr>
        <w:t>issenting Shares) in the Original Merger, was fair, from a financial point of view, to such holders (without giving effect to any impact of the Original Merger on any particular holder of Shares other than in their capacity as holders of Shares). No limita</w:t>
      </w:r>
      <w:r>
        <w:rPr>
          <w:sz w:val="20"/>
          <w:szCs w:val="20"/>
        </w:rPr>
        <w:t>tions were imposed by the Special Committee upon Duff &amp; Phelps with respect to the investigations made or procedures followed by it in rendering its opinion.</w:t>
      </w:r>
    </w:p>
    <w:p w14:paraId="787200CE"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895DA8B" w14:textId="77777777" w:rsidR="00000000" w:rsidRDefault="002F725F">
      <w:pPr>
        <w:pStyle w:val="NormalWeb"/>
        <w:spacing w:before="0" w:beforeAutospacing="0" w:after="0" w:afterAutospacing="0"/>
        <w:jc w:val="center"/>
        <w:divId w:val="427972766"/>
        <w:rPr>
          <w:sz w:val="20"/>
          <w:szCs w:val="20"/>
        </w:rPr>
      </w:pPr>
      <w:r>
        <w:rPr>
          <w:sz w:val="20"/>
          <w:szCs w:val="20"/>
        </w:rPr>
        <w:t>4</w:t>
      </w:r>
      <w:r>
        <w:rPr>
          <w:sz w:val="20"/>
          <w:szCs w:val="20"/>
        </w:rPr>
        <w:t>1</w:t>
      </w:r>
    </w:p>
    <w:p w14:paraId="37EDDC24" w14:textId="77777777" w:rsidR="00000000" w:rsidRDefault="002F725F">
      <w:pPr>
        <w:pStyle w:val="NormalWeb"/>
        <w:spacing w:before="0" w:beforeAutospacing="0" w:after="0" w:afterAutospacing="0"/>
        <w:divId w:val="1400053657"/>
        <w:rPr>
          <w:sz w:val="20"/>
          <w:szCs w:val="20"/>
        </w:rPr>
      </w:pPr>
      <w:r>
        <w:rPr>
          <w:sz w:val="20"/>
          <w:szCs w:val="20"/>
        </w:rPr>
        <w:t> </w:t>
      </w:r>
    </w:p>
    <w:p w14:paraId="3B231C28"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CFC048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full text of the Prior Opinion, which sets forth the procedures followed, assumptions</w:t>
      </w:r>
      <w:r>
        <w:rPr>
          <w:sz w:val="20"/>
          <w:szCs w:val="20"/>
        </w:rPr>
        <w:t xml:space="preserve"> made, matters considered, and qualifications and limitations on the review undertaken, is attached as Exhibit (c)-(1) to Amendment No. 6 to the Rule 13e-3 transaction statement on Schedule 13E-3. The summary of the Prior Opinion set forth in this proxy st</w:t>
      </w:r>
      <w:r>
        <w:rPr>
          <w:sz w:val="20"/>
          <w:szCs w:val="20"/>
        </w:rPr>
        <w:t>atement is qualified in its entirety by reference to the full text of such opinion. The holders of Shares are urged to read the opinion in its entirety. Duff &amp; Phelps’ Prior Opinion is addressed to the Special Committee (in its capacity as such), is direct</w:t>
      </w:r>
      <w:r>
        <w:rPr>
          <w:sz w:val="20"/>
          <w:szCs w:val="20"/>
        </w:rPr>
        <w:t>ed only to the fairness, from a financial point of view, of the Per Share Merger Consideration (as defined in the Original Merger Agreement) and does not constitute, a recommendation to any holder of Shares as to how such holder should vote or act with res</w:t>
      </w:r>
      <w:r>
        <w:rPr>
          <w:sz w:val="20"/>
          <w:szCs w:val="20"/>
        </w:rPr>
        <w:t>pect to the Original Merger or any other matter. Duff &amp; Phelps did not recommend any specific amount of consideration for the Original Merger, that any specific amount of consideration constituted the only appropriate consideration for the Original Merger,</w:t>
      </w:r>
      <w:r>
        <w:rPr>
          <w:sz w:val="20"/>
          <w:szCs w:val="20"/>
        </w:rPr>
        <w:t xml:space="preserve"> or that the Per Share Merger Consideration (as defined in the Original Merger Agreement) was the best price possibly attainable under any circumstances. Duff &amp; Phelps has consented to the inclusion of its Prior Opinion in its entirety, the presentation ma</w:t>
      </w:r>
      <w:r>
        <w:rPr>
          <w:sz w:val="20"/>
          <w:szCs w:val="20"/>
        </w:rPr>
        <w:t>terials, and the descriptions thereof in this proxy statement and any other filing the Company is required to make with the SEC in connection with the Merger if such inclusion is required by applicable law.</w:t>
      </w:r>
    </w:p>
    <w:p w14:paraId="7B4641E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15BF23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In connection with its Prior Opinion, Duff &amp; Ph</w:t>
      </w:r>
      <w:r>
        <w:rPr>
          <w:sz w:val="20"/>
          <w:szCs w:val="20"/>
        </w:rPr>
        <w:t>elps has made such reviews, analyses and inquiries as it has deemed necessary and appropriate under the circumstances to enable Duff &amp; Phelps to render its opinion. Duff &amp; Phelps also took into account its assessment of general economic, market and financi</w:t>
      </w:r>
      <w:r>
        <w:rPr>
          <w:sz w:val="20"/>
          <w:szCs w:val="20"/>
        </w:rPr>
        <w:t>al conditions, as well as its experience in securities and business valuation, in general, and with respect to similar transactions, in particular. Duff &amp; Phelps’ procedures, investigations, and financial analysis with respect to the preparation of its Pri</w:t>
      </w:r>
      <w:r>
        <w:rPr>
          <w:sz w:val="20"/>
          <w:szCs w:val="20"/>
        </w:rPr>
        <w:t>or Opinion included, but were not limited to, the items summarized below:</w:t>
      </w:r>
    </w:p>
    <w:p w14:paraId="4F6929EF"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3360B69" w14:textId="77777777">
        <w:trPr>
          <w:divId w:val="415980837"/>
          <w:tblCellSpacing w:w="0" w:type="dxa"/>
        </w:trPr>
        <w:tc>
          <w:tcPr>
            <w:tcW w:w="720" w:type="dxa"/>
            <w:hideMark/>
          </w:tcPr>
          <w:p w14:paraId="107AA7DE" w14:textId="77777777" w:rsidR="00000000" w:rsidRDefault="002F725F">
            <w:pPr>
              <w:rPr>
                <w:sz w:val="20"/>
                <w:szCs w:val="20"/>
              </w:rPr>
            </w:pPr>
          </w:p>
        </w:tc>
        <w:tc>
          <w:tcPr>
            <w:tcW w:w="360" w:type="dxa"/>
            <w:hideMark/>
          </w:tcPr>
          <w:p w14:paraId="4C86B4A8" w14:textId="77777777" w:rsidR="00000000" w:rsidRDefault="002F725F">
            <w:pPr>
              <w:rPr>
                <w:rFonts w:eastAsia="Times New Roman"/>
                <w:sz w:val="20"/>
                <w:szCs w:val="20"/>
              </w:rPr>
            </w:pPr>
            <w:r>
              <w:rPr>
                <w:rFonts w:eastAsia="Times New Roman"/>
                <w:sz w:val="20"/>
                <w:szCs w:val="20"/>
              </w:rPr>
              <w:t>●</w:t>
            </w:r>
          </w:p>
        </w:tc>
        <w:tc>
          <w:tcPr>
            <w:tcW w:w="0" w:type="auto"/>
            <w:hideMark/>
          </w:tcPr>
          <w:p w14:paraId="66CD7608" w14:textId="77777777" w:rsidR="00000000" w:rsidRDefault="002F725F">
            <w:pPr>
              <w:jc w:val="both"/>
              <w:rPr>
                <w:rFonts w:eastAsia="Times New Roman"/>
                <w:sz w:val="20"/>
                <w:szCs w:val="20"/>
              </w:rPr>
            </w:pPr>
            <w:r>
              <w:rPr>
                <w:rFonts w:eastAsia="Times New Roman"/>
                <w:sz w:val="20"/>
                <w:szCs w:val="20"/>
              </w:rPr>
              <w:t xml:space="preserve">Reviewed the Company’s annual reports and audited financial statements on Form 20-F filed with the </w:t>
            </w:r>
            <w:r>
              <w:rPr>
                <w:rFonts w:eastAsia="Times New Roman"/>
                <w:sz w:val="20"/>
                <w:szCs w:val="20"/>
              </w:rPr>
              <w:t>SEC for the years ended March 31, 2023 through March 31, 2025;</w:t>
            </w:r>
          </w:p>
        </w:tc>
      </w:tr>
    </w:tbl>
    <w:p w14:paraId="7B60BAAB"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E858955" w14:textId="77777777">
        <w:trPr>
          <w:divId w:val="415980837"/>
          <w:tblCellSpacing w:w="0" w:type="dxa"/>
        </w:trPr>
        <w:tc>
          <w:tcPr>
            <w:tcW w:w="720" w:type="dxa"/>
            <w:hideMark/>
          </w:tcPr>
          <w:p w14:paraId="48E63851" w14:textId="77777777" w:rsidR="00000000" w:rsidRDefault="002F725F">
            <w:pPr>
              <w:rPr>
                <w:sz w:val="20"/>
                <w:szCs w:val="20"/>
              </w:rPr>
            </w:pPr>
          </w:p>
        </w:tc>
        <w:tc>
          <w:tcPr>
            <w:tcW w:w="360" w:type="dxa"/>
            <w:hideMark/>
          </w:tcPr>
          <w:p w14:paraId="430B618E" w14:textId="77777777" w:rsidR="00000000" w:rsidRDefault="002F725F">
            <w:pPr>
              <w:rPr>
                <w:rFonts w:eastAsia="Times New Roman"/>
                <w:sz w:val="20"/>
                <w:szCs w:val="20"/>
              </w:rPr>
            </w:pPr>
            <w:r>
              <w:rPr>
                <w:rFonts w:eastAsia="Times New Roman"/>
                <w:sz w:val="20"/>
                <w:szCs w:val="20"/>
              </w:rPr>
              <w:t>●</w:t>
            </w:r>
          </w:p>
        </w:tc>
        <w:tc>
          <w:tcPr>
            <w:tcW w:w="0" w:type="auto"/>
            <w:hideMark/>
          </w:tcPr>
          <w:p w14:paraId="26AA4E2B" w14:textId="77777777" w:rsidR="00000000" w:rsidRDefault="002F725F">
            <w:pPr>
              <w:jc w:val="both"/>
              <w:rPr>
                <w:rFonts w:eastAsia="Times New Roman"/>
                <w:sz w:val="20"/>
                <w:szCs w:val="20"/>
              </w:rPr>
            </w:pPr>
            <w:r>
              <w:rPr>
                <w:rFonts w:eastAsia="Times New Roman"/>
                <w:sz w:val="20"/>
                <w:szCs w:val="20"/>
              </w:rPr>
              <w:t>Reviewed certain unaudited and segment financial information for the Company for the years ended March 31, 2023 through March 31, 2025 and the five months ended August 31, 2024 and August</w:t>
            </w:r>
            <w:r>
              <w:rPr>
                <w:rFonts w:eastAsia="Times New Roman"/>
                <w:sz w:val="20"/>
                <w:szCs w:val="20"/>
              </w:rPr>
              <w:t xml:space="preserve"> 31, 2025, provided to Duff &amp; Phelps by the management of the Company and which the management of the Company identified as being the most current financial statements available;</w:t>
            </w:r>
          </w:p>
        </w:tc>
      </w:tr>
    </w:tbl>
    <w:p w14:paraId="13F2672F"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538EF5F" w14:textId="77777777">
        <w:trPr>
          <w:divId w:val="415980837"/>
          <w:tblCellSpacing w:w="0" w:type="dxa"/>
        </w:trPr>
        <w:tc>
          <w:tcPr>
            <w:tcW w:w="720" w:type="dxa"/>
            <w:hideMark/>
          </w:tcPr>
          <w:p w14:paraId="556D3FBA" w14:textId="77777777" w:rsidR="00000000" w:rsidRDefault="002F725F">
            <w:pPr>
              <w:rPr>
                <w:sz w:val="20"/>
                <w:szCs w:val="20"/>
              </w:rPr>
            </w:pPr>
          </w:p>
        </w:tc>
        <w:tc>
          <w:tcPr>
            <w:tcW w:w="360" w:type="dxa"/>
            <w:hideMark/>
          </w:tcPr>
          <w:p w14:paraId="5B32B19D" w14:textId="77777777" w:rsidR="00000000" w:rsidRDefault="002F725F">
            <w:pPr>
              <w:rPr>
                <w:rFonts w:eastAsia="Times New Roman"/>
                <w:sz w:val="20"/>
                <w:szCs w:val="20"/>
              </w:rPr>
            </w:pPr>
            <w:r>
              <w:rPr>
                <w:rFonts w:eastAsia="Times New Roman"/>
                <w:sz w:val="20"/>
                <w:szCs w:val="20"/>
              </w:rPr>
              <w:t>●</w:t>
            </w:r>
          </w:p>
        </w:tc>
        <w:tc>
          <w:tcPr>
            <w:tcW w:w="0" w:type="auto"/>
            <w:hideMark/>
          </w:tcPr>
          <w:p w14:paraId="42D4B538" w14:textId="77777777" w:rsidR="00000000" w:rsidRDefault="002F725F">
            <w:pPr>
              <w:jc w:val="both"/>
              <w:rPr>
                <w:rFonts w:eastAsia="Times New Roman"/>
                <w:sz w:val="20"/>
                <w:szCs w:val="20"/>
              </w:rPr>
            </w:pPr>
            <w:r>
              <w:rPr>
                <w:rFonts w:eastAsia="Times New Roman"/>
                <w:sz w:val="20"/>
                <w:szCs w:val="20"/>
              </w:rPr>
              <w:t xml:space="preserve">Reviewed a detailed financial projection model for the Company for the </w:t>
            </w:r>
            <w:r>
              <w:rPr>
                <w:rFonts w:eastAsia="Times New Roman"/>
                <w:sz w:val="20"/>
                <w:szCs w:val="20"/>
              </w:rPr>
              <w:t>years ending March 31, 2026 through March 31, 2033, prepared and provided to Duff &amp; Phelps by the management of the Company on October 14, 2025, which was superseded in its entirety by the Management Projections (the “Prior Management Projections”);</w:t>
            </w:r>
          </w:p>
        </w:tc>
      </w:tr>
    </w:tbl>
    <w:p w14:paraId="2443FB09"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67BE288" w14:textId="77777777">
        <w:trPr>
          <w:divId w:val="415980837"/>
          <w:tblCellSpacing w:w="0" w:type="dxa"/>
        </w:trPr>
        <w:tc>
          <w:tcPr>
            <w:tcW w:w="720" w:type="dxa"/>
            <w:hideMark/>
          </w:tcPr>
          <w:p w14:paraId="5F0254EB" w14:textId="77777777" w:rsidR="00000000" w:rsidRDefault="002F725F">
            <w:pPr>
              <w:rPr>
                <w:sz w:val="20"/>
                <w:szCs w:val="20"/>
              </w:rPr>
            </w:pPr>
          </w:p>
        </w:tc>
        <w:tc>
          <w:tcPr>
            <w:tcW w:w="360" w:type="dxa"/>
            <w:hideMark/>
          </w:tcPr>
          <w:p w14:paraId="7780B49A" w14:textId="77777777" w:rsidR="00000000" w:rsidRDefault="002F725F">
            <w:pPr>
              <w:rPr>
                <w:rFonts w:eastAsia="Times New Roman"/>
                <w:sz w:val="20"/>
                <w:szCs w:val="20"/>
              </w:rPr>
            </w:pPr>
            <w:r>
              <w:rPr>
                <w:rFonts w:eastAsia="Times New Roman"/>
                <w:sz w:val="20"/>
                <w:szCs w:val="20"/>
              </w:rPr>
              <w:t>●</w:t>
            </w:r>
          </w:p>
        </w:tc>
        <w:tc>
          <w:tcPr>
            <w:tcW w:w="0" w:type="auto"/>
            <w:hideMark/>
          </w:tcPr>
          <w:p w14:paraId="1F9D741B" w14:textId="77777777" w:rsidR="00000000" w:rsidRDefault="002F725F">
            <w:pPr>
              <w:jc w:val="both"/>
              <w:rPr>
                <w:rFonts w:eastAsia="Times New Roman"/>
                <w:sz w:val="20"/>
                <w:szCs w:val="20"/>
              </w:rPr>
            </w:pPr>
            <w:r>
              <w:rPr>
                <w:rFonts w:eastAsia="Times New Roman"/>
                <w:sz w:val="20"/>
                <w:szCs w:val="20"/>
              </w:rPr>
              <w:t>Reviewed other internal documents relating to the history, current operations, and probable future outlook of the Company, provided to Duff &amp; Phelps by the management of the Company;</w:t>
            </w:r>
          </w:p>
        </w:tc>
      </w:tr>
    </w:tbl>
    <w:p w14:paraId="09AE7A7D"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9965E86" w14:textId="77777777">
        <w:trPr>
          <w:divId w:val="415980837"/>
          <w:tblCellSpacing w:w="0" w:type="dxa"/>
        </w:trPr>
        <w:tc>
          <w:tcPr>
            <w:tcW w:w="720" w:type="dxa"/>
            <w:hideMark/>
          </w:tcPr>
          <w:p w14:paraId="059DC34A" w14:textId="77777777" w:rsidR="00000000" w:rsidRDefault="002F725F">
            <w:pPr>
              <w:rPr>
                <w:sz w:val="20"/>
                <w:szCs w:val="20"/>
              </w:rPr>
            </w:pPr>
          </w:p>
        </w:tc>
        <w:tc>
          <w:tcPr>
            <w:tcW w:w="360" w:type="dxa"/>
            <w:hideMark/>
          </w:tcPr>
          <w:p w14:paraId="10599200" w14:textId="77777777" w:rsidR="00000000" w:rsidRDefault="002F725F">
            <w:pPr>
              <w:rPr>
                <w:rFonts w:eastAsia="Times New Roman"/>
                <w:sz w:val="20"/>
                <w:szCs w:val="20"/>
              </w:rPr>
            </w:pPr>
            <w:r>
              <w:rPr>
                <w:rFonts w:eastAsia="Times New Roman"/>
                <w:sz w:val="20"/>
                <w:szCs w:val="20"/>
              </w:rPr>
              <w:t>●</w:t>
            </w:r>
          </w:p>
        </w:tc>
        <w:tc>
          <w:tcPr>
            <w:tcW w:w="0" w:type="auto"/>
            <w:hideMark/>
          </w:tcPr>
          <w:p w14:paraId="5742D29B" w14:textId="77777777" w:rsidR="00000000" w:rsidRDefault="002F725F">
            <w:pPr>
              <w:jc w:val="both"/>
              <w:rPr>
                <w:rFonts w:eastAsia="Times New Roman"/>
                <w:sz w:val="20"/>
                <w:szCs w:val="20"/>
              </w:rPr>
            </w:pPr>
            <w:r>
              <w:rPr>
                <w:rFonts w:eastAsia="Times New Roman"/>
                <w:sz w:val="20"/>
                <w:szCs w:val="20"/>
              </w:rPr>
              <w:t>Reviewed a letter dated November 3, 2025 from the management of the Company, which made certain representations as to historical financial information for the Company, the Prior Management Projections and the underlying assumptions of such projections (the</w:t>
            </w:r>
            <w:r>
              <w:rPr>
                <w:rFonts w:eastAsia="Times New Roman"/>
                <w:sz w:val="20"/>
                <w:szCs w:val="20"/>
              </w:rPr>
              <w:t xml:space="preserve"> “Prior Management Representation Letter”);</w:t>
            </w:r>
          </w:p>
        </w:tc>
      </w:tr>
    </w:tbl>
    <w:p w14:paraId="58B508D4"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88854B8" w14:textId="77777777">
        <w:trPr>
          <w:divId w:val="415980837"/>
          <w:tblCellSpacing w:w="0" w:type="dxa"/>
        </w:trPr>
        <w:tc>
          <w:tcPr>
            <w:tcW w:w="720" w:type="dxa"/>
            <w:hideMark/>
          </w:tcPr>
          <w:p w14:paraId="3420982A" w14:textId="77777777" w:rsidR="00000000" w:rsidRDefault="002F725F">
            <w:pPr>
              <w:rPr>
                <w:sz w:val="20"/>
                <w:szCs w:val="20"/>
              </w:rPr>
            </w:pPr>
          </w:p>
        </w:tc>
        <w:tc>
          <w:tcPr>
            <w:tcW w:w="360" w:type="dxa"/>
            <w:hideMark/>
          </w:tcPr>
          <w:p w14:paraId="617A535B" w14:textId="77777777" w:rsidR="00000000" w:rsidRDefault="002F725F">
            <w:pPr>
              <w:rPr>
                <w:rFonts w:eastAsia="Times New Roman"/>
                <w:sz w:val="20"/>
                <w:szCs w:val="20"/>
              </w:rPr>
            </w:pPr>
            <w:r>
              <w:rPr>
                <w:rFonts w:eastAsia="Times New Roman"/>
                <w:sz w:val="20"/>
                <w:szCs w:val="20"/>
              </w:rPr>
              <w:t>●</w:t>
            </w:r>
          </w:p>
        </w:tc>
        <w:tc>
          <w:tcPr>
            <w:tcW w:w="0" w:type="auto"/>
            <w:hideMark/>
          </w:tcPr>
          <w:p w14:paraId="2CDCAA91" w14:textId="77777777" w:rsidR="00000000" w:rsidRDefault="002F725F">
            <w:pPr>
              <w:jc w:val="both"/>
              <w:rPr>
                <w:rFonts w:eastAsia="Times New Roman"/>
                <w:sz w:val="20"/>
                <w:szCs w:val="20"/>
              </w:rPr>
            </w:pPr>
            <w:r>
              <w:rPr>
                <w:rFonts w:eastAsia="Times New Roman"/>
                <w:sz w:val="20"/>
                <w:szCs w:val="20"/>
              </w:rPr>
              <w:t>Reviewed a draft of the Original Merger Agreement dated October 31, 2025;</w:t>
            </w:r>
          </w:p>
        </w:tc>
      </w:tr>
    </w:tbl>
    <w:p w14:paraId="1126DABB"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B3EB775" w14:textId="77777777">
        <w:trPr>
          <w:divId w:val="415980837"/>
          <w:tblCellSpacing w:w="0" w:type="dxa"/>
        </w:trPr>
        <w:tc>
          <w:tcPr>
            <w:tcW w:w="720" w:type="dxa"/>
            <w:hideMark/>
          </w:tcPr>
          <w:p w14:paraId="1AA20124" w14:textId="77777777" w:rsidR="00000000" w:rsidRDefault="002F725F">
            <w:pPr>
              <w:rPr>
                <w:sz w:val="20"/>
                <w:szCs w:val="20"/>
              </w:rPr>
            </w:pPr>
          </w:p>
        </w:tc>
        <w:tc>
          <w:tcPr>
            <w:tcW w:w="360" w:type="dxa"/>
            <w:hideMark/>
          </w:tcPr>
          <w:p w14:paraId="54128750" w14:textId="77777777" w:rsidR="00000000" w:rsidRDefault="002F725F">
            <w:pPr>
              <w:rPr>
                <w:rFonts w:eastAsia="Times New Roman"/>
                <w:sz w:val="20"/>
                <w:szCs w:val="20"/>
              </w:rPr>
            </w:pPr>
            <w:r>
              <w:rPr>
                <w:rFonts w:eastAsia="Times New Roman"/>
                <w:sz w:val="20"/>
                <w:szCs w:val="20"/>
              </w:rPr>
              <w:t>●</w:t>
            </w:r>
          </w:p>
        </w:tc>
        <w:tc>
          <w:tcPr>
            <w:tcW w:w="0" w:type="auto"/>
            <w:hideMark/>
          </w:tcPr>
          <w:p w14:paraId="65DDDB9B" w14:textId="77777777" w:rsidR="00000000" w:rsidRDefault="002F725F">
            <w:pPr>
              <w:jc w:val="both"/>
              <w:rPr>
                <w:rFonts w:eastAsia="Times New Roman"/>
                <w:sz w:val="20"/>
                <w:szCs w:val="20"/>
              </w:rPr>
            </w:pPr>
            <w:r>
              <w:rPr>
                <w:rFonts w:eastAsia="Times New Roman"/>
                <w:sz w:val="20"/>
                <w:szCs w:val="20"/>
              </w:rPr>
              <w:t>Discussed the information referred to above and the background and other elements of the Original Merger with the management o</w:t>
            </w:r>
            <w:r>
              <w:rPr>
                <w:rFonts w:eastAsia="Times New Roman"/>
                <w:sz w:val="20"/>
                <w:szCs w:val="20"/>
              </w:rPr>
              <w:t>f the Company;</w:t>
            </w:r>
          </w:p>
        </w:tc>
      </w:tr>
    </w:tbl>
    <w:p w14:paraId="0010B76F"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648E34A" w14:textId="77777777">
        <w:trPr>
          <w:divId w:val="415980837"/>
          <w:tblCellSpacing w:w="0" w:type="dxa"/>
        </w:trPr>
        <w:tc>
          <w:tcPr>
            <w:tcW w:w="720" w:type="dxa"/>
            <w:hideMark/>
          </w:tcPr>
          <w:p w14:paraId="1C59CC15" w14:textId="77777777" w:rsidR="00000000" w:rsidRDefault="002F725F">
            <w:pPr>
              <w:rPr>
                <w:sz w:val="20"/>
                <w:szCs w:val="20"/>
              </w:rPr>
            </w:pPr>
          </w:p>
        </w:tc>
        <w:tc>
          <w:tcPr>
            <w:tcW w:w="360" w:type="dxa"/>
            <w:hideMark/>
          </w:tcPr>
          <w:p w14:paraId="3BF7024B" w14:textId="77777777" w:rsidR="00000000" w:rsidRDefault="002F725F">
            <w:pPr>
              <w:rPr>
                <w:rFonts w:eastAsia="Times New Roman"/>
                <w:sz w:val="20"/>
                <w:szCs w:val="20"/>
              </w:rPr>
            </w:pPr>
            <w:r>
              <w:rPr>
                <w:rFonts w:eastAsia="Times New Roman"/>
                <w:sz w:val="20"/>
                <w:szCs w:val="20"/>
              </w:rPr>
              <w:t>●</w:t>
            </w:r>
          </w:p>
        </w:tc>
        <w:tc>
          <w:tcPr>
            <w:tcW w:w="0" w:type="auto"/>
            <w:hideMark/>
          </w:tcPr>
          <w:p w14:paraId="0E1FD55C" w14:textId="77777777" w:rsidR="00000000" w:rsidRDefault="002F725F">
            <w:pPr>
              <w:jc w:val="both"/>
              <w:rPr>
                <w:rFonts w:eastAsia="Times New Roman"/>
                <w:sz w:val="20"/>
                <w:szCs w:val="20"/>
              </w:rPr>
            </w:pPr>
            <w:r>
              <w:rPr>
                <w:rFonts w:eastAsia="Times New Roman"/>
                <w:sz w:val="20"/>
                <w:szCs w:val="20"/>
              </w:rPr>
              <w:t>Discussed with the management of the Company its plans and intentions with respect to the management and operation of the Company’s business;</w:t>
            </w:r>
          </w:p>
        </w:tc>
      </w:tr>
    </w:tbl>
    <w:p w14:paraId="654488EA"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D75BC9A" w14:textId="77777777">
        <w:trPr>
          <w:divId w:val="415980837"/>
          <w:tblCellSpacing w:w="0" w:type="dxa"/>
        </w:trPr>
        <w:tc>
          <w:tcPr>
            <w:tcW w:w="720" w:type="dxa"/>
            <w:hideMark/>
          </w:tcPr>
          <w:p w14:paraId="11455CBE" w14:textId="77777777" w:rsidR="00000000" w:rsidRDefault="002F725F">
            <w:pPr>
              <w:rPr>
                <w:sz w:val="20"/>
                <w:szCs w:val="20"/>
              </w:rPr>
            </w:pPr>
          </w:p>
        </w:tc>
        <w:tc>
          <w:tcPr>
            <w:tcW w:w="360" w:type="dxa"/>
            <w:hideMark/>
          </w:tcPr>
          <w:p w14:paraId="2D038F6F" w14:textId="77777777" w:rsidR="00000000" w:rsidRDefault="002F725F">
            <w:pPr>
              <w:rPr>
                <w:rFonts w:eastAsia="Times New Roman"/>
                <w:sz w:val="20"/>
                <w:szCs w:val="20"/>
              </w:rPr>
            </w:pPr>
            <w:r>
              <w:rPr>
                <w:rFonts w:eastAsia="Times New Roman"/>
                <w:sz w:val="20"/>
                <w:szCs w:val="20"/>
              </w:rPr>
              <w:t>●</w:t>
            </w:r>
          </w:p>
        </w:tc>
        <w:tc>
          <w:tcPr>
            <w:tcW w:w="0" w:type="auto"/>
            <w:hideMark/>
          </w:tcPr>
          <w:p w14:paraId="7CA267D1" w14:textId="77777777" w:rsidR="00000000" w:rsidRDefault="002F725F">
            <w:pPr>
              <w:jc w:val="both"/>
              <w:rPr>
                <w:rFonts w:eastAsia="Times New Roman"/>
                <w:sz w:val="20"/>
                <w:szCs w:val="20"/>
              </w:rPr>
            </w:pPr>
            <w:r>
              <w:rPr>
                <w:rFonts w:eastAsia="Times New Roman"/>
                <w:sz w:val="20"/>
                <w:szCs w:val="20"/>
              </w:rPr>
              <w:t>Reviewed the historical trading price and trading volume of the Shares and the publicly traded securities of certain other companies that Duff &amp; Phelps deemed relevant;</w:t>
            </w:r>
          </w:p>
        </w:tc>
      </w:tr>
    </w:tbl>
    <w:p w14:paraId="28D14D91"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009983A1" w14:textId="77777777" w:rsidR="00000000" w:rsidRDefault="002F725F">
      <w:pPr>
        <w:pStyle w:val="NormalWeb"/>
        <w:spacing w:before="0" w:beforeAutospacing="0" w:after="0" w:afterAutospacing="0"/>
        <w:jc w:val="center"/>
        <w:divId w:val="957302397"/>
        <w:rPr>
          <w:sz w:val="20"/>
          <w:szCs w:val="20"/>
        </w:rPr>
      </w:pPr>
      <w:r>
        <w:rPr>
          <w:sz w:val="20"/>
          <w:szCs w:val="20"/>
        </w:rPr>
        <w:t>4</w:t>
      </w:r>
      <w:r>
        <w:rPr>
          <w:sz w:val="20"/>
          <w:szCs w:val="20"/>
        </w:rPr>
        <w:t>2</w:t>
      </w:r>
    </w:p>
    <w:p w14:paraId="1C5B63B3" w14:textId="77777777" w:rsidR="00000000" w:rsidRDefault="002F725F">
      <w:pPr>
        <w:pStyle w:val="NormalWeb"/>
        <w:spacing w:before="0" w:beforeAutospacing="0" w:after="0" w:afterAutospacing="0"/>
        <w:divId w:val="944074385"/>
        <w:rPr>
          <w:sz w:val="20"/>
          <w:szCs w:val="20"/>
        </w:rPr>
      </w:pPr>
      <w:r>
        <w:rPr>
          <w:sz w:val="20"/>
          <w:szCs w:val="20"/>
        </w:rPr>
        <w:t> </w:t>
      </w:r>
    </w:p>
    <w:p w14:paraId="790C83F2"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E1631B1" w14:textId="77777777">
        <w:trPr>
          <w:divId w:val="415980837"/>
          <w:tblCellSpacing w:w="0" w:type="dxa"/>
        </w:trPr>
        <w:tc>
          <w:tcPr>
            <w:tcW w:w="720" w:type="dxa"/>
            <w:hideMark/>
          </w:tcPr>
          <w:p w14:paraId="702ECFE9" w14:textId="77777777" w:rsidR="00000000" w:rsidRDefault="002F725F">
            <w:pPr>
              <w:rPr>
                <w:sz w:val="20"/>
                <w:szCs w:val="20"/>
              </w:rPr>
            </w:pPr>
          </w:p>
        </w:tc>
        <w:tc>
          <w:tcPr>
            <w:tcW w:w="360" w:type="dxa"/>
            <w:hideMark/>
          </w:tcPr>
          <w:p w14:paraId="4EEB22F1" w14:textId="77777777" w:rsidR="00000000" w:rsidRDefault="002F725F">
            <w:pPr>
              <w:rPr>
                <w:rFonts w:eastAsia="Times New Roman"/>
                <w:sz w:val="20"/>
                <w:szCs w:val="20"/>
              </w:rPr>
            </w:pPr>
            <w:r>
              <w:rPr>
                <w:rFonts w:eastAsia="Times New Roman"/>
                <w:sz w:val="20"/>
                <w:szCs w:val="20"/>
              </w:rPr>
              <w:t>●</w:t>
            </w:r>
          </w:p>
        </w:tc>
        <w:tc>
          <w:tcPr>
            <w:tcW w:w="0" w:type="auto"/>
            <w:hideMark/>
          </w:tcPr>
          <w:p w14:paraId="2DA856C9" w14:textId="77777777" w:rsidR="00000000" w:rsidRDefault="002F725F">
            <w:pPr>
              <w:jc w:val="both"/>
              <w:rPr>
                <w:rFonts w:eastAsia="Times New Roman"/>
                <w:sz w:val="20"/>
                <w:szCs w:val="20"/>
              </w:rPr>
            </w:pPr>
            <w:r>
              <w:rPr>
                <w:rFonts w:eastAsia="Times New Roman"/>
                <w:sz w:val="20"/>
                <w:szCs w:val="20"/>
              </w:rPr>
              <w:t>Performed certain valuation and comparative analyses using generally accep</w:t>
            </w:r>
            <w:r>
              <w:rPr>
                <w:rFonts w:eastAsia="Times New Roman"/>
                <w:sz w:val="20"/>
                <w:szCs w:val="20"/>
              </w:rPr>
              <w:t>ted valuation and analytical techniques, including a discounted cash flow analysis, an analysis of selected public companies that Duff &amp; Phelps deemed relevant, and an analysis of selected transactions that Duff &amp; Phelps deemed relevant; and</w:t>
            </w:r>
          </w:p>
        </w:tc>
      </w:tr>
    </w:tbl>
    <w:p w14:paraId="247D1085"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A312600" w14:textId="77777777">
        <w:trPr>
          <w:divId w:val="415980837"/>
          <w:tblCellSpacing w:w="0" w:type="dxa"/>
        </w:trPr>
        <w:tc>
          <w:tcPr>
            <w:tcW w:w="720" w:type="dxa"/>
            <w:hideMark/>
          </w:tcPr>
          <w:p w14:paraId="6CEF8126" w14:textId="77777777" w:rsidR="00000000" w:rsidRDefault="002F725F">
            <w:pPr>
              <w:rPr>
                <w:sz w:val="20"/>
                <w:szCs w:val="20"/>
              </w:rPr>
            </w:pPr>
          </w:p>
        </w:tc>
        <w:tc>
          <w:tcPr>
            <w:tcW w:w="360" w:type="dxa"/>
            <w:hideMark/>
          </w:tcPr>
          <w:p w14:paraId="3B3A8FE8" w14:textId="77777777" w:rsidR="00000000" w:rsidRDefault="002F725F">
            <w:pPr>
              <w:rPr>
                <w:rFonts w:eastAsia="Times New Roman"/>
                <w:sz w:val="20"/>
                <w:szCs w:val="20"/>
              </w:rPr>
            </w:pPr>
            <w:r>
              <w:rPr>
                <w:rFonts w:eastAsia="Times New Roman"/>
                <w:sz w:val="20"/>
                <w:szCs w:val="20"/>
              </w:rPr>
              <w:t>●</w:t>
            </w:r>
          </w:p>
        </w:tc>
        <w:tc>
          <w:tcPr>
            <w:tcW w:w="0" w:type="auto"/>
            <w:hideMark/>
          </w:tcPr>
          <w:p w14:paraId="50AF8FEC" w14:textId="77777777" w:rsidR="00000000" w:rsidRDefault="002F725F">
            <w:pPr>
              <w:jc w:val="both"/>
              <w:rPr>
                <w:rFonts w:eastAsia="Times New Roman"/>
                <w:sz w:val="20"/>
                <w:szCs w:val="20"/>
              </w:rPr>
            </w:pPr>
            <w:r>
              <w:rPr>
                <w:rFonts w:eastAsia="Times New Roman"/>
                <w:sz w:val="20"/>
                <w:szCs w:val="20"/>
              </w:rPr>
              <w:t>Conducte</w:t>
            </w:r>
            <w:r>
              <w:rPr>
                <w:rFonts w:eastAsia="Times New Roman"/>
                <w:sz w:val="20"/>
                <w:szCs w:val="20"/>
              </w:rPr>
              <w:t>d such other analyses and considered such other factors as Duff &amp; Phelps deemed appropriate.</w:t>
            </w:r>
          </w:p>
        </w:tc>
      </w:tr>
    </w:tbl>
    <w:p w14:paraId="4A8BC2F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EC3460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In performing its analyses and rendering its Prior Opinion with respect to the Original Merger, Duff &amp; Phelps, with the consent of the Company and the Special C</w:t>
      </w:r>
      <w:r>
        <w:rPr>
          <w:sz w:val="20"/>
          <w:szCs w:val="20"/>
        </w:rPr>
        <w:t>ommittee:</w:t>
      </w:r>
    </w:p>
    <w:p w14:paraId="5462ABF9"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6461710" w14:textId="77777777">
        <w:trPr>
          <w:divId w:val="415980837"/>
          <w:tblCellSpacing w:w="0" w:type="dxa"/>
        </w:trPr>
        <w:tc>
          <w:tcPr>
            <w:tcW w:w="720" w:type="dxa"/>
            <w:hideMark/>
          </w:tcPr>
          <w:p w14:paraId="686C4E17" w14:textId="77777777" w:rsidR="00000000" w:rsidRDefault="002F725F">
            <w:pPr>
              <w:rPr>
                <w:sz w:val="20"/>
                <w:szCs w:val="20"/>
              </w:rPr>
            </w:pPr>
          </w:p>
        </w:tc>
        <w:tc>
          <w:tcPr>
            <w:tcW w:w="360" w:type="dxa"/>
            <w:hideMark/>
          </w:tcPr>
          <w:p w14:paraId="1DFCB202" w14:textId="77777777" w:rsidR="00000000" w:rsidRDefault="002F725F">
            <w:pPr>
              <w:rPr>
                <w:rFonts w:eastAsia="Times New Roman"/>
                <w:sz w:val="20"/>
                <w:szCs w:val="20"/>
              </w:rPr>
            </w:pPr>
            <w:r>
              <w:rPr>
                <w:rFonts w:eastAsia="Times New Roman"/>
                <w:sz w:val="20"/>
                <w:szCs w:val="20"/>
              </w:rPr>
              <w:t>●</w:t>
            </w:r>
          </w:p>
        </w:tc>
        <w:tc>
          <w:tcPr>
            <w:tcW w:w="0" w:type="auto"/>
            <w:hideMark/>
          </w:tcPr>
          <w:p w14:paraId="0245AE8D" w14:textId="77777777" w:rsidR="00000000" w:rsidRDefault="002F725F">
            <w:pPr>
              <w:jc w:val="both"/>
              <w:rPr>
                <w:rFonts w:eastAsia="Times New Roman"/>
                <w:sz w:val="20"/>
                <w:szCs w:val="20"/>
              </w:rPr>
            </w:pPr>
            <w:r>
              <w:rPr>
                <w:rFonts w:eastAsia="Times New Roman"/>
                <w:sz w:val="20"/>
                <w:szCs w:val="20"/>
              </w:rPr>
              <w:t xml:space="preserve">Relied upon the accuracy, completeness, and fair presentation of all information, data, advice, opinions </w:t>
            </w:r>
            <w:r>
              <w:rPr>
                <w:rFonts w:eastAsia="Times New Roman"/>
                <w:sz w:val="20"/>
                <w:szCs w:val="20"/>
              </w:rPr>
              <w:t>and representations obtained from public sources or provided to it from private sources, including the management of the Company, and did not independently verify such information;</w:t>
            </w:r>
          </w:p>
        </w:tc>
      </w:tr>
    </w:tbl>
    <w:p w14:paraId="09EF915E"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3269E88" w14:textId="77777777">
        <w:trPr>
          <w:divId w:val="415980837"/>
          <w:tblCellSpacing w:w="0" w:type="dxa"/>
        </w:trPr>
        <w:tc>
          <w:tcPr>
            <w:tcW w:w="720" w:type="dxa"/>
            <w:hideMark/>
          </w:tcPr>
          <w:p w14:paraId="46A87161" w14:textId="77777777" w:rsidR="00000000" w:rsidRDefault="002F725F">
            <w:pPr>
              <w:rPr>
                <w:sz w:val="20"/>
                <w:szCs w:val="20"/>
              </w:rPr>
            </w:pPr>
          </w:p>
        </w:tc>
        <w:tc>
          <w:tcPr>
            <w:tcW w:w="360" w:type="dxa"/>
            <w:hideMark/>
          </w:tcPr>
          <w:p w14:paraId="471272D9" w14:textId="77777777" w:rsidR="00000000" w:rsidRDefault="002F725F">
            <w:pPr>
              <w:rPr>
                <w:rFonts w:eastAsia="Times New Roman"/>
                <w:sz w:val="20"/>
                <w:szCs w:val="20"/>
              </w:rPr>
            </w:pPr>
            <w:r>
              <w:rPr>
                <w:rFonts w:eastAsia="Times New Roman"/>
                <w:sz w:val="20"/>
                <w:szCs w:val="20"/>
              </w:rPr>
              <w:t>●</w:t>
            </w:r>
          </w:p>
        </w:tc>
        <w:tc>
          <w:tcPr>
            <w:tcW w:w="0" w:type="auto"/>
            <w:hideMark/>
          </w:tcPr>
          <w:p w14:paraId="29CCDC27" w14:textId="77777777" w:rsidR="00000000" w:rsidRDefault="002F725F">
            <w:pPr>
              <w:jc w:val="both"/>
              <w:rPr>
                <w:rFonts w:eastAsia="Times New Roman"/>
                <w:sz w:val="20"/>
                <w:szCs w:val="20"/>
              </w:rPr>
            </w:pPr>
            <w:r>
              <w:rPr>
                <w:rFonts w:eastAsia="Times New Roman"/>
                <w:sz w:val="20"/>
                <w:szCs w:val="20"/>
              </w:rPr>
              <w:t>Relied upon the fact that the Special Committee, the Board and the Co</w:t>
            </w:r>
            <w:r>
              <w:rPr>
                <w:rFonts w:eastAsia="Times New Roman"/>
                <w:sz w:val="20"/>
                <w:szCs w:val="20"/>
              </w:rPr>
              <w:t>mpany have been advised by counsel as to all legal matters with respect to the Original Merger, including whether all procedures required by law to be taken in connection with the Original Merger have been duly, validly and timely taken, and did not indepe</w:t>
            </w:r>
            <w:r>
              <w:rPr>
                <w:rFonts w:eastAsia="Times New Roman"/>
                <w:sz w:val="20"/>
                <w:szCs w:val="20"/>
              </w:rPr>
              <w:t>ndently verify such information;</w:t>
            </w:r>
          </w:p>
        </w:tc>
      </w:tr>
    </w:tbl>
    <w:p w14:paraId="6B9CA37E"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6506925" w14:textId="77777777">
        <w:trPr>
          <w:divId w:val="415980837"/>
          <w:tblCellSpacing w:w="0" w:type="dxa"/>
        </w:trPr>
        <w:tc>
          <w:tcPr>
            <w:tcW w:w="720" w:type="dxa"/>
            <w:hideMark/>
          </w:tcPr>
          <w:p w14:paraId="7338FBAD" w14:textId="77777777" w:rsidR="00000000" w:rsidRDefault="002F725F">
            <w:pPr>
              <w:rPr>
                <w:sz w:val="20"/>
                <w:szCs w:val="20"/>
              </w:rPr>
            </w:pPr>
          </w:p>
        </w:tc>
        <w:tc>
          <w:tcPr>
            <w:tcW w:w="360" w:type="dxa"/>
            <w:hideMark/>
          </w:tcPr>
          <w:p w14:paraId="6C1C130E" w14:textId="77777777" w:rsidR="00000000" w:rsidRDefault="002F725F">
            <w:pPr>
              <w:rPr>
                <w:rFonts w:eastAsia="Times New Roman"/>
                <w:sz w:val="20"/>
                <w:szCs w:val="20"/>
              </w:rPr>
            </w:pPr>
            <w:r>
              <w:rPr>
                <w:rFonts w:eastAsia="Times New Roman"/>
                <w:sz w:val="20"/>
                <w:szCs w:val="20"/>
              </w:rPr>
              <w:t>●</w:t>
            </w:r>
          </w:p>
        </w:tc>
        <w:tc>
          <w:tcPr>
            <w:tcW w:w="0" w:type="auto"/>
            <w:hideMark/>
          </w:tcPr>
          <w:p w14:paraId="0C13FFFE" w14:textId="77777777" w:rsidR="00000000" w:rsidRDefault="002F725F">
            <w:pPr>
              <w:jc w:val="both"/>
              <w:rPr>
                <w:rFonts w:eastAsia="Times New Roman"/>
                <w:sz w:val="20"/>
                <w:szCs w:val="20"/>
              </w:rPr>
            </w:pPr>
            <w:r>
              <w:rPr>
                <w:rFonts w:eastAsia="Times New Roman"/>
                <w:sz w:val="20"/>
                <w:szCs w:val="20"/>
              </w:rPr>
              <w:t>Assumed that the Prior Management Projections and any other estimates, evaluations, forecasts and projections furnished to Duff &amp; Phelps were reasonably prepared and based upon the best currently available information</w:t>
            </w:r>
            <w:r>
              <w:rPr>
                <w:rFonts w:eastAsia="Times New Roman"/>
                <w:sz w:val="20"/>
                <w:szCs w:val="20"/>
              </w:rPr>
              <w:t xml:space="preserve"> and good faith judgment of the person(s) furnishing the same, and Duff &amp; Phelps expresses no opinion with respect to such estimates, evaluations, forecasts or projections, including, without limitation, the Prior Management Projections, or the underlying </w:t>
            </w:r>
            <w:r>
              <w:rPr>
                <w:rFonts w:eastAsia="Times New Roman"/>
                <w:sz w:val="20"/>
                <w:szCs w:val="20"/>
              </w:rPr>
              <w:t>assumptions thereof;</w:t>
            </w:r>
          </w:p>
        </w:tc>
      </w:tr>
    </w:tbl>
    <w:p w14:paraId="05DEA14A"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B21122B" w14:textId="77777777">
        <w:trPr>
          <w:divId w:val="415980837"/>
          <w:tblCellSpacing w:w="0" w:type="dxa"/>
        </w:trPr>
        <w:tc>
          <w:tcPr>
            <w:tcW w:w="720" w:type="dxa"/>
            <w:hideMark/>
          </w:tcPr>
          <w:p w14:paraId="48DE3646" w14:textId="77777777" w:rsidR="00000000" w:rsidRDefault="002F725F">
            <w:pPr>
              <w:rPr>
                <w:sz w:val="20"/>
                <w:szCs w:val="20"/>
              </w:rPr>
            </w:pPr>
          </w:p>
        </w:tc>
        <w:tc>
          <w:tcPr>
            <w:tcW w:w="360" w:type="dxa"/>
            <w:hideMark/>
          </w:tcPr>
          <w:p w14:paraId="0FD50395" w14:textId="77777777" w:rsidR="00000000" w:rsidRDefault="002F725F">
            <w:pPr>
              <w:rPr>
                <w:rFonts w:eastAsia="Times New Roman"/>
                <w:sz w:val="20"/>
                <w:szCs w:val="20"/>
              </w:rPr>
            </w:pPr>
            <w:r>
              <w:rPr>
                <w:rFonts w:eastAsia="Times New Roman"/>
                <w:sz w:val="20"/>
                <w:szCs w:val="20"/>
              </w:rPr>
              <w:t>●</w:t>
            </w:r>
          </w:p>
        </w:tc>
        <w:tc>
          <w:tcPr>
            <w:tcW w:w="0" w:type="auto"/>
            <w:hideMark/>
          </w:tcPr>
          <w:p w14:paraId="79F73109" w14:textId="77777777" w:rsidR="00000000" w:rsidRDefault="002F725F">
            <w:pPr>
              <w:jc w:val="both"/>
              <w:rPr>
                <w:rFonts w:eastAsia="Times New Roman"/>
                <w:sz w:val="20"/>
                <w:szCs w:val="20"/>
              </w:rPr>
            </w:pPr>
            <w:r>
              <w:rPr>
                <w:rFonts w:eastAsia="Times New Roman"/>
                <w:sz w:val="20"/>
                <w:szCs w:val="20"/>
              </w:rPr>
              <w:t>Assumed that information supplied and representations made by the management of the Company are substantially accurate regarding the Company and the Original Merger;</w:t>
            </w:r>
          </w:p>
        </w:tc>
      </w:tr>
    </w:tbl>
    <w:p w14:paraId="5EC2C4AD"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E4D7B41" w14:textId="77777777">
        <w:trPr>
          <w:divId w:val="415980837"/>
          <w:tblCellSpacing w:w="0" w:type="dxa"/>
        </w:trPr>
        <w:tc>
          <w:tcPr>
            <w:tcW w:w="720" w:type="dxa"/>
            <w:hideMark/>
          </w:tcPr>
          <w:p w14:paraId="70FFFE81" w14:textId="77777777" w:rsidR="00000000" w:rsidRDefault="002F725F">
            <w:pPr>
              <w:rPr>
                <w:sz w:val="20"/>
                <w:szCs w:val="20"/>
              </w:rPr>
            </w:pPr>
          </w:p>
        </w:tc>
        <w:tc>
          <w:tcPr>
            <w:tcW w:w="360" w:type="dxa"/>
            <w:hideMark/>
          </w:tcPr>
          <w:p w14:paraId="27D39D04" w14:textId="77777777" w:rsidR="00000000" w:rsidRDefault="002F725F">
            <w:pPr>
              <w:rPr>
                <w:rFonts w:eastAsia="Times New Roman"/>
                <w:sz w:val="20"/>
                <w:szCs w:val="20"/>
              </w:rPr>
            </w:pPr>
            <w:r>
              <w:rPr>
                <w:rFonts w:eastAsia="Times New Roman"/>
                <w:sz w:val="20"/>
                <w:szCs w:val="20"/>
              </w:rPr>
              <w:t>●</w:t>
            </w:r>
          </w:p>
        </w:tc>
        <w:tc>
          <w:tcPr>
            <w:tcW w:w="0" w:type="auto"/>
            <w:hideMark/>
          </w:tcPr>
          <w:p w14:paraId="7C3B698F" w14:textId="77777777" w:rsidR="00000000" w:rsidRDefault="002F725F">
            <w:pPr>
              <w:jc w:val="both"/>
              <w:rPr>
                <w:rFonts w:eastAsia="Times New Roman"/>
                <w:sz w:val="20"/>
                <w:szCs w:val="20"/>
              </w:rPr>
            </w:pPr>
            <w:r>
              <w:rPr>
                <w:rFonts w:eastAsia="Times New Roman"/>
                <w:sz w:val="20"/>
                <w:szCs w:val="20"/>
              </w:rPr>
              <w:t>Assumed that the representations and warranties made in the Original Merger Agreement and the Prior Management Representation Letter are substantially accurate;</w:t>
            </w:r>
          </w:p>
        </w:tc>
      </w:tr>
    </w:tbl>
    <w:p w14:paraId="4D7E1A18"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75554D3" w14:textId="77777777">
        <w:trPr>
          <w:divId w:val="415980837"/>
          <w:tblCellSpacing w:w="0" w:type="dxa"/>
        </w:trPr>
        <w:tc>
          <w:tcPr>
            <w:tcW w:w="720" w:type="dxa"/>
            <w:hideMark/>
          </w:tcPr>
          <w:p w14:paraId="79BBEE5F" w14:textId="77777777" w:rsidR="00000000" w:rsidRDefault="002F725F">
            <w:pPr>
              <w:rPr>
                <w:sz w:val="20"/>
                <w:szCs w:val="20"/>
              </w:rPr>
            </w:pPr>
          </w:p>
        </w:tc>
        <w:tc>
          <w:tcPr>
            <w:tcW w:w="360" w:type="dxa"/>
            <w:hideMark/>
          </w:tcPr>
          <w:p w14:paraId="39B4A2AE" w14:textId="77777777" w:rsidR="00000000" w:rsidRDefault="002F725F">
            <w:pPr>
              <w:rPr>
                <w:rFonts w:eastAsia="Times New Roman"/>
                <w:sz w:val="20"/>
                <w:szCs w:val="20"/>
              </w:rPr>
            </w:pPr>
            <w:r>
              <w:rPr>
                <w:rFonts w:eastAsia="Times New Roman"/>
                <w:sz w:val="20"/>
                <w:szCs w:val="20"/>
              </w:rPr>
              <w:t>●</w:t>
            </w:r>
          </w:p>
        </w:tc>
        <w:tc>
          <w:tcPr>
            <w:tcW w:w="0" w:type="auto"/>
            <w:hideMark/>
          </w:tcPr>
          <w:p w14:paraId="61D1C3E7" w14:textId="77777777" w:rsidR="00000000" w:rsidRDefault="002F725F">
            <w:pPr>
              <w:jc w:val="both"/>
              <w:rPr>
                <w:rFonts w:eastAsia="Times New Roman"/>
                <w:sz w:val="20"/>
                <w:szCs w:val="20"/>
              </w:rPr>
            </w:pPr>
            <w:r>
              <w:rPr>
                <w:rFonts w:eastAsia="Times New Roman"/>
                <w:sz w:val="20"/>
                <w:szCs w:val="20"/>
              </w:rPr>
              <w:t xml:space="preserve">Assumed that the final versions of all documents reviewed by Duff &amp; Phelps in draft form </w:t>
            </w:r>
            <w:r>
              <w:rPr>
                <w:rFonts w:eastAsia="Times New Roman"/>
                <w:sz w:val="20"/>
                <w:szCs w:val="20"/>
              </w:rPr>
              <w:t>conform in all material respects to the drafts reviewed;</w:t>
            </w:r>
          </w:p>
        </w:tc>
      </w:tr>
    </w:tbl>
    <w:p w14:paraId="2FA40FAD"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F638207" w14:textId="77777777">
        <w:trPr>
          <w:divId w:val="415980837"/>
          <w:tblCellSpacing w:w="0" w:type="dxa"/>
        </w:trPr>
        <w:tc>
          <w:tcPr>
            <w:tcW w:w="720" w:type="dxa"/>
            <w:hideMark/>
          </w:tcPr>
          <w:p w14:paraId="43FA1E57" w14:textId="77777777" w:rsidR="00000000" w:rsidRDefault="002F725F">
            <w:pPr>
              <w:rPr>
                <w:sz w:val="20"/>
                <w:szCs w:val="20"/>
              </w:rPr>
            </w:pPr>
          </w:p>
        </w:tc>
        <w:tc>
          <w:tcPr>
            <w:tcW w:w="360" w:type="dxa"/>
            <w:hideMark/>
          </w:tcPr>
          <w:p w14:paraId="6D6AB5D0" w14:textId="77777777" w:rsidR="00000000" w:rsidRDefault="002F725F">
            <w:pPr>
              <w:rPr>
                <w:rFonts w:eastAsia="Times New Roman"/>
                <w:sz w:val="20"/>
                <w:szCs w:val="20"/>
              </w:rPr>
            </w:pPr>
            <w:r>
              <w:rPr>
                <w:rFonts w:eastAsia="Times New Roman"/>
                <w:sz w:val="20"/>
                <w:szCs w:val="20"/>
              </w:rPr>
              <w:t>●</w:t>
            </w:r>
          </w:p>
        </w:tc>
        <w:tc>
          <w:tcPr>
            <w:tcW w:w="0" w:type="auto"/>
            <w:hideMark/>
          </w:tcPr>
          <w:p w14:paraId="31CDCDF8" w14:textId="77777777" w:rsidR="00000000" w:rsidRDefault="002F725F">
            <w:pPr>
              <w:jc w:val="both"/>
              <w:rPr>
                <w:rFonts w:eastAsia="Times New Roman"/>
                <w:sz w:val="20"/>
                <w:szCs w:val="20"/>
              </w:rPr>
            </w:pPr>
            <w:r>
              <w:rPr>
                <w:rFonts w:eastAsia="Times New Roman"/>
                <w:sz w:val="20"/>
                <w:szCs w:val="20"/>
              </w:rPr>
              <w:t xml:space="preserve">Assumed that there has been no material change in the assets, liabilities (contingent or otherwise), financial condition, results of operations, business, or prospects of the Company since the </w:t>
            </w:r>
            <w:r>
              <w:rPr>
                <w:rFonts w:eastAsia="Times New Roman"/>
                <w:sz w:val="20"/>
                <w:szCs w:val="20"/>
              </w:rPr>
              <w:t>date of the most recent financial statements and other information made available to Duff &amp; Phelps, and that there is no information or facts that would make the information reviewed by Duff &amp; Phelps incomplete or misleading;</w:t>
            </w:r>
          </w:p>
        </w:tc>
      </w:tr>
    </w:tbl>
    <w:p w14:paraId="678025B3"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0D1E7E7" w14:textId="77777777">
        <w:trPr>
          <w:divId w:val="415980837"/>
          <w:tblCellSpacing w:w="0" w:type="dxa"/>
        </w:trPr>
        <w:tc>
          <w:tcPr>
            <w:tcW w:w="720" w:type="dxa"/>
            <w:hideMark/>
          </w:tcPr>
          <w:p w14:paraId="3A333818" w14:textId="77777777" w:rsidR="00000000" w:rsidRDefault="002F725F">
            <w:pPr>
              <w:rPr>
                <w:sz w:val="20"/>
                <w:szCs w:val="20"/>
              </w:rPr>
            </w:pPr>
          </w:p>
        </w:tc>
        <w:tc>
          <w:tcPr>
            <w:tcW w:w="360" w:type="dxa"/>
            <w:hideMark/>
          </w:tcPr>
          <w:p w14:paraId="59FBB20E" w14:textId="77777777" w:rsidR="00000000" w:rsidRDefault="002F725F">
            <w:pPr>
              <w:rPr>
                <w:rFonts w:eastAsia="Times New Roman"/>
                <w:sz w:val="20"/>
                <w:szCs w:val="20"/>
              </w:rPr>
            </w:pPr>
            <w:r>
              <w:rPr>
                <w:rFonts w:eastAsia="Times New Roman"/>
                <w:sz w:val="20"/>
                <w:szCs w:val="20"/>
              </w:rPr>
              <w:t>●</w:t>
            </w:r>
          </w:p>
        </w:tc>
        <w:tc>
          <w:tcPr>
            <w:tcW w:w="0" w:type="auto"/>
            <w:hideMark/>
          </w:tcPr>
          <w:p w14:paraId="27EAABEA" w14:textId="77777777" w:rsidR="00000000" w:rsidRDefault="002F725F">
            <w:pPr>
              <w:jc w:val="both"/>
              <w:rPr>
                <w:rFonts w:eastAsia="Times New Roman"/>
                <w:sz w:val="20"/>
                <w:szCs w:val="20"/>
              </w:rPr>
            </w:pPr>
            <w:r>
              <w:rPr>
                <w:rFonts w:eastAsia="Times New Roman"/>
                <w:sz w:val="20"/>
                <w:szCs w:val="20"/>
              </w:rPr>
              <w:t xml:space="preserve">Assumed that all of the </w:t>
            </w:r>
            <w:r>
              <w:rPr>
                <w:rFonts w:eastAsia="Times New Roman"/>
                <w:sz w:val="20"/>
                <w:szCs w:val="20"/>
              </w:rPr>
              <w:t>conditions required to implement the Original Merger will be satisfied and that the Original Merger will be completed in accordance with the Original Merger Agreement without any amendments thereto or any waivers of any terms or conditions thereof; and</w:t>
            </w:r>
          </w:p>
        </w:tc>
      </w:tr>
    </w:tbl>
    <w:p w14:paraId="3FBA7617"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FE05A7C" w14:textId="77777777">
        <w:trPr>
          <w:divId w:val="415980837"/>
          <w:tblCellSpacing w:w="0" w:type="dxa"/>
        </w:trPr>
        <w:tc>
          <w:tcPr>
            <w:tcW w:w="720" w:type="dxa"/>
            <w:hideMark/>
          </w:tcPr>
          <w:p w14:paraId="6F511CDB" w14:textId="77777777" w:rsidR="00000000" w:rsidRDefault="002F725F">
            <w:pPr>
              <w:rPr>
                <w:sz w:val="20"/>
                <w:szCs w:val="20"/>
              </w:rPr>
            </w:pPr>
          </w:p>
        </w:tc>
        <w:tc>
          <w:tcPr>
            <w:tcW w:w="360" w:type="dxa"/>
            <w:hideMark/>
          </w:tcPr>
          <w:p w14:paraId="15CCE8DC" w14:textId="77777777" w:rsidR="00000000" w:rsidRDefault="002F725F">
            <w:pPr>
              <w:rPr>
                <w:rFonts w:eastAsia="Times New Roman"/>
                <w:sz w:val="20"/>
                <w:szCs w:val="20"/>
              </w:rPr>
            </w:pPr>
            <w:r>
              <w:rPr>
                <w:rFonts w:eastAsia="Times New Roman"/>
                <w:sz w:val="20"/>
                <w:szCs w:val="20"/>
              </w:rPr>
              <w:t>●</w:t>
            </w:r>
          </w:p>
        </w:tc>
        <w:tc>
          <w:tcPr>
            <w:tcW w:w="0" w:type="auto"/>
            <w:hideMark/>
          </w:tcPr>
          <w:p w14:paraId="710DF797" w14:textId="77777777" w:rsidR="00000000" w:rsidRDefault="002F725F">
            <w:pPr>
              <w:jc w:val="both"/>
              <w:rPr>
                <w:rFonts w:eastAsia="Times New Roman"/>
                <w:sz w:val="20"/>
                <w:szCs w:val="20"/>
              </w:rPr>
            </w:pPr>
            <w:r>
              <w:rPr>
                <w:rFonts w:eastAsia="Times New Roman"/>
                <w:sz w:val="20"/>
                <w:szCs w:val="20"/>
              </w:rPr>
              <w:t>Assumed that all governmental, regulatory or other consents and approvals necessary for the consummation of the Original Merger will be obtained without any adverse effect on the Company or the contemplated benefits expected to be derived in the Origin</w:t>
            </w:r>
            <w:r>
              <w:rPr>
                <w:rFonts w:eastAsia="Times New Roman"/>
                <w:sz w:val="20"/>
                <w:szCs w:val="20"/>
              </w:rPr>
              <w:t>al Merger.</w:t>
            </w:r>
          </w:p>
        </w:tc>
      </w:tr>
    </w:tbl>
    <w:p w14:paraId="1CFC1FF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F63F7B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To the extent that any of the foregoing assumptions or any of the facts on which Duff &amp; Phelps’ Prior Opinion is based prove to be untrue in any material respect, Duff &amp; Phelps’ Prior Opinion cannot and should not be relied upon. Furthermore,</w:t>
      </w:r>
      <w:r>
        <w:rPr>
          <w:sz w:val="20"/>
          <w:szCs w:val="20"/>
        </w:rPr>
        <w:t xml:space="preserve"> in Duff &amp; Phelps’ analysis and in connection with the preparation of its Prior Opinion, Duff &amp; Phelps has made numerous assumptions with respect to industry performance, general business, market and economic conditions and other matters, many of which are</w:t>
      </w:r>
      <w:r>
        <w:rPr>
          <w:sz w:val="20"/>
          <w:szCs w:val="20"/>
        </w:rPr>
        <w:t xml:space="preserve"> beyond the control of any party involved in the Original Merger.</w:t>
      </w:r>
    </w:p>
    <w:p w14:paraId="0921FF6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850759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prepared its Prior Opinion effective as of November 4, 2025. Its Prior Opinion was necessarily based upon market, economic, financial and other conditions as they exist and c</w:t>
      </w:r>
      <w:r>
        <w:rPr>
          <w:sz w:val="20"/>
          <w:szCs w:val="20"/>
        </w:rPr>
        <w:t>an be evaluated as of November 4, 2025, and Duff &amp; Phelps disclaims any undertaking or obligation to advise any person of any change in any fact or matter affecting its Prior Opinion which may come or be brought to the attention of Duff &amp; Phelps after Nove</w:t>
      </w:r>
      <w:r>
        <w:rPr>
          <w:sz w:val="20"/>
          <w:szCs w:val="20"/>
        </w:rPr>
        <w:t>mber 4, 2025.</w:t>
      </w:r>
    </w:p>
    <w:p w14:paraId="41BC6498"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36BF85A" w14:textId="77777777" w:rsidR="00000000" w:rsidRDefault="002F725F">
      <w:pPr>
        <w:pStyle w:val="NormalWeb"/>
        <w:spacing w:before="0" w:beforeAutospacing="0" w:after="0" w:afterAutospacing="0"/>
        <w:jc w:val="center"/>
        <w:divId w:val="601574058"/>
        <w:rPr>
          <w:sz w:val="20"/>
          <w:szCs w:val="20"/>
        </w:rPr>
      </w:pPr>
      <w:r>
        <w:rPr>
          <w:sz w:val="20"/>
          <w:szCs w:val="20"/>
        </w:rPr>
        <w:t>4</w:t>
      </w:r>
      <w:r>
        <w:rPr>
          <w:sz w:val="20"/>
          <w:szCs w:val="20"/>
        </w:rPr>
        <w:t>3</w:t>
      </w:r>
    </w:p>
    <w:p w14:paraId="10238C6F" w14:textId="77777777" w:rsidR="00000000" w:rsidRDefault="002F725F">
      <w:pPr>
        <w:pStyle w:val="NormalWeb"/>
        <w:spacing w:before="0" w:beforeAutospacing="0" w:after="0" w:afterAutospacing="0"/>
        <w:divId w:val="193423965"/>
        <w:rPr>
          <w:sz w:val="20"/>
          <w:szCs w:val="20"/>
        </w:rPr>
      </w:pPr>
      <w:r>
        <w:rPr>
          <w:sz w:val="20"/>
          <w:szCs w:val="20"/>
        </w:rPr>
        <w:t> </w:t>
      </w:r>
    </w:p>
    <w:p w14:paraId="3ECF3BFE"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F3D458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did not evaluate the Company’s solvency or conduct an independent appraisal or physical inspection of any specific assets or liabilities (contingent or otherwise). Duff &amp; Phelps has not been requested to, and did not, (</w:t>
      </w:r>
      <w:r>
        <w:rPr>
          <w:sz w:val="20"/>
          <w:szCs w:val="20"/>
        </w:rPr>
        <w:t>i) initiate any discussions with, or solicit any indications of interest from, third parties with respect to the Original Merger, the assets, businesses or operations of the Company, or any alternatives to the Original Merger, (ii) negotiate the terms of t</w:t>
      </w:r>
      <w:r>
        <w:rPr>
          <w:sz w:val="20"/>
          <w:szCs w:val="20"/>
        </w:rPr>
        <w:t>he Original Merger, and therefore, Duff &amp; Phelps has assumed that such terms are the most beneficial terms, from the Company’s perspective, that could, under the circumstances, be negotiated among the parties to the Original Merger Agreement and the Origin</w:t>
      </w:r>
      <w:r>
        <w:rPr>
          <w:sz w:val="20"/>
          <w:szCs w:val="20"/>
        </w:rPr>
        <w:t>al Merger, or (iii) advise the Special Committee or any other party with respect to alternatives to the Original Merger. Duff &amp; Phelps did not undertake an independent analysis of any potential or actual litigation, regulatory action, possible unasserted c</w:t>
      </w:r>
      <w:r>
        <w:rPr>
          <w:sz w:val="20"/>
          <w:szCs w:val="20"/>
        </w:rPr>
        <w:t>laims or other contingent liabilities, to which the Company is or may be a party or is or may be subject, or of any governmental investigation of any possible unasserted claims or other contingent liabilities to which the Company is or may be a party or is</w:t>
      </w:r>
      <w:r>
        <w:rPr>
          <w:sz w:val="20"/>
          <w:szCs w:val="20"/>
        </w:rPr>
        <w:t xml:space="preserve"> or may be subject.</w:t>
      </w:r>
    </w:p>
    <w:p w14:paraId="5CA240F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7A2F82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Duff &amp; Phelps is not expressing any opinion as to the market price or value of the Company’s Shares (or anything else) prior to or after the announcement or the consummation of the Original Merger. Duff &amp; Phelps’ Prior Opinion should </w:t>
      </w:r>
      <w:r>
        <w:rPr>
          <w:sz w:val="20"/>
          <w:szCs w:val="20"/>
        </w:rPr>
        <w:t>not be construed as a valuation opinion, credit rating, solvency opinion, an analysis of the Company’s credit worthiness, as tax advice, or as accounting advice. Duff &amp; Phelps has not made, and assumes no responsibility to make, any representation, or rend</w:t>
      </w:r>
      <w:r>
        <w:rPr>
          <w:sz w:val="20"/>
          <w:szCs w:val="20"/>
        </w:rPr>
        <w:t>er any opinion, as to any legal matter.</w:t>
      </w:r>
    </w:p>
    <w:p w14:paraId="2217DC3F"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p w14:paraId="0869271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In rendering its Prior Opinion, Duff &amp; </w:t>
      </w:r>
      <w:r>
        <w:rPr>
          <w:sz w:val="20"/>
          <w:szCs w:val="20"/>
        </w:rPr>
        <w:t>Phelps was not expressing any opinion with respect to the amount or nature of any compensation to any of the Company’s officers, directors, or employees, or any class of such persons, relative to the Per Share Merger Consideration (as defined in the Origin</w:t>
      </w:r>
      <w:r>
        <w:rPr>
          <w:sz w:val="20"/>
          <w:szCs w:val="20"/>
        </w:rPr>
        <w:t>al Merger Agreement), or with respect to the fairness of any such compensation.</w:t>
      </w:r>
    </w:p>
    <w:p w14:paraId="450C8A4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D2163C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Duff &amp; Phelps’ Prior Opinion was furnished for the use and benefit of the Special Committee in connection with its consideration of the Original Merger. Duff &amp; Phelps’ Prior </w:t>
      </w:r>
      <w:r>
        <w:rPr>
          <w:sz w:val="20"/>
          <w:szCs w:val="20"/>
        </w:rPr>
        <w:t>Opinion (i) does not address the merits of the underlying business decision to enter into the Original Merger versus any alternative strategy or transaction; (ii) does not address any transaction related to the Original Merger; (iii) is not a recommendatio</w:t>
      </w:r>
      <w:r>
        <w:rPr>
          <w:sz w:val="20"/>
          <w:szCs w:val="20"/>
        </w:rPr>
        <w:t>n as to how the Special Committee, the Board or any other person (including security holders of the Company) should vote or act with respect to any matters relating to the Original Merger, or whether to proceed with the Original Merger or any related trans</w:t>
      </w:r>
      <w:r>
        <w:rPr>
          <w:sz w:val="20"/>
          <w:szCs w:val="20"/>
        </w:rPr>
        <w:t>action; and (iv) does not indicate that the Per Share Merger Consideration (as defined in the Original Merger Agreement) is the best possibly attainable under any circumstances; instead, it merely states whether the Per Share Merger Consideration (as defin</w:t>
      </w:r>
      <w:r>
        <w:rPr>
          <w:sz w:val="20"/>
          <w:szCs w:val="20"/>
        </w:rPr>
        <w:t>ed in the Original Merger Agreement) in the Original Merger is within a range suggested by certain financial analyses. The decision as to whether to proceed with the Original Merger or any related transaction may depend on an assessment of factors unrelate</w:t>
      </w:r>
      <w:r>
        <w:rPr>
          <w:sz w:val="20"/>
          <w:szCs w:val="20"/>
        </w:rPr>
        <w:t>d to the financial analysis on which its opinion is based. Duff &amp; Phelps’ opinion should not be construed as creating any fiduciary duty on the part of Duff &amp; Phelps to any party.</w:t>
      </w:r>
    </w:p>
    <w:p w14:paraId="54FD22D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E2EFE6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Prior Opinion is solely that of Duff &amp; Phelps, and Duff &amp; P</w:t>
      </w:r>
      <w:r>
        <w:rPr>
          <w:sz w:val="20"/>
          <w:szCs w:val="20"/>
        </w:rPr>
        <w:t>helps’ liability in connection with its opinion shall be limited in accordance with the terms set forth in the D&amp;P Engagement Letter. Duff &amp; Phelps’ Prior Opinion is confidential, and its use and disclosure are strictly limited in accordance with the terms</w:t>
      </w:r>
      <w:r>
        <w:rPr>
          <w:sz w:val="20"/>
          <w:szCs w:val="20"/>
        </w:rPr>
        <w:t xml:space="preserve"> set forth in the D&amp;P Engagement Letter.</w:t>
      </w:r>
    </w:p>
    <w:p w14:paraId="3BE397C1"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2541A021" w14:textId="77777777" w:rsidR="00000000" w:rsidRDefault="002F725F">
      <w:pPr>
        <w:pStyle w:val="NormalWeb"/>
        <w:spacing w:before="0" w:beforeAutospacing="0" w:after="0" w:afterAutospacing="0"/>
        <w:jc w:val="both"/>
        <w:divId w:val="415980837"/>
        <w:rPr>
          <w:sz w:val="20"/>
          <w:szCs w:val="20"/>
        </w:rPr>
      </w:pPr>
      <w:r>
        <w:rPr>
          <w:b/>
          <w:bCs/>
          <w:sz w:val="20"/>
          <w:szCs w:val="20"/>
        </w:rPr>
        <w:t>Summary of Financial Analysis for the Prior Opinion</w:t>
      </w:r>
    </w:p>
    <w:p w14:paraId="61A8E3B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73583A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Set forth below is a summary of the material analyses performed by Duff &amp; Phelps in connection with the delivery of its Prior Opinion to the Special Committee.</w:t>
      </w:r>
      <w:r>
        <w:rPr>
          <w:sz w:val="20"/>
          <w:szCs w:val="20"/>
        </w:rPr>
        <w:t xml:space="preserve"> This summary is qualified in its entirety by reference to the full text of Duff &amp; Phelps’ Prior Opinion. While this summary describes the analyses and factors that Duff &amp; Phelps deemed material in its presentation to the Special Committee, it is not a com</w:t>
      </w:r>
      <w:r>
        <w:rPr>
          <w:sz w:val="20"/>
          <w:szCs w:val="20"/>
        </w:rPr>
        <w:t>prehensive description of all analyses and factors considered by Duff &amp; Phelps. The preparation of a fairness opinion is a complex process that involves various determinations as to the most appropriate and relevant methods of financial analysis and the ap</w:t>
      </w:r>
      <w:r>
        <w:rPr>
          <w:sz w:val="20"/>
          <w:szCs w:val="20"/>
        </w:rPr>
        <w:t>plication of these methods to the particular circumstances. Therefore, a fairness opinion is not readily susceptible to partial analysis. In arriving at its opinion, Duff &amp; Phelps did not attribute any particular weight to any analysis or factor considered</w:t>
      </w:r>
      <w:r>
        <w:rPr>
          <w:sz w:val="20"/>
          <w:szCs w:val="20"/>
        </w:rPr>
        <w:t xml:space="preserve"> by it, but rather made qualitative judgments as to the significance and relevance of each analysis and factor. Accordingly, Duff &amp; Phelps believes that its analyses must be considered as a whole and that selecting portions of its analyses and of the facto</w:t>
      </w:r>
      <w:r>
        <w:rPr>
          <w:sz w:val="20"/>
          <w:szCs w:val="20"/>
        </w:rPr>
        <w:t>rs considered by it in rendering the fairness opinion without considering all analyses and factors could create a misleading or incomplete view of the evaluation process underlying its opinion. The conclusion reached by Duff &amp; Phelps was based on all analy</w:t>
      </w:r>
      <w:r>
        <w:rPr>
          <w:sz w:val="20"/>
          <w:szCs w:val="20"/>
        </w:rPr>
        <w:t>ses and factors taken as a whole, and also on the application of Duff &amp; Phelps’ own experience and judgment.</w:t>
      </w:r>
    </w:p>
    <w:p w14:paraId="4B088E2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241A0D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financial analyses summarized below include information presented in tabular format. In order for Duff &amp; Phelps’ financial analyses to be ful</w:t>
      </w:r>
      <w:r>
        <w:rPr>
          <w:sz w:val="20"/>
          <w:szCs w:val="20"/>
        </w:rPr>
        <w:t>ly understood, the tables must be read together with the text of each summary. The tables alone do not constitute a complete description of the financial analyses. Considering the data below without considering the full narrative description of the financi</w:t>
      </w:r>
      <w:r>
        <w:rPr>
          <w:sz w:val="20"/>
          <w:szCs w:val="20"/>
        </w:rPr>
        <w:t>al analyses, including the methodologies and assumptions underlying the analyses, could create a misleading or incomplete view of Duff &amp; Phelps’ financial analyses.</w:t>
      </w:r>
    </w:p>
    <w:p w14:paraId="4AC446ED" w14:textId="77777777" w:rsidR="00000000" w:rsidRDefault="002F725F">
      <w:pPr>
        <w:pStyle w:val="NormalWeb"/>
        <w:shd w:val="clear" w:color="auto" w:fill="FFFFFF"/>
        <w:spacing w:before="0" w:beforeAutospacing="0" w:after="0" w:afterAutospacing="0"/>
        <w:jc w:val="center"/>
        <w:divId w:val="415980837"/>
        <w:rPr>
          <w:sz w:val="20"/>
          <w:szCs w:val="20"/>
        </w:rPr>
      </w:pPr>
      <w:r>
        <w:rPr>
          <w:b/>
          <w:bCs/>
          <w:i/>
          <w:iCs/>
          <w:sz w:val="20"/>
          <w:szCs w:val="20"/>
        </w:rPr>
        <w:t> </w:t>
      </w:r>
    </w:p>
    <w:p w14:paraId="66E1BE5F" w14:textId="77777777" w:rsidR="00000000" w:rsidRDefault="002F725F">
      <w:pPr>
        <w:pStyle w:val="NormalWeb"/>
        <w:spacing w:before="0" w:beforeAutospacing="0" w:after="0" w:afterAutospacing="0"/>
        <w:jc w:val="center"/>
        <w:divId w:val="522134710"/>
        <w:rPr>
          <w:sz w:val="20"/>
          <w:szCs w:val="20"/>
        </w:rPr>
      </w:pPr>
      <w:r>
        <w:rPr>
          <w:sz w:val="20"/>
          <w:szCs w:val="20"/>
        </w:rPr>
        <w:t>4</w:t>
      </w:r>
      <w:r>
        <w:rPr>
          <w:sz w:val="20"/>
          <w:szCs w:val="20"/>
        </w:rPr>
        <w:t>4</w:t>
      </w:r>
    </w:p>
    <w:p w14:paraId="7D513F44" w14:textId="77777777" w:rsidR="00000000" w:rsidRDefault="002F725F">
      <w:pPr>
        <w:pStyle w:val="NormalWeb"/>
        <w:spacing w:before="0" w:beforeAutospacing="0" w:after="0" w:afterAutospacing="0"/>
        <w:divId w:val="1950353148"/>
        <w:rPr>
          <w:sz w:val="20"/>
          <w:szCs w:val="20"/>
        </w:rPr>
      </w:pPr>
      <w:r>
        <w:rPr>
          <w:sz w:val="20"/>
          <w:szCs w:val="20"/>
        </w:rPr>
        <w:t> </w:t>
      </w:r>
    </w:p>
    <w:p w14:paraId="30F4FE1A" w14:textId="77777777" w:rsidR="00000000" w:rsidRDefault="002F725F">
      <w:pPr>
        <w:pStyle w:val="NormalWeb"/>
        <w:shd w:val="clear" w:color="auto" w:fill="FFFFFF"/>
        <w:spacing w:before="0" w:beforeAutospacing="0" w:after="0" w:afterAutospacing="0"/>
        <w:jc w:val="center"/>
        <w:divId w:val="415980837"/>
        <w:rPr>
          <w:sz w:val="20"/>
          <w:szCs w:val="20"/>
        </w:rPr>
      </w:pPr>
      <w:r>
        <w:rPr>
          <w:b/>
          <w:bCs/>
          <w:i/>
          <w:iCs/>
          <w:sz w:val="20"/>
          <w:szCs w:val="20"/>
        </w:rPr>
        <w:t> </w:t>
      </w:r>
    </w:p>
    <w:p w14:paraId="41C50296" w14:textId="77777777" w:rsidR="00000000" w:rsidRDefault="002F725F">
      <w:pPr>
        <w:pStyle w:val="NormalWeb"/>
        <w:shd w:val="clear" w:color="auto" w:fill="FFFFFF"/>
        <w:spacing w:before="0" w:beforeAutospacing="0" w:after="0" w:afterAutospacing="0"/>
        <w:jc w:val="both"/>
        <w:divId w:val="415980837"/>
        <w:rPr>
          <w:sz w:val="20"/>
          <w:szCs w:val="20"/>
        </w:rPr>
      </w:pPr>
      <w:r>
        <w:rPr>
          <w:b/>
          <w:bCs/>
          <w:i/>
          <w:iCs/>
          <w:sz w:val="20"/>
          <w:szCs w:val="20"/>
        </w:rPr>
        <w:t xml:space="preserve">Discounted Cash </w:t>
      </w:r>
      <w:r>
        <w:rPr>
          <w:b/>
          <w:bCs/>
          <w:i/>
          <w:iCs/>
          <w:sz w:val="20"/>
          <w:szCs w:val="20"/>
        </w:rPr>
        <w:t>Flow Analysis for the Prior Opinion</w:t>
      </w:r>
    </w:p>
    <w:p w14:paraId="3E0117D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AFCB420"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Duff &amp; Phelps performed a discounted cash flow analysis of the projected future unlevered free cash flows attributable to the Company for the fiscal years ending March 31, 2026 through March 31, 2033, with unlevered “f</w:t>
      </w:r>
      <w:r>
        <w:rPr>
          <w:sz w:val="20"/>
          <w:szCs w:val="20"/>
        </w:rPr>
        <w:t>ree cash flow” defined as cash that is available either to reinvest or to distribute to security holders, which is determined by adjusting earnings before interest, taxes, depreciation, and amortization (“EBITDA”) for taxes, capital expenditures, and chang</w:t>
      </w:r>
      <w:r>
        <w:rPr>
          <w:sz w:val="20"/>
          <w:szCs w:val="20"/>
        </w:rPr>
        <w:t xml:space="preserve">es in working capital. The discounted cash flow analysis was used to determine the net present value of estimated future free cash flows using a weighted average cost of capital as the applicable discount rate. For the purposes of its discounted cash flow </w:t>
      </w:r>
      <w:r>
        <w:rPr>
          <w:sz w:val="20"/>
          <w:szCs w:val="20"/>
        </w:rPr>
        <w:t>analysis, Duff &amp; Phelps used and relied upon the Prior Management Projections, which are described in this proxy statement in the section entitled “Special Factors—Certain Financial Projections” beginning on page 39. The costs associated with the Company b</w:t>
      </w:r>
      <w:r>
        <w:rPr>
          <w:sz w:val="20"/>
          <w:szCs w:val="20"/>
        </w:rPr>
        <w:t>eing a publicly-listed company, as provided by the management of the Company, were excluded from the Prior Management Projections because such costs would likely be eliminated as a result of the Original Merger.</w:t>
      </w:r>
    </w:p>
    <w:p w14:paraId="5B9716B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E4FB50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Duff &amp; Phelps estimated </w:t>
      </w:r>
      <w:r>
        <w:rPr>
          <w:sz w:val="20"/>
          <w:szCs w:val="20"/>
        </w:rPr>
        <w:t>the net present value of all cash flows attributable to the Company after fiscal year 2033 (the “Prior Terminal Value”) using a perpetuity growth formula assuming terminal growth rate of 3.0%, which took into consideration an estimate of the expected long-</w:t>
      </w:r>
      <w:r>
        <w:rPr>
          <w:sz w:val="20"/>
          <w:szCs w:val="20"/>
        </w:rPr>
        <w:t>term growth rate of the Chinese economy and the Company’s business. Duff &amp; Phelps used discount rates ranging from 11.5% to 13.5%, reflecting Duff &amp; Phelps’ estimate of the Company’s weighted average cost of capital, to discount the projected free cash flo</w:t>
      </w:r>
      <w:r>
        <w:rPr>
          <w:sz w:val="20"/>
          <w:szCs w:val="20"/>
        </w:rPr>
        <w:t>ws and the Prior Terminal Value. Duff &amp; Phelps estimated the Company’s weighted average cost of capital by estimating the weighted average of the Company’s cost of equity (derived using the capital asset pricing model) and the Company’s after-tax cost of d</w:t>
      </w:r>
      <w:r>
        <w:rPr>
          <w:sz w:val="20"/>
          <w:szCs w:val="20"/>
        </w:rPr>
        <w:t>ebt. Duff &amp; Phelps believes that this range of discount rates is consistent with the rate of return that security holders could expect to realize on alternative investment opportunities with similar risk profiles.</w:t>
      </w:r>
    </w:p>
    <w:p w14:paraId="62E00CF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85DD6D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Based on these assumptions, Duff &amp; Phelp</w:t>
      </w:r>
      <w:r>
        <w:rPr>
          <w:sz w:val="20"/>
          <w:szCs w:val="20"/>
        </w:rPr>
        <w:t>s’ discounted cash flow analysis resulted in an estimated enterprise value for the Company of RMB401.60 million to RMB510.70 million and a range on implied values of the Company’s Shares of US$0.64 to US$1.01.</w:t>
      </w:r>
    </w:p>
    <w:p w14:paraId="5306D229" w14:textId="77777777" w:rsidR="00000000" w:rsidRDefault="002F725F">
      <w:pPr>
        <w:pStyle w:val="NormalWeb"/>
        <w:shd w:val="clear" w:color="auto" w:fill="FFFFFF"/>
        <w:spacing w:before="0" w:beforeAutospacing="0" w:after="0" w:afterAutospacing="0"/>
        <w:jc w:val="both"/>
        <w:divId w:val="415980837"/>
        <w:rPr>
          <w:sz w:val="20"/>
          <w:szCs w:val="20"/>
        </w:rPr>
      </w:pPr>
      <w:r>
        <w:rPr>
          <w:b/>
          <w:bCs/>
          <w:i/>
          <w:iCs/>
          <w:sz w:val="20"/>
          <w:szCs w:val="20"/>
        </w:rPr>
        <w:t> </w:t>
      </w:r>
    </w:p>
    <w:p w14:paraId="47B95E9D" w14:textId="77777777" w:rsidR="00000000" w:rsidRDefault="002F725F">
      <w:pPr>
        <w:pStyle w:val="NormalWeb"/>
        <w:shd w:val="clear" w:color="auto" w:fill="FFFFFF"/>
        <w:spacing w:before="0" w:beforeAutospacing="0" w:after="0" w:afterAutospacing="0"/>
        <w:jc w:val="both"/>
        <w:divId w:val="415980837"/>
        <w:rPr>
          <w:sz w:val="20"/>
          <w:szCs w:val="20"/>
        </w:rPr>
      </w:pPr>
      <w:r>
        <w:rPr>
          <w:b/>
          <w:bCs/>
          <w:i/>
          <w:iCs/>
          <w:sz w:val="20"/>
          <w:szCs w:val="20"/>
        </w:rPr>
        <w:t>Selected Public Companies and Merger and Acq</w:t>
      </w:r>
      <w:r>
        <w:rPr>
          <w:b/>
          <w:bCs/>
          <w:i/>
          <w:iCs/>
          <w:sz w:val="20"/>
          <w:szCs w:val="20"/>
        </w:rPr>
        <w:t>uisition Transactions Analyses for the Prior Opinion</w:t>
      </w:r>
    </w:p>
    <w:p w14:paraId="2D6F803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9963C8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analyzed selected public companies and selected merger and acquisition transactions for purposes of estimating valuation multiples with which to calculate a range of implied enterprise va</w:t>
      </w:r>
      <w:r>
        <w:rPr>
          <w:sz w:val="20"/>
          <w:szCs w:val="20"/>
        </w:rPr>
        <w:t>lues of the Company. This collective analysis was based on publicly available information and is described in more detail in the sections that follow.</w:t>
      </w:r>
    </w:p>
    <w:p w14:paraId="039E027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FD1FBE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companies used for comparative purposes in the following analysis were not directly comparable to t</w:t>
      </w:r>
      <w:r>
        <w:rPr>
          <w:sz w:val="20"/>
          <w:szCs w:val="20"/>
        </w:rPr>
        <w:t>he Company, and the transactions used for comparative purposes in the following analysis were not directly comparable to the Original Merger. Duff &amp; Phelps does not have access to non-public information of any of the companies used for comparative purposes</w:t>
      </w:r>
      <w:r>
        <w:rPr>
          <w:sz w:val="20"/>
          <w:szCs w:val="20"/>
        </w:rPr>
        <w:t>. Accordingly, a complete valuation analysis of the Company and the Original Merger cannot rely solely upon a quantitative review of the selected public companies and selected transactions, but involves complex considerations and judgments concerning diffe</w:t>
      </w:r>
      <w:r>
        <w:rPr>
          <w:sz w:val="20"/>
          <w:szCs w:val="20"/>
        </w:rPr>
        <w:t>rences in financial and operating characteristics of such companies and targets, as well as other factors that could affect their value relative to that of the Company. Therefore, the selected public companies and the selected merger and acquisition transa</w:t>
      </w:r>
      <w:r>
        <w:rPr>
          <w:sz w:val="20"/>
          <w:szCs w:val="20"/>
        </w:rPr>
        <w:t>ctions analyses are subject to certain limitations.</w:t>
      </w:r>
    </w:p>
    <w:p w14:paraId="15BAABBC" w14:textId="77777777" w:rsidR="00000000" w:rsidRDefault="002F725F">
      <w:pPr>
        <w:pStyle w:val="NormalWeb"/>
        <w:spacing w:before="0" w:beforeAutospacing="0" w:after="0" w:afterAutospacing="0"/>
        <w:ind w:firstLine="720"/>
        <w:jc w:val="both"/>
        <w:divId w:val="415980837"/>
        <w:rPr>
          <w:sz w:val="20"/>
          <w:szCs w:val="20"/>
        </w:rPr>
      </w:pPr>
      <w:r>
        <w:rPr>
          <w:i/>
          <w:iCs/>
          <w:sz w:val="20"/>
          <w:szCs w:val="20"/>
        </w:rPr>
        <w:t> </w:t>
      </w:r>
    </w:p>
    <w:p w14:paraId="355B0FB5" w14:textId="77777777" w:rsidR="00000000" w:rsidRDefault="002F725F">
      <w:pPr>
        <w:pStyle w:val="NormalWeb"/>
        <w:spacing w:before="0" w:beforeAutospacing="0" w:after="0" w:afterAutospacing="0"/>
        <w:ind w:firstLine="720"/>
        <w:jc w:val="both"/>
        <w:divId w:val="415980837"/>
        <w:rPr>
          <w:sz w:val="20"/>
          <w:szCs w:val="20"/>
        </w:rPr>
      </w:pPr>
      <w:r>
        <w:rPr>
          <w:i/>
          <w:iCs/>
          <w:sz w:val="20"/>
          <w:szCs w:val="20"/>
        </w:rPr>
        <w:t>Selected Public Companies Analysis for Prior Opinion</w:t>
      </w:r>
      <w:r>
        <w:rPr>
          <w:sz w:val="20"/>
          <w:szCs w:val="20"/>
        </w:rPr>
        <w:t>. Duff &amp; Phelps compared certain financial information of the Company to corresponding data and ratios from publicly traded companies in the vaccine i</w:t>
      </w:r>
      <w:r>
        <w:rPr>
          <w:sz w:val="20"/>
          <w:szCs w:val="20"/>
        </w:rPr>
        <w:t>ndustry that Duff &amp; Phelps deemed relevant to its analysis. For purposes of its analysis, Duff &amp; Phelps used certain publicly available historical financial data and consensus equity analyst estimates for the selected publicly traded companies. The six com</w:t>
      </w:r>
      <w:r>
        <w:rPr>
          <w:sz w:val="20"/>
          <w:szCs w:val="20"/>
        </w:rPr>
        <w:t>panies included in the selected public company analysis in the vaccine industry were:</w:t>
      </w:r>
    </w:p>
    <w:p w14:paraId="01766661"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2461760" w14:textId="77777777">
        <w:trPr>
          <w:divId w:val="415980837"/>
          <w:tblCellSpacing w:w="0" w:type="dxa"/>
        </w:trPr>
        <w:tc>
          <w:tcPr>
            <w:tcW w:w="720" w:type="dxa"/>
            <w:hideMark/>
          </w:tcPr>
          <w:p w14:paraId="36423FA0" w14:textId="77777777" w:rsidR="00000000" w:rsidRDefault="002F725F">
            <w:pPr>
              <w:rPr>
                <w:sz w:val="20"/>
                <w:szCs w:val="20"/>
              </w:rPr>
            </w:pPr>
          </w:p>
        </w:tc>
        <w:tc>
          <w:tcPr>
            <w:tcW w:w="360" w:type="dxa"/>
            <w:hideMark/>
          </w:tcPr>
          <w:p w14:paraId="268FB34C" w14:textId="77777777" w:rsidR="00000000" w:rsidRDefault="002F725F">
            <w:pPr>
              <w:rPr>
                <w:rFonts w:eastAsia="Times New Roman"/>
                <w:sz w:val="20"/>
                <w:szCs w:val="20"/>
              </w:rPr>
            </w:pPr>
            <w:r>
              <w:rPr>
                <w:rFonts w:eastAsia="Times New Roman"/>
                <w:sz w:val="20"/>
                <w:szCs w:val="20"/>
              </w:rPr>
              <w:t>●</w:t>
            </w:r>
          </w:p>
        </w:tc>
        <w:tc>
          <w:tcPr>
            <w:tcW w:w="0" w:type="auto"/>
            <w:hideMark/>
          </w:tcPr>
          <w:p w14:paraId="71DE2533" w14:textId="77777777" w:rsidR="00000000" w:rsidRDefault="002F725F">
            <w:pPr>
              <w:jc w:val="both"/>
              <w:rPr>
                <w:rFonts w:eastAsia="Times New Roman"/>
                <w:sz w:val="20"/>
                <w:szCs w:val="20"/>
              </w:rPr>
            </w:pPr>
            <w:r>
              <w:rPr>
                <w:rFonts w:eastAsia="Times New Roman"/>
                <w:sz w:val="20"/>
                <w:szCs w:val="20"/>
              </w:rPr>
              <w:t>Ab&amp;B Bio-Tech CO., LTD. JS</w:t>
            </w:r>
          </w:p>
        </w:tc>
      </w:tr>
    </w:tbl>
    <w:p w14:paraId="05FBB5D7"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3044EA4" w14:textId="77777777">
        <w:trPr>
          <w:divId w:val="415980837"/>
          <w:tblCellSpacing w:w="0" w:type="dxa"/>
        </w:trPr>
        <w:tc>
          <w:tcPr>
            <w:tcW w:w="720" w:type="dxa"/>
            <w:hideMark/>
          </w:tcPr>
          <w:p w14:paraId="247BA53E" w14:textId="77777777" w:rsidR="00000000" w:rsidRDefault="002F725F">
            <w:pPr>
              <w:rPr>
                <w:sz w:val="20"/>
                <w:szCs w:val="20"/>
              </w:rPr>
            </w:pPr>
          </w:p>
        </w:tc>
        <w:tc>
          <w:tcPr>
            <w:tcW w:w="360" w:type="dxa"/>
            <w:hideMark/>
          </w:tcPr>
          <w:p w14:paraId="367EEE7A" w14:textId="77777777" w:rsidR="00000000" w:rsidRDefault="002F725F">
            <w:pPr>
              <w:rPr>
                <w:rFonts w:eastAsia="Times New Roman"/>
                <w:sz w:val="20"/>
                <w:szCs w:val="20"/>
              </w:rPr>
            </w:pPr>
            <w:r>
              <w:rPr>
                <w:rFonts w:eastAsia="Times New Roman"/>
                <w:sz w:val="20"/>
                <w:szCs w:val="20"/>
              </w:rPr>
              <w:t>●</w:t>
            </w:r>
          </w:p>
        </w:tc>
        <w:tc>
          <w:tcPr>
            <w:tcW w:w="0" w:type="auto"/>
            <w:hideMark/>
          </w:tcPr>
          <w:p w14:paraId="3E8F8594" w14:textId="77777777" w:rsidR="00000000" w:rsidRDefault="002F725F">
            <w:pPr>
              <w:jc w:val="both"/>
              <w:rPr>
                <w:rFonts w:eastAsia="Times New Roman"/>
                <w:sz w:val="20"/>
                <w:szCs w:val="20"/>
              </w:rPr>
            </w:pPr>
            <w:r>
              <w:rPr>
                <w:rFonts w:eastAsia="Times New Roman"/>
                <w:sz w:val="20"/>
                <w:szCs w:val="20"/>
              </w:rPr>
              <w:t>AIM Vaccine Co., Ltd.</w:t>
            </w:r>
          </w:p>
        </w:tc>
      </w:tr>
    </w:tbl>
    <w:p w14:paraId="7749B52D"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0AD0E17" w14:textId="77777777">
        <w:trPr>
          <w:divId w:val="415980837"/>
          <w:tblCellSpacing w:w="0" w:type="dxa"/>
        </w:trPr>
        <w:tc>
          <w:tcPr>
            <w:tcW w:w="720" w:type="dxa"/>
            <w:hideMark/>
          </w:tcPr>
          <w:p w14:paraId="61B88A1D" w14:textId="77777777" w:rsidR="00000000" w:rsidRDefault="002F725F">
            <w:pPr>
              <w:rPr>
                <w:sz w:val="20"/>
                <w:szCs w:val="20"/>
              </w:rPr>
            </w:pPr>
          </w:p>
        </w:tc>
        <w:tc>
          <w:tcPr>
            <w:tcW w:w="360" w:type="dxa"/>
            <w:hideMark/>
          </w:tcPr>
          <w:p w14:paraId="7F9763A8" w14:textId="77777777" w:rsidR="00000000" w:rsidRDefault="002F725F">
            <w:pPr>
              <w:rPr>
                <w:rFonts w:eastAsia="Times New Roman"/>
                <w:sz w:val="20"/>
                <w:szCs w:val="20"/>
              </w:rPr>
            </w:pPr>
            <w:r>
              <w:rPr>
                <w:rFonts w:eastAsia="Times New Roman"/>
                <w:sz w:val="20"/>
                <w:szCs w:val="20"/>
              </w:rPr>
              <w:t>●</w:t>
            </w:r>
          </w:p>
        </w:tc>
        <w:tc>
          <w:tcPr>
            <w:tcW w:w="0" w:type="auto"/>
            <w:hideMark/>
          </w:tcPr>
          <w:p w14:paraId="6DD71E29" w14:textId="77777777" w:rsidR="00000000" w:rsidRDefault="002F725F">
            <w:pPr>
              <w:jc w:val="both"/>
              <w:rPr>
                <w:rFonts w:eastAsia="Times New Roman"/>
                <w:sz w:val="20"/>
                <w:szCs w:val="20"/>
              </w:rPr>
            </w:pPr>
            <w:r>
              <w:rPr>
                <w:rFonts w:eastAsia="Times New Roman"/>
                <w:sz w:val="20"/>
                <w:szCs w:val="20"/>
              </w:rPr>
              <w:t>CanSino Biologics Inc.</w:t>
            </w:r>
          </w:p>
        </w:tc>
      </w:tr>
    </w:tbl>
    <w:p w14:paraId="3A028AA8"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F9B330D" w14:textId="77777777">
        <w:trPr>
          <w:divId w:val="415980837"/>
          <w:tblCellSpacing w:w="0" w:type="dxa"/>
        </w:trPr>
        <w:tc>
          <w:tcPr>
            <w:tcW w:w="720" w:type="dxa"/>
            <w:hideMark/>
          </w:tcPr>
          <w:p w14:paraId="0E8E2414" w14:textId="77777777" w:rsidR="00000000" w:rsidRDefault="002F725F">
            <w:pPr>
              <w:rPr>
                <w:sz w:val="20"/>
                <w:szCs w:val="20"/>
              </w:rPr>
            </w:pPr>
          </w:p>
        </w:tc>
        <w:tc>
          <w:tcPr>
            <w:tcW w:w="360" w:type="dxa"/>
            <w:hideMark/>
          </w:tcPr>
          <w:p w14:paraId="7E0ACCF5" w14:textId="77777777" w:rsidR="00000000" w:rsidRDefault="002F725F">
            <w:pPr>
              <w:rPr>
                <w:rFonts w:eastAsia="Times New Roman"/>
                <w:sz w:val="20"/>
                <w:szCs w:val="20"/>
              </w:rPr>
            </w:pPr>
            <w:r>
              <w:rPr>
                <w:rFonts w:eastAsia="Times New Roman"/>
                <w:sz w:val="20"/>
                <w:szCs w:val="20"/>
              </w:rPr>
              <w:t>●</w:t>
            </w:r>
          </w:p>
        </w:tc>
        <w:tc>
          <w:tcPr>
            <w:tcW w:w="0" w:type="auto"/>
            <w:hideMark/>
          </w:tcPr>
          <w:p w14:paraId="7F65CDF5" w14:textId="77777777" w:rsidR="00000000" w:rsidRDefault="002F725F">
            <w:pPr>
              <w:jc w:val="both"/>
              <w:rPr>
                <w:rFonts w:eastAsia="Times New Roman"/>
                <w:sz w:val="20"/>
                <w:szCs w:val="20"/>
              </w:rPr>
            </w:pPr>
            <w:r>
              <w:rPr>
                <w:rFonts w:eastAsia="Times New Roman"/>
                <w:sz w:val="20"/>
                <w:szCs w:val="20"/>
              </w:rPr>
              <w:t>Clover Biopharmaceuticals, Ltd.</w:t>
            </w:r>
          </w:p>
        </w:tc>
      </w:tr>
    </w:tbl>
    <w:p w14:paraId="00026E17"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BA64008" w14:textId="77777777">
        <w:trPr>
          <w:divId w:val="415980837"/>
          <w:tblCellSpacing w:w="0" w:type="dxa"/>
        </w:trPr>
        <w:tc>
          <w:tcPr>
            <w:tcW w:w="720" w:type="dxa"/>
            <w:hideMark/>
          </w:tcPr>
          <w:p w14:paraId="78461F46" w14:textId="77777777" w:rsidR="00000000" w:rsidRDefault="002F725F">
            <w:pPr>
              <w:rPr>
                <w:sz w:val="20"/>
                <w:szCs w:val="20"/>
              </w:rPr>
            </w:pPr>
          </w:p>
        </w:tc>
        <w:tc>
          <w:tcPr>
            <w:tcW w:w="360" w:type="dxa"/>
            <w:hideMark/>
          </w:tcPr>
          <w:p w14:paraId="352AC61B" w14:textId="77777777" w:rsidR="00000000" w:rsidRDefault="002F725F">
            <w:pPr>
              <w:rPr>
                <w:rFonts w:eastAsia="Times New Roman"/>
                <w:sz w:val="20"/>
                <w:szCs w:val="20"/>
              </w:rPr>
            </w:pPr>
            <w:r>
              <w:rPr>
                <w:rFonts w:eastAsia="Times New Roman"/>
                <w:sz w:val="20"/>
                <w:szCs w:val="20"/>
              </w:rPr>
              <w:t>●</w:t>
            </w:r>
          </w:p>
        </w:tc>
        <w:tc>
          <w:tcPr>
            <w:tcW w:w="0" w:type="auto"/>
            <w:hideMark/>
          </w:tcPr>
          <w:p w14:paraId="44FEBD05" w14:textId="77777777" w:rsidR="00000000" w:rsidRDefault="002F725F">
            <w:pPr>
              <w:jc w:val="both"/>
              <w:rPr>
                <w:rFonts w:eastAsia="Times New Roman"/>
                <w:sz w:val="20"/>
                <w:szCs w:val="20"/>
              </w:rPr>
            </w:pPr>
            <w:r>
              <w:rPr>
                <w:rFonts w:eastAsia="Times New Roman"/>
                <w:sz w:val="20"/>
                <w:szCs w:val="20"/>
              </w:rPr>
              <w:t>Kamada Ltd.</w:t>
            </w:r>
          </w:p>
        </w:tc>
      </w:tr>
    </w:tbl>
    <w:p w14:paraId="33F35D3B"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2BC3505" w14:textId="77777777">
        <w:trPr>
          <w:divId w:val="415980837"/>
          <w:tblCellSpacing w:w="0" w:type="dxa"/>
        </w:trPr>
        <w:tc>
          <w:tcPr>
            <w:tcW w:w="720" w:type="dxa"/>
            <w:hideMark/>
          </w:tcPr>
          <w:p w14:paraId="1A4C70AF" w14:textId="77777777" w:rsidR="00000000" w:rsidRDefault="002F725F">
            <w:pPr>
              <w:rPr>
                <w:sz w:val="20"/>
                <w:szCs w:val="20"/>
              </w:rPr>
            </w:pPr>
          </w:p>
        </w:tc>
        <w:tc>
          <w:tcPr>
            <w:tcW w:w="360" w:type="dxa"/>
            <w:hideMark/>
          </w:tcPr>
          <w:p w14:paraId="018BB1A9" w14:textId="77777777" w:rsidR="00000000" w:rsidRDefault="002F725F">
            <w:pPr>
              <w:rPr>
                <w:rFonts w:eastAsia="Times New Roman"/>
                <w:sz w:val="20"/>
                <w:szCs w:val="20"/>
              </w:rPr>
            </w:pPr>
            <w:r>
              <w:rPr>
                <w:rFonts w:eastAsia="Times New Roman"/>
                <w:sz w:val="20"/>
                <w:szCs w:val="20"/>
              </w:rPr>
              <w:t>●</w:t>
            </w:r>
          </w:p>
        </w:tc>
        <w:tc>
          <w:tcPr>
            <w:tcW w:w="0" w:type="auto"/>
            <w:hideMark/>
          </w:tcPr>
          <w:p w14:paraId="672B49D4" w14:textId="77777777" w:rsidR="00000000" w:rsidRDefault="002F725F">
            <w:pPr>
              <w:jc w:val="both"/>
              <w:rPr>
                <w:rFonts w:eastAsia="Times New Roman"/>
                <w:sz w:val="20"/>
                <w:szCs w:val="20"/>
              </w:rPr>
            </w:pPr>
            <w:r>
              <w:rPr>
                <w:rFonts w:eastAsia="Times New Roman"/>
                <w:sz w:val="20"/>
                <w:szCs w:val="20"/>
              </w:rPr>
              <w:t>Sanofi</w:t>
            </w:r>
          </w:p>
        </w:tc>
      </w:tr>
    </w:tbl>
    <w:p w14:paraId="094AA815"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01EE801" w14:textId="77777777" w:rsidR="00000000" w:rsidRDefault="002F725F">
      <w:pPr>
        <w:pStyle w:val="NormalWeb"/>
        <w:spacing w:before="0" w:beforeAutospacing="0" w:after="0" w:afterAutospacing="0"/>
        <w:jc w:val="center"/>
        <w:divId w:val="16854100"/>
        <w:rPr>
          <w:sz w:val="20"/>
          <w:szCs w:val="20"/>
        </w:rPr>
      </w:pPr>
      <w:r>
        <w:rPr>
          <w:sz w:val="20"/>
          <w:szCs w:val="20"/>
        </w:rPr>
        <w:t>4</w:t>
      </w:r>
      <w:r>
        <w:rPr>
          <w:sz w:val="20"/>
          <w:szCs w:val="20"/>
        </w:rPr>
        <w:t>5</w:t>
      </w:r>
    </w:p>
    <w:p w14:paraId="0CB72594" w14:textId="77777777" w:rsidR="00000000" w:rsidRDefault="002F725F">
      <w:pPr>
        <w:pStyle w:val="NormalWeb"/>
        <w:spacing w:before="0" w:beforeAutospacing="0" w:after="0" w:afterAutospacing="0"/>
        <w:divId w:val="890725043"/>
        <w:rPr>
          <w:sz w:val="20"/>
          <w:szCs w:val="20"/>
        </w:rPr>
      </w:pPr>
      <w:r>
        <w:rPr>
          <w:sz w:val="20"/>
          <w:szCs w:val="20"/>
        </w:rPr>
        <w:t> </w:t>
      </w:r>
    </w:p>
    <w:p w14:paraId="69296456"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3FB16F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selected these companies for its analysis based on their relative similarity, primarily in terms of business model, to that of the Company.</w:t>
      </w:r>
    </w:p>
    <w:p w14:paraId="02ACCA1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9D27FF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tables below summarize certain observed trading multiples and historical and projected financial</w:t>
      </w:r>
      <w:r>
        <w:rPr>
          <w:sz w:val="20"/>
          <w:szCs w:val="20"/>
        </w:rPr>
        <w:t xml:space="preserve"> performance, on an aggregate basis, of the selected public companies. The estimates for 2025, 2026 and 2027 in the tables below with respect to the selected public companies were derived based on information for the 12-month periods ending closest to the </w:t>
      </w:r>
      <w:r>
        <w:rPr>
          <w:sz w:val="20"/>
          <w:szCs w:val="20"/>
        </w:rPr>
        <w:t>calendar year ends for which information was available. Data related to the Company’s EBITDA were adjusted for purposes of this analysis to eliminate public company costs, transaction costs and non-recurring income (expenses).</w:t>
      </w:r>
    </w:p>
    <w:p w14:paraId="5B851BB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C8580F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Due to the limited comparab</w:t>
      </w:r>
      <w:r>
        <w:rPr>
          <w:sz w:val="20"/>
          <w:szCs w:val="20"/>
        </w:rPr>
        <w:t>ility of the selected public companies’ financial metrics relative to the Company, rather than applying a range of selected multiples from a review of the public companies, Duff &amp; Phelps reviewed various valuation multiples for the Company implied by the v</w:t>
      </w:r>
      <w:r>
        <w:rPr>
          <w:sz w:val="20"/>
          <w:szCs w:val="20"/>
        </w:rPr>
        <w:t>aluation range determined from the discounted cash flow analysis in the context of the Company’s relative size, growth in revenue and profits, profit margins, capital spending and other characteristics that it deemed relevant.</w:t>
      </w:r>
    </w:p>
    <w:p w14:paraId="48B2629F" w14:textId="77777777" w:rsidR="00000000" w:rsidRDefault="002F725F">
      <w:pPr>
        <w:pStyle w:val="NormalWeb"/>
        <w:shd w:val="clear" w:color="auto" w:fill="FFFFFF"/>
        <w:spacing w:before="0" w:beforeAutospacing="0" w:after="0" w:afterAutospacing="0"/>
        <w:ind w:firstLine="49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1819"/>
        <w:gridCol w:w="50"/>
        <w:gridCol w:w="51"/>
        <w:gridCol w:w="566"/>
        <w:gridCol w:w="200"/>
        <w:gridCol w:w="50"/>
        <w:gridCol w:w="50"/>
        <w:gridCol w:w="450"/>
        <w:gridCol w:w="200"/>
        <w:gridCol w:w="50"/>
        <w:gridCol w:w="50"/>
        <w:gridCol w:w="350"/>
        <w:gridCol w:w="200"/>
        <w:gridCol w:w="50"/>
        <w:gridCol w:w="50"/>
        <w:gridCol w:w="350"/>
        <w:gridCol w:w="200"/>
        <w:gridCol w:w="50"/>
        <w:gridCol w:w="50"/>
        <w:gridCol w:w="350"/>
        <w:gridCol w:w="200"/>
        <w:gridCol w:w="50"/>
        <w:gridCol w:w="51"/>
        <w:gridCol w:w="566"/>
        <w:gridCol w:w="200"/>
        <w:gridCol w:w="50"/>
        <w:gridCol w:w="51"/>
        <w:gridCol w:w="438"/>
        <w:gridCol w:w="200"/>
        <w:gridCol w:w="50"/>
        <w:gridCol w:w="50"/>
        <w:gridCol w:w="350"/>
        <w:gridCol w:w="200"/>
        <w:gridCol w:w="50"/>
        <w:gridCol w:w="50"/>
        <w:gridCol w:w="450"/>
        <w:gridCol w:w="200"/>
        <w:gridCol w:w="50"/>
        <w:gridCol w:w="50"/>
        <w:gridCol w:w="350"/>
        <w:gridCol w:w="200"/>
        <w:gridCol w:w="50"/>
        <w:gridCol w:w="50"/>
        <w:gridCol w:w="450"/>
        <w:gridCol w:w="200"/>
        <w:gridCol w:w="50"/>
        <w:gridCol w:w="50"/>
        <w:gridCol w:w="438"/>
        <w:gridCol w:w="200"/>
        <w:gridCol w:w="50"/>
        <w:gridCol w:w="50"/>
        <w:gridCol w:w="350"/>
        <w:gridCol w:w="200"/>
        <w:gridCol w:w="50"/>
        <w:gridCol w:w="50"/>
        <w:gridCol w:w="350"/>
        <w:gridCol w:w="200"/>
        <w:gridCol w:w="50"/>
        <w:gridCol w:w="50"/>
        <w:gridCol w:w="350"/>
        <w:gridCol w:w="200"/>
      </w:tblGrid>
      <w:tr w:rsidR="00000000" w14:paraId="5AF977C9" w14:textId="77777777">
        <w:trPr>
          <w:divId w:val="415980837"/>
        </w:trPr>
        <w:tc>
          <w:tcPr>
            <w:tcW w:w="0" w:type="auto"/>
            <w:tcMar>
              <w:top w:w="0" w:type="dxa"/>
              <w:left w:w="180" w:type="dxa"/>
              <w:bottom w:w="30" w:type="dxa"/>
              <w:right w:w="0" w:type="dxa"/>
            </w:tcMar>
            <w:vAlign w:val="bottom"/>
            <w:hideMark/>
          </w:tcPr>
          <w:p w14:paraId="7E7E3923" w14:textId="77777777" w:rsidR="00000000" w:rsidRDefault="002F725F">
            <w:pPr>
              <w:ind w:hanging="180"/>
              <w:jc w:val="center"/>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4B62E994"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19"/>
            <w:tcBorders>
              <w:bottom w:val="single" w:sz="12" w:space="0" w:color="000000"/>
            </w:tcBorders>
            <w:vAlign w:val="bottom"/>
            <w:hideMark/>
          </w:tcPr>
          <w:p w14:paraId="2CA7A1F7" w14:textId="77777777" w:rsidR="00000000" w:rsidRDefault="002F725F">
            <w:pPr>
              <w:jc w:val="center"/>
              <w:rPr>
                <w:rFonts w:eastAsia="Times New Roman"/>
                <w:b/>
                <w:bCs/>
                <w:sz w:val="20"/>
                <w:szCs w:val="20"/>
              </w:rPr>
            </w:pPr>
            <w:r>
              <w:rPr>
                <w:rFonts w:eastAsia="Times New Roman"/>
                <w:b/>
                <w:bCs/>
                <w:sz w:val="20"/>
                <w:szCs w:val="20"/>
              </w:rPr>
              <w:t>REVENUE GROWTH</w:t>
            </w:r>
          </w:p>
        </w:tc>
        <w:tc>
          <w:tcPr>
            <w:tcW w:w="0" w:type="auto"/>
            <w:tcMar>
              <w:top w:w="0" w:type="dxa"/>
              <w:left w:w="0" w:type="dxa"/>
              <w:bottom w:w="30" w:type="dxa"/>
              <w:right w:w="0" w:type="dxa"/>
            </w:tcMar>
            <w:vAlign w:val="bottom"/>
            <w:hideMark/>
          </w:tcPr>
          <w:p w14:paraId="35FD5A58"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19"/>
            <w:tcBorders>
              <w:bottom w:val="single" w:sz="12" w:space="0" w:color="000000"/>
            </w:tcBorders>
            <w:vAlign w:val="bottom"/>
            <w:hideMark/>
          </w:tcPr>
          <w:p w14:paraId="537FC519" w14:textId="77777777" w:rsidR="00000000" w:rsidRDefault="002F725F">
            <w:pPr>
              <w:jc w:val="center"/>
              <w:rPr>
                <w:rFonts w:eastAsia="Times New Roman"/>
                <w:b/>
                <w:bCs/>
                <w:sz w:val="20"/>
                <w:szCs w:val="20"/>
              </w:rPr>
            </w:pPr>
            <w:r>
              <w:rPr>
                <w:rFonts w:eastAsia="Times New Roman"/>
                <w:b/>
                <w:bCs/>
                <w:sz w:val="20"/>
                <w:szCs w:val="20"/>
              </w:rPr>
              <w:t>EBITDA GROWTH</w:t>
            </w:r>
          </w:p>
        </w:tc>
        <w:tc>
          <w:tcPr>
            <w:tcW w:w="0" w:type="auto"/>
            <w:tcMar>
              <w:top w:w="0" w:type="dxa"/>
              <w:left w:w="0" w:type="dxa"/>
              <w:bottom w:w="30" w:type="dxa"/>
              <w:right w:w="0" w:type="dxa"/>
            </w:tcMar>
            <w:vAlign w:val="bottom"/>
            <w:hideMark/>
          </w:tcPr>
          <w:p w14:paraId="67B935D5"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19"/>
            <w:tcBorders>
              <w:bottom w:val="single" w:sz="12" w:space="0" w:color="000000"/>
            </w:tcBorders>
            <w:vAlign w:val="bottom"/>
            <w:hideMark/>
          </w:tcPr>
          <w:p w14:paraId="47531FD8" w14:textId="77777777" w:rsidR="00000000" w:rsidRDefault="002F725F">
            <w:pPr>
              <w:jc w:val="center"/>
              <w:rPr>
                <w:rFonts w:eastAsia="Times New Roman"/>
                <w:b/>
                <w:bCs/>
                <w:sz w:val="20"/>
                <w:szCs w:val="20"/>
              </w:rPr>
            </w:pPr>
            <w:r>
              <w:rPr>
                <w:rFonts w:eastAsia="Times New Roman"/>
                <w:b/>
                <w:bCs/>
                <w:sz w:val="20"/>
                <w:szCs w:val="20"/>
              </w:rPr>
              <w:t>EBITDA MARGIN</w:t>
            </w:r>
          </w:p>
        </w:tc>
      </w:tr>
      <w:tr w:rsidR="00000000" w14:paraId="4703536B" w14:textId="77777777">
        <w:trPr>
          <w:divId w:val="415980837"/>
        </w:trPr>
        <w:tc>
          <w:tcPr>
            <w:tcW w:w="0" w:type="auto"/>
            <w:tcMar>
              <w:top w:w="0" w:type="dxa"/>
              <w:left w:w="180" w:type="dxa"/>
              <w:bottom w:w="0" w:type="dxa"/>
              <w:right w:w="0" w:type="dxa"/>
            </w:tcMar>
            <w:vAlign w:val="bottom"/>
            <w:hideMark/>
          </w:tcPr>
          <w:p w14:paraId="2F753D73" w14:textId="77777777" w:rsidR="00000000" w:rsidRDefault="002F725F">
            <w:pPr>
              <w:ind w:hanging="180"/>
              <w:jc w:val="center"/>
              <w:rPr>
                <w:rFonts w:eastAsia="Times New Roman"/>
                <w:sz w:val="20"/>
                <w:szCs w:val="20"/>
              </w:rPr>
            </w:pPr>
            <w:r>
              <w:rPr>
                <w:rFonts w:eastAsia="Times New Roman"/>
                <w:sz w:val="20"/>
                <w:szCs w:val="20"/>
              </w:rPr>
              <w:t> </w:t>
            </w:r>
          </w:p>
        </w:tc>
        <w:tc>
          <w:tcPr>
            <w:tcW w:w="0" w:type="auto"/>
            <w:vAlign w:val="bottom"/>
            <w:hideMark/>
          </w:tcPr>
          <w:p w14:paraId="3FC3400A"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vAlign w:val="bottom"/>
            <w:hideMark/>
          </w:tcPr>
          <w:p w14:paraId="407CA29D" w14:textId="77777777" w:rsidR="00000000" w:rsidRDefault="002F725F">
            <w:pPr>
              <w:jc w:val="center"/>
              <w:rPr>
                <w:rFonts w:eastAsia="Times New Roman"/>
                <w:b/>
                <w:bCs/>
                <w:sz w:val="20"/>
                <w:szCs w:val="20"/>
              </w:rPr>
            </w:pPr>
            <w:r>
              <w:rPr>
                <w:rFonts w:eastAsia="Times New Roman"/>
                <w:b/>
                <w:bCs/>
                <w:sz w:val="20"/>
                <w:szCs w:val="20"/>
              </w:rPr>
              <w:t>2-YR</w:t>
            </w:r>
          </w:p>
        </w:tc>
        <w:tc>
          <w:tcPr>
            <w:tcW w:w="0" w:type="auto"/>
            <w:vAlign w:val="bottom"/>
            <w:hideMark/>
          </w:tcPr>
          <w:p w14:paraId="087738DB"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vAlign w:val="bottom"/>
            <w:hideMark/>
          </w:tcPr>
          <w:p w14:paraId="60CCD889" w14:textId="77777777" w:rsidR="00000000" w:rsidRDefault="002F725F">
            <w:pPr>
              <w:jc w:val="center"/>
              <w:rPr>
                <w:rFonts w:eastAsia="Times New Roman"/>
                <w:sz w:val="20"/>
                <w:szCs w:val="20"/>
              </w:rPr>
            </w:pPr>
            <w:r>
              <w:rPr>
                <w:rFonts w:eastAsia="Times New Roman"/>
                <w:sz w:val="20"/>
                <w:szCs w:val="20"/>
              </w:rPr>
              <w:t> </w:t>
            </w:r>
          </w:p>
        </w:tc>
        <w:tc>
          <w:tcPr>
            <w:tcW w:w="0" w:type="auto"/>
            <w:gridSpan w:val="2"/>
            <w:vAlign w:val="bottom"/>
            <w:hideMark/>
          </w:tcPr>
          <w:p w14:paraId="2D9BFBB4"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5413EC80"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1B64C89D" w14:textId="77777777" w:rsidR="00000000" w:rsidRDefault="002F725F">
            <w:pPr>
              <w:jc w:val="center"/>
              <w:rPr>
                <w:rFonts w:eastAsia="Times New Roman"/>
                <w:sz w:val="20"/>
                <w:szCs w:val="20"/>
              </w:rPr>
            </w:pPr>
            <w:r>
              <w:rPr>
                <w:rFonts w:eastAsia="Times New Roman"/>
                <w:sz w:val="20"/>
                <w:szCs w:val="20"/>
              </w:rPr>
              <w:t> </w:t>
            </w:r>
          </w:p>
        </w:tc>
        <w:tc>
          <w:tcPr>
            <w:tcW w:w="0" w:type="auto"/>
            <w:gridSpan w:val="2"/>
            <w:vAlign w:val="bottom"/>
            <w:hideMark/>
          </w:tcPr>
          <w:p w14:paraId="0470E7E9"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7A7D83F2"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3C3BE4DC" w14:textId="77777777" w:rsidR="00000000" w:rsidRDefault="002F725F">
            <w:pPr>
              <w:jc w:val="center"/>
              <w:rPr>
                <w:rFonts w:eastAsia="Times New Roman"/>
                <w:sz w:val="20"/>
                <w:szCs w:val="20"/>
              </w:rPr>
            </w:pPr>
            <w:r>
              <w:rPr>
                <w:rFonts w:eastAsia="Times New Roman"/>
                <w:sz w:val="20"/>
                <w:szCs w:val="20"/>
              </w:rPr>
              <w:t> </w:t>
            </w:r>
          </w:p>
        </w:tc>
        <w:tc>
          <w:tcPr>
            <w:tcW w:w="0" w:type="auto"/>
            <w:gridSpan w:val="2"/>
            <w:vAlign w:val="bottom"/>
            <w:hideMark/>
          </w:tcPr>
          <w:p w14:paraId="60C78ED5"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62BF6315"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6349176F" w14:textId="77777777" w:rsidR="00000000" w:rsidRDefault="002F725F">
            <w:pPr>
              <w:jc w:val="center"/>
              <w:rPr>
                <w:rFonts w:eastAsia="Times New Roman"/>
                <w:sz w:val="20"/>
                <w:szCs w:val="20"/>
              </w:rPr>
            </w:pPr>
            <w:r>
              <w:rPr>
                <w:rFonts w:eastAsia="Times New Roman"/>
                <w:sz w:val="20"/>
                <w:szCs w:val="20"/>
              </w:rPr>
              <w:t> </w:t>
            </w:r>
          </w:p>
        </w:tc>
        <w:tc>
          <w:tcPr>
            <w:tcW w:w="0" w:type="auto"/>
            <w:gridSpan w:val="2"/>
            <w:vAlign w:val="bottom"/>
            <w:hideMark/>
          </w:tcPr>
          <w:p w14:paraId="0614F25E"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6CA2A8FB"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3739A529"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vAlign w:val="bottom"/>
            <w:hideMark/>
          </w:tcPr>
          <w:p w14:paraId="3981F906" w14:textId="77777777" w:rsidR="00000000" w:rsidRDefault="002F725F">
            <w:pPr>
              <w:jc w:val="center"/>
              <w:rPr>
                <w:rFonts w:eastAsia="Times New Roman"/>
                <w:b/>
                <w:bCs/>
                <w:sz w:val="20"/>
                <w:szCs w:val="20"/>
              </w:rPr>
            </w:pPr>
            <w:r>
              <w:rPr>
                <w:rFonts w:eastAsia="Times New Roman"/>
                <w:b/>
                <w:bCs/>
                <w:sz w:val="20"/>
                <w:szCs w:val="20"/>
              </w:rPr>
              <w:t>2-YR</w:t>
            </w:r>
          </w:p>
        </w:tc>
        <w:tc>
          <w:tcPr>
            <w:tcW w:w="0" w:type="auto"/>
            <w:vAlign w:val="bottom"/>
            <w:hideMark/>
          </w:tcPr>
          <w:p w14:paraId="4A3B40EF"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vAlign w:val="bottom"/>
            <w:hideMark/>
          </w:tcPr>
          <w:p w14:paraId="5E36DDED" w14:textId="77777777" w:rsidR="00000000" w:rsidRDefault="002F725F">
            <w:pPr>
              <w:jc w:val="center"/>
              <w:rPr>
                <w:rFonts w:eastAsia="Times New Roman"/>
                <w:sz w:val="20"/>
                <w:szCs w:val="20"/>
              </w:rPr>
            </w:pPr>
            <w:r>
              <w:rPr>
                <w:rFonts w:eastAsia="Times New Roman"/>
                <w:sz w:val="20"/>
                <w:szCs w:val="20"/>
              </w:rPr>
              <w:t> </w:t>
            </w:r>
          </w:p>
        </w:tc>
        <w:tc>
          <w:tcPr>
            <w:tcW w:w="0" w:type="auto"/>
            <w:gridSpan w:val="2"/>
            <w:vAlign w:val="bottom"/>
            <w:hideMark/>
          </w:tcPr>
          <w:p w14:paraId="79ECA369"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0645FCF1"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46055E86" w14:textId="77777777" w:rsidR="00000000" w:rsidRDefault="002F725F">
            <w:pPr>
              <w:jc w:val="center"/>
              <w:rPr>
                <w:rFonts w:eastAsia="Times New Roman"/>
                <w:sz w:val="20"/>
                <w:szCs w:val="20"/>
              </w:rPr>
            </w:pPr>
            <w:r>
              <w:rPr>
                <w:rFonts w:eastAsia="Times New Roman"/>
                <w:sz w:val="20"/>
                <w:szCs w:val="20"/>
              </w:rPr>
              <w:t> </w:t>
            </w:r>
          </w:p>
        </w:tc>
        <w:tc>
          <w:tcPr>
            <w:tcW w:w="0" w:type="auto"/>
            <w:gridSpan w:val="2"/>
            <w:vAlign w:val="bottom"/>
            <w:hideMark/>
          </w:tcPr>
          <w:p w14:paraId="570824A1"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6E72082E"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27B0C8CB" w14:textId="77777777" w:rsidR="00000000" w:rsidRDefault="002F725F">
            <w:pPr>
              <w:jc w:val="center"/>
              <w:rPr>
                <w:rFonts w:eastAsia="Times New Roman"/>
                <w:sz w:val="20"/>
                <w:szCs w:val="20"/>
              </w:rPr>
            </w:pPr>
            <w:r>
              <w:rPr>
                <w:rFonts w:eastAsia="Times New Roman"/>
                <w:sz w:val="20"/>
                <w:szCs w:val="20"/>
              </w:rPr>
              <w:t> </w:t>
            </w:r>
          </w:p>
        </w:tc>
        <w:tc>
          <w:tcPr>
            <w:tcW w:w="0" w:type="auto"/>
            <w:gridSpan w:val="2"/>
            <w:vAlign w:val="bottom"/>
            <w:hideMark/>
          </w:tcPr>
          <w:p w14:paraId="4413E5CB"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4A63729D"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6430D104" w14:textId="77777777" w:rsidR="00000000" w:rsidRDefault="002F725F">
            <w:pPr>
              <w:jc w:val="center"/>
              <w:rPr>
                <w:rFonts w:eastAsia="Times New Roman"/>
                <w:sz w:val="20"/>
                <w:szCs w:val="20"/>
              </w:rPr>
            </w:pPr>
            <w:r>
              <w:rPr>
                <w:rFonts w:eastAsia="Times New Roman"/>
                <w:sz w:val="20"/>
                <w:szCs w:val="20"/>
              </w:rPr>
              <w:t> </w:t>
            </w:r>
          </w:p>
        </w:tc>
        <w:tc>
          <w:tcPr>
            <w:tcW w:w="0" w:type="auto"/>
            <w:gridSpan w:val="2"/>
            <w:vAlign w:val="bottom"/>
            <w:hideMark/>
          </w:tcPr>
          <w:p w14:paraId="3FCF7A71"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159921C9"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2EB1E29A"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vAlign w:val="bottom"/>
            <w:hideMark/>
          </w:tcPr>
          <w:p w14:paraId="794F0BD4" w14:textId="77777777" w:rsidR="00000000" w:rsidRDefault="002F725F">
            <w:pPr>
              <w:jc w:val="center"/>
              <w:rPr>
                <w:rFonts w:eastAsia="Times New Roman"/>
                <w:b/>
                <w:bCs/>
                <w:sz w:val="20"/>
                <w:szCs w:val="20"/>
              </w:rPr>
            </w:pPr>
            <w:r>
              <w:rPr>
                <w:rFonts w:eastAsia="Times New Roman"/>
                <w:b/>
                <w:bCs/>
                <w:sz w:val="20"/>
                <w:szCs w:val="20"/>
              </w:rPr>
              <w:t>2-YR</w:t>
            </w:r>
          </w:p>
        </w:tc>
        <w:tc>
          <w:tcPr>
            <w:tcW w:w="0" w:type="auto"/>
            <w:vAlign w:val="bottom"/>
            <w:hideMark/>
          </w:tcPr>
          <w:p w14:paraId="6885B4B5"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vAlign w:val="bottom"/>
            <w:hideMark/>
          </w:tcPr>
          <w:p w14:paraId="6C7264C9" w14:textId="77777777" w:rsidR="00000000" w:rsidRDefault="002F725F">
            <w:pPr>
              <w:jc w:val="center"/>
              <w:rPr>
                <w:rFonts w:eastAsia="Times New Roman"/>
                <w:sz w:val="20"/>
                <w:szCs w:val="20"/>
              </w:rPr>
            </w:pPr>
            <w:r>
              <w:rPr>
                <w:rFonts w:eastAsia="Times New Roman"/>
                <w:sz w:val="20"/>
                <w:szCs w:val="20"/>
              </w:rPr>
              <w:t> </w:t>
            </w:r>
          </w:p>
        </w:tc>
        <w:tc>
          <w:tcPr>
            <w:tcW w:w="0" w:type="auto"/>
            <w:gridSpan w:val="2"/>
            <w:vAlign w:val="bottom"/>
            <w:hideMark/>
          </w:tcPr>
          <w:p w14:paraId="7B915579"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1188F6E0"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4E73A2DA" w14:textId="77777777" w:rsidR="00000000" w:rsidRDefault="002F725F">
            <w:pPr>
              <w:jc w:val="center"/>
              <w:rPr>
                <w:rFonts w:eastAsia="Times New Roman"/>
                <w:sz w:val="20"/>
                <w:szCs w:val="20"/>
              </w:rPr>
            </w:pPr>
            <w:r>
              <w:rPr>
                <w:rFonts w:eastAsia="Times New Roman"/>
                <w:sz w:val="20"/>
                <w:szCs w:val="20"/>
              </w:rPr>
              <w:t> </w:t>
            </w:r>
          </w:p>
        </w:tc>
        <w:tc>
          <w:tcPr>
            <w:tcW w:w="0" w:type="auto"/>
            <w:gridSpan w:val="2"/>
            <w:vAlign w:val="bottom"/>
            <w:hideMark/>
          </w:tcPr>
          <w:p w14:paraId="453B56DE"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10805C0B"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2757B9DC" w14:textId="77777777" w:rsidR="00000000" w:rsidRDefault="002F725F">
            <w:pPr>
              <w:jc w:val="center"/>
              <w:rPr>
                <w:rFonts w:eastAsia="Times New Roman"/>
                <w:sz w:val="20"/>
                <w:szCs w:val="20"/>
              </w:rPr>
            </w:pPr>
            <w:r>
              <w:rPr>
                <w:rFonts w:eastAsia="Times New Roman"/>
                <w:sz w:val="20"/>
                <w:szCs w:val="20"/>
              </w:rPr>
              <w:t> </w:t>
            </w:r>
          </w:p>
        </w:tc>
        <w:tc>
          <w:tcPr>
            <w:tcW w:w="0" w:type="auto"/>
            <w:gridSpan w:val="2"/>
            <w:vAlign w:val="bottom"/>
            <w:hideMark/>
          </w:tcPr>
          <w:p w14:paraId="6B81F8AC"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742DD0D2"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1CB10FB0" w14:textId="77777777" w:rsidR="00000000" w:rsidRDefault="002F725F">
            <w:pPr>
              <w:jc w:val="center"/>
              <w:rPr>
                <w:rFonts w:eastAsia="Times New Roman"/>
                <w:sz w:val="20"/>
                <w:szCs w:val="20"/>
              </w:rPr>
            </w:pPr>
            <w:r>
              <w:rPr>
                <w:rFonts w:eastAsia="Times New Roman"/>
                <w:sz w:val="20"/>
                <w:szCs w:val="20"/>
              </w:rPr>
              <w:t> </w:t>
            </w:r>
          </w:p>
        </w:tc>
        <w:tc>
          <w:tcPr>
            <w:tcW w:w="0" w:type="auto"/>
            <w:gridSpan w:val="2"/>
            <w:vAlign w:val="bottom"/>
            <w:hideMark/>
          </w:tcPr>
          <w:p w14:paraId="4FB38F1B"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3685D32E" w14:textId="77777777" w:rsidR="00000000" w:rsidRDefault="002F725F">
            <w:pPr>
              <w:jc w:val="center"/>
              <w:rPr>
                <w:rFonts w:eastAsia="Times New Roman"/>
                <w:sz w:val="20"/>
                <w:szCs w:val="20"/>
              </w:rPr>
            </w:pPr>
            <w:r>
              <w:rPr>
                <w:rFonts w:eastAsia="Times New Roman"/>
                <w:sz w:val="20"/>
                <w:szCs w:val="20"/>
              </w:rPr>
              <w:t> </w:t>
            </w:r>
          </w:p>
        </w:tc>
      </w:tr>
      <w:tr w:rsidR="00000000" w14:paraId="2ACF1CBB" w14:textId="77777777">
        <w:trPr>
          <w:divId w:val="415980837"/>
        </w:trPr>
        <w:tc>
          <w:tcPr>
            <w:tcW w:w="0" w:type="auto"/>
            <w:tcBorders>
              <w:bottom w:val="single" w:sz="12" w:space="0" w:color="000000"/>
            </w:tcBorders>
            <w:tcMar>
              <w:top w:w="0" w:type="dxa"/>
              <w:left w:w="180" w:type="dxa"/>
              <w:bottom w:w="0" w:type="dxa"/>
              <w:right w:w="0" w:type="dxa"/>
            </w:tcMar>
            <w:vAlign w:val="bottom"/>
            <w:hideMark/>
          </w:tcPr>
          <w:p w14:paraId="65A40330" w14:textId="77777777" w:rsidR="00000000" w:rsidRDefault="002F725F">
            <w:pPr>
              <w:ind w:hanging="180"/>
              <w:rPr>
                <w:rFonts w:eastAsia="Times New Roman"/>
                <w:b/>
                <w:bCs/>
                <w:sz w:val="20"/>
                <w:szCs w:val="20"/>
              </w:rPr>
            </w:pPr>
            <w:r>
              <w:rPr>
                <w:rFonts w:eastAsia="Times New Roman"/>
                <w:b/>
                <w:bCs/>
                <w:sz w:val="20"/>
                <w:szCs w:val="20"/>
              </w:rPr>
              <w:t>Company Name</w:t>
            </w:r>
          </w:p>
        </w:tc>
        <w:tc>
          <w:tcPr>
            <w:tcW w:w="0" w:type="auto"/>
            <w:tcMar>
              <w:top w:w="0" w:type="dxa"/>
              <w:left w:w="0" w:type="dxa"/>
              <w:bottom w:w="30" w:type="dxa"/>
              <w:right w:w="0" w:type="dxa"/>
            </w:tcMar>
            <w:vAlign w:val="bottom"/>
            <w:hideMark/>
          </w:tcPr>
          <w:p w14:paraId="601B480A"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1A78E4A" w14:textId="77777777" w:rsidR="00000000" w:rsidRDefault="002F725F">
            <w:pPr>
              <w:jc w:val="center"/>
              <w:rPr>
                <w:rFonts w:eastAsia="Times New Roman"/>
                <w:b/>
                <w:bCs/>
                <w:sz w:val="20"/>
                <w:szCs w:val="20"/>
              </w:rPr>
            </w:pPr>
            <w:r>
              <w:rPr>
                <w:rFonts w:eastAsia="Times New Roman"/>
                <w:b/>
                <w:bCs/>
                <w:sz w:val="20"/>
                <w:szCs w:val="20"/>
              </w:rPr>
              <w:t>CAGR</w:t>
            </w:r>
          </w:p>
        </w:tc>
        <w:tc>
          <w:tcPr>
            <w:tcW w:w="0" w:type="auto"/>
            <w:tcMar>
              <w:top w:w="0" w:type="dxa"/>
              <w:left w:w="0" w:type="dxa"/>
              <w:bottom w:w="30" w:type="dxa"/>
              <w:right w:w="0" w:type="dxa"/>
            </w:tcMar>
            <w:vAlign w:val="bottom"/>
            <w:hideMark/>
          </w:tcPr>
          <w:p w14:paraId="640A5A83"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7C3F452E"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224DDDA3" w14:textId="77777777" w:rsidR="00000000" w:rsidRDefault="002F725F">
            <w:pPr>
              <w:jc w:val="center"/>
              <w:rPr>
                <w:rFonts w:eastAsia="Times New Roman"/>
                <w:b/>
                <w:bCs/>
                <w:sz w:val="20"/>
                <w:szCs w:val="20"/>
              </w:rPr>
            </w:pPr>
            <w:r>
              <w:rPr>
                <w:rFonts w:eastAsia="Times New Roman"/>
                <w:b/>
                <w:bCs/>
                <w:sz w:val="20"/>
                <w:szCs w:val="20"/>
              </w:rPr>
              <w:t>LTM</w:t>
            </w:r>
          </w:p>
        </w:tc>
        <w:tc>
          <w:tcPr>
            <w:tcW w:w="0" w:type="auto"/>
            <w:tcMar>
              <w:top w:w="0" w:type="dxa"/>
              <w:left w:w="0" w:type="dxa"/>
              <w:bottom w:w="30" w:type="dxa"/>
              <w:right w:w="0" w:type="dxa"/>
            </w:tcMar>
            <w:vAlign w:val="bottom"/>
            <w:hideMark/>
          </w:tcPr>
          <w:p w14:paraId="203C8DA9"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4E133EE5"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5360C15D" w14:textId="77777777" w:rsidR="00000000" w:rsidRDefault="002F725F">
            <w:pPr>
              <w:jc w:val="center"/>
              <w:rPr>
                <w:rFonts w:eastAsia="Times New Roman"/>
                <w:b/>
                <w:bCs/>
                <w:sz w:val="20"/>
                <w:szCs w:val="20"/>
              </w:rPr>
            </w:pPr>
            <w:r>
              <w:rPr>
                <w:rFonts w:eastAsia="Times New Roman"/>
                <w:b/>
                <w:bCs/>
                <w:sz w:val="20"/>
                <w:szCs w:val="20"/>
              </w:rPr>
              <w:t>2025</w:t>
            </w:r>
          </w:p>
        </w:tc>
        <w:tc>
          <w:tcPr>
            <w:tcW w:w="0" w:type="auto"/>
            <w:tcMar>
              <w:top w:w="0" w:type="dxa"/>
              <w:left w:w="0" w:type="dxa"/>
              <w:bottom w:w="30" w:type="dxa"/>
              <w:right w:w="0" w:type="dxa"/>
            </w:tcMar>
            <w:vAlign w:val="bottom"/>
            <w:hideMark/>
          </w:tcPr>
          <w:p w14:paraId="41E6F563"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5460A052"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9F33CF6" w14:textId="77777777" w:rsidR="00000000" w:rsidRDefault="002F725F">
            <w:pPr>
              <w:jc w:val="center"/>
              <w:rPr>
                <w:rFonts w:eastAsia="Times New Roman"/>
                <w:b/>
                <w:bCs/>
                <w:sz w:val="20"/>
                <w:szCs w:val="20"/>
              </w:rPr>
            </w:pPr>
            <w:r>
              <w:rPr>
                <w:rFonts w:eastAsia="Times New Roman"/>
                <w:b/>
                <w:bCs/>
                <w:sz w:val="20"/>
                <w:szCs w:val="20"/>
              </w:rPr>
              <w:t>2026</w:t>
            </w:r>
          </w:p>
        </w:tc>
        <w:tc>
          <w:tcPr>
            <w:tcW w:w="0" w:type="auto"/>
            <w:tcMar>
              <w:top w:w="0" w:type="dxa"/>
              <w:left w:w="0" w:type="dxa"/>
              <w:bottom w:w="30" w:type="dxa"/>
              <w:right w:w="0" w:type="dxa"/>
            </w:tcMar>
            <w:vAlign w:val="bottom"/>
            <w:hideMark/>
          </w:tcPr>
          <w:p w14:paraId="237674AC"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1266B305"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08EE73B4" w14:textId="77777777" w:rsidR="00000000" w:rsidRDefault="002F725F">
            <w:pPr>
              <w:jc w:val="center"/>
              <w:rPr>
                <w:rFonts w:eastAsia="Times New Roman"/>
                <w:b/>
                <w:bCs/>
                <w:sz w:val="20"/>
                <w:szCs w:val="20"/>
              </w:rPr>
            </w:pPr>
            <w:r>
              <w:rPr>
                <w:rFonts w:eastAsia="Times New Roman"/>
                <w:b/>
                <w:bCs/>
                <w:sz w:val="20"/>
                <w:szCs w:val="20"/>
              </w:rPr>
              <w:t>2027</w:t>
            </w:r>
          </w:p>
        </w:tc>
        <w:tc>
          <w:tcPr>
            <w:tcW w:w="0" w:type="auto"/>
            <w:tcMar>
              <w:top w:w="0" w:type="dxa"/>
              <w:left w:w="0" w:type="dxa"/>
              <w:bottom w:w="30" w:type="dxa"/>
              <w:right w:w="0" w:type="dxa"/>
            </w:tcMar>
            <w:vAlign w:val="bottom"/>
            <w:hideMark/>
          </w:tcPr>
          <w:p w14:paraId="3ED96C4D"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61C8A62"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7FF5A538" w14:textId="77777777" w:rsidR="00000000" w:rsidRDefault="002F725F">
            <w:pPr>
              <w:jc w:val="center"/>
              <w:rPr>
                <w:rFonts w:eastAsia="Times New Roman"/>
                <w:b/>
                <w:bCs/>
                <w:sz w:val="20"/>
                <w:szCs w:val="20"/>
              </w:rPr>
            </w:pPr>
            <w:r>
              <w:rPr>
                <w:rFonts w:eastAsia="Times New Roman"/>
                <w:b/>
                <w:bCs/>
                <w:sz w:val="20"/>
                <w:szCs w:val="20"/>
              </w:rPr>
              <w:t>CAGR</w:t>
            </w:r>
          </w:p>
        </w:tc>
        <w:tc>
          <w:tcPr>
            <w:tcW w:w="0" w:type="auto"/>
            <w:tcMar>
              <w:top w:w="0" w:type="dxa"/>
              <w:left w:w="0" w:type="dxa"/>
              <w:bottom w:w="30" w:type="dxa"/>
              <w:right w:w="0" w:type="dxa"/>
            </w:tcMar>
            <w:vAlign w:val="bottom"/>
            <w:hideMark/>
          </w:tcPr>
          <w:p w14:paraId="0DD04A76"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0AC540C0"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4C51BBD9" w14:textId="77777777" w:rsidR="00000000" w:rsidRDefault="002F725F">
            <w:pPr>
              <w:jc w:val="center"/>
              <w:rPr>
                <w:rFonts w:eastAsia="Times New Roman"/>
                <w:b/>
                <w:bCs/>
                <w:sz w:val="20"/>
                <w:szCs w:val="20"/>
              </w:rPr>
            </w:pPr>
            <w:r>
              <w:rPr>
                <w:rFonts w:eastAsia="Times New Roman"/>
                <w:b/>
                <w:bCs/>
                <w:sz w:val="20"/>
                <w:szCs w:val="20"/>
              </w:rPr>
              <w:t>LTM</w:t>
            </w:r>
          </w:p>
        </w:tc>
        <w:tc>
          <w:tcPr>
            <w:tcW w:w="0" w:type="auto"/>
            <w:tcMar>
              <w:top w:w="0" w:type="dxa"/>
              <w:left w:w="0" w:type="dxa"/>
              <w:bottom w:w="30" w:type="dxa"/>
              <w:right w:w="0" w:type="dxa"/>
            </w:tcMar>
            <w:vAlign w:val="bottom"/>
            <w:hideMark/>
          </w:tcPr>
          <w:p w14:paraId="76A05336"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7FA54795"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02B820D5" w14:textId="77777777" w:rsidR="00000000" w:rsidRDefault="002F725F">
            <w:pPr>
              <w:jc w:val="center"/>
              <w:rPr>
                <w:rFonts w:eastAsia="Times New Roman"/>
                <w:b/>
                <w:bCs/>
                <w:sz w:val="20"/>
                <w:szCs w:val="20"/>
              </w:rPr>
            </w:pPr>
            <w:r>
              <w:rPr>
                <w:rFonts w:eastAsia="Times New Roman"/>
                <w:b/>
                <w:bCs/>
                <w:sz w:val="20"/>
                <w:szCs w:val="20"/>
              </w:rPr>
              <w:t>2025</w:t>
            </w:r>
          </w:p>
        </w:tc>
        <w:tc>
          <w:tcPr>
            <w:tcW w:w="0" w:type="auto"/>
            <w:tcMar>
              <w:top w:w="0" w:type="dxa"/>
              <w:left w:w="0" w:type="dxa"/>
              <w:bottom w:w="30" w:type="dxa"/>
              <w:right w:w="0" w:type="dxa"/>
            </w:tcMar>
            <w:vAlign w:val="bottom"/>
            <w:hideMark/>
          </w:tcPr>
          <w:p w14:paraId="6CD04F09"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0E750D4D"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3B8C0549" w14:textId="77777777" w:rsidR="00000000" w:rsidRDefault="002F725F">
            <w:pPr>
              <w:jc w:val="center"/>
              <w:rPr>
                <w:rFonts w:eastAsia="Times New Roman"/>
                <w:b/>
                <w:bCs/>
                <w:sz w:val="20"/>
                <w:szCs w:val="20"/>
              </w:rPr>
            </w:pPr>
            <w:r>
              <w:rPr>
                <w:rFonts w:eastAsia="Times New Roman"/>
                <w:b/>
                <w:bCs/>
                <w:sz w:val="20"/>
                <w:szCs w:val="20"/>
              </w:rPr>
              <w:t>2026</w:t>
            </w:r>
          </w:p>
        </w:tc>
        <w:tc>
          <w:tcPr>
            <w:tcW w:w="0" w:type="auto"/>
            <w:tcMar>
              <w:top w:w="0" w:type="dxa"/>
              <w:left w:w="0" w:type="dxa"/>
              <w:bottom w:w="30" w:type="dxa"/>
              <w:right w:w="0" w:type="dxa"/>
            </w:tcMar>
            <w:vAlign w:val="bottom"/>
            <w:hideMark/>
          </w:tcPr>
          <w:p w14:paraId="05B391D9"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54EEDA84"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6A41EBFE" w14:textId="77777777" w:rsidR="00000000" w:rsidRDefault="002F725F">
            <w:pPr>
              <w:jc w:val="center"/>
              <w:rPr>
                <w:rFonts w:eastAsia="Times New Roman"/>
                <w:b/>
                <w:bCs/>
                <w:sz w:val="20"/>
                <w:szCs w:val="20"/>
              </w:rPr>
            </w:pPr>
            <w:r>
              <w:rPr>
                <w:rFonts w:eastAsia="Times New Roman"/>
                <w:b/>
                <w:bCs/>
                <w:sz w:val="20"/>
                <w:szCs w:val="20"/>
              </w:rPr>
              <w:t>2027</w:t>
            </w:r>
          </w:p>
        </w:tc>
        <w:tc>
          <w:tcPr>
            <w:tcW w:w="0" w:type="auto"/>
            <w:tcMar>
              <w:top w:w="0" w:type="dxa"/>
              <w:left w:w="0" w:type="dxa"/>
              <w:bottom w:w="30" w:type="dxa"/>
              <w:right w:w="0" w:type="dxa"/>
            </w:tcMar>
            <w:vAlign w:val="bottom"/>
            <w:hideMark/>
          </w:tcPr>
          <w:p w14:paraId="7E075AA4"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7B2D50F1"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4872810" w14:textId="77777777" w:rsidR="00000000" w:rsidRDefault="002F725F">
            <w:pPr>
              <w:jc w:val="center"/>
              <w:rPr>
                <w:rFonts w:eastAsia="Times New Roman"/>
                <w:b/>
                <w:bCs/>
                <w:sz w:val="20"/>
                <w:szCs w:val="20"/>
              </w:rPr>
            </w:pPr>
            <w:r>
              <w:rPr>
                <w:rFonts w:eastAsia="Times New Roman"/>
                <w:b/>
                <w:bCs/>
                <w:sz w:val="20"/>
                <w:szCs w:val="20"/>
              </w:rPr>
              <w:t>AVG</w:t>
            </w:r>
          </w:p>
        </w:tc>
        <w:tc>
          <w:tcPr>
            <w:tcW w:w="0" w:type="auto"/>
            <w:tcMar>
              <w:top w:w="0" w:type="dxa"/>
              <w:left w:w="0" w:type="dxa"/>
              <w:bottom w:w="30" w:type="dxa"/>
              <w:right w:w="0" w:type="dxa"/>
            </w:tcMar>
            <w:vAlign w:val="bottom"/>
            <w:hideMark/>
          </w:tcPr>
          <w:p w14:paraId="2018A0B1"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6BD96696"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0E4182DA" w14:textId="77777777" w:rsidR="00000000" w:rsidRDefault="002F725F">
            <w:pPr>
              <w:jc w:val="center"/>
              <w:rPr>
                <w:rFonts w:eastAsia="Times New Roman"/>
                <w:b/>
                <w:bCs/>
                <w:sz w:val="20"/>
                <w:szCs w:val="20"/>
              </w:rPr>
            </w:pPr>
            <w:r>
              <w:rPr>
                <w:rFonts w:eastAsia="Times New Roman"/>
                <w:b/>
                <w:bCs/>
                <w:sz w:val="20"/>
                <w:szCs w:val="20"/>
              </w:rPr>
              <w:t>LTM</w:t>
            </w:r>
          </w:p>
        </w:tc>
        <w:tc>
          <w:tcPr>
            <w:tcW w:w="0" w:type="auto"/>
            <w:tcMar>
              <w:top w:w="0" w:type="dxa"/>
              <w:left w:w="0" w:type="dxa"/>
              <w:bottom w:w="30" w:type="dxa"/>
              <w:right w:w="0" w:type="dxa"/>
            </w:tcMar>
            <w:vAlign w:val="bottom"/>
            <w:hideMark/>
          </w:tcPr>
          <w:p w14:paraId="0245B081"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4690E708"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3FFBF127" w14:textId="77777777" w:rsidR="00000000" w:rsidRDefault="002F725F">
            <w:pPr>
              <w:jc w:val="center"/>
              <w:rPr>
                <w:rFonts w:eastAsia="Times New Roman"/>
                <w:b/>
                <w:bCs/>
                <w:sz w:val="20"/>
                <w:szCs w:val="20"/>
              </w:rPr>
            </w:pPr>
            <w:r>
              <w:rPr>
                <w:rFonts w:eastAsia="Times New Roman"/>
                <w:b/>
                <w:bCs/>
                <w:sz w:val="20"/>
                <w:szCs w:val="20"/>
              </w:rPr>
              <w:t>2025</w:t>
            </w:r>
          </w:p>
        </w:tc>
        <w:tc>
          <w:tcPr>
            <w:tcW w:w="0" w:type="auto"/>
            <w:tcMar>
              <w:top w:w="0" w:type="dxa"/>
              <w:left w:w="0" w:type="dxa"/>
              <w:bottom w:w="30" w:type="dxa"/>
              <w:right w:w="0" w:type="dxa"/>
            </w:tcMar>
            <w:vAlign w:val="bottom"/>
            <w:hideMark/>
          </w:tcPr>
          <w:p w14:paraId="3F5F4E71"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465126C2"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3248B4EC" w14:textId="77777777" w:rsidR="00000000" w:rsidRDefault="002F725F">
            <w:pPr>
              <w:jc w:val="center"/>
              <w:rPr>
                <w:rFonts w:eastAsia="Times New Roman"/>
                <w:b/>
                <w:bCs/>
                <w:sz w:val="20"/>
                <w:szCs w:val="20"/>
              </w:rPr>
            </w:pPr>
            <w:r>
              <w:rPr>
                <w:rFonts w:eastAsia="Times New Roman"/>
                <w:b/>
                <w:bCs/>
                <w:sz w:val="20"/>
                <w:szCs w:val="20"/>
              </w:rPr>
              <w:t>2026</w:t>
            </w:r>
          </w:p>
        </w:tc>
        <w:tc>
          <w:tcPr>
            <w:tcW w:w="0" w:type="auto"/>
            <w:tcMar>
              <w:top w:w="0" w:type="dxa"/>
              <w:left w:w="0" w:type="dxa"/>
              <w:bottom w:w="30" w:type="dxa"/>
              <w:right w:w="0" w:type="dxa"/>
            </w:tcMar>
            <w:vAlign w:val="bottom"/>
            <w:hideMark/>
          </w:tcPr>
          <w:p w14:paraId="2A519069"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161DDB59"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2749896" w14:textId="77777777" w:rsidR="00000000" w:rsidRDefault="002F725F">
            <w:pPr>
              <w:jc w:val="center"/>
              <w:rPr>
                <w:rFonts w:eastAsia="Times New Roman"/>
                <w:b/>
                <w:bCs/>
                <w:sz w:val="20"/>
                <w:szCs w:val="20"/>
              </w:rPr>
            </w:pPr>
            <w:r>
              <w:rPr>
                <w:rFonts w:eastAsia="Times New Roman"/>
                <w:b/>
                <w:bCs/>
                <w:sz w:val="20"/>
                <w:szCs w:val="20"/>
              </w:rPr>
              <w:t>2027</w:t>
            </w:r>
          </w:p>
        </w:tc>
        <w:tc>
          <w:tcPr>
            <w:tcW w:w="0" w:type="auto"/>
            <w:tcMar>
              <w:top w:w="0" w:type="dxa"/>
              <w:left w:w="0" w:type="dxa"/>
              <w:bottom w:w="30" w:type="dxa"/>
              <w:right w:w="0" w:type="dxa"/>
            </w:tcMar>
            <w:vAlign w:val="bottom"/>
            <w:hideMark/>
          </w:tcPr>
          <w:p w14:paraId="1E0E6F43" w14:textId="77777777" w:rsidR="00000000" w:rsidRDefault="002F725F">
            <w:pPr>
              <w:jc w:val="center"/>
              <w:rPr>
                <w:rFonts w:eastAsia="Times New Roman"/>
                <w:b/>
                <w:bCs/>
                <w:sz w:val="20"/>
                <w:szCs w:val="20"/>
              </w:rPr>
            </w:pPr>
            <w:r>
              <w:rPr>
                <w:rFonts w:eastAsia="Times New Roman"/>
                <w:b/>
                <w:bCs/>
                <w:sz w:val="20"/>
                <w:szCs w:val="20"/>
              </w:rPr>
              <w:t> </w:t>
            </w:r>
          </w:p>
        </w:tc>
      </w:tr>
      <w:tr w:rsidR="00000000" w14:paraId="43BBB4FB" w14:textId="77777777">
        <w:trPr>
          <w:divId w:val="415980837"/>
        </w:trPr>
        <w:tc>
          <w:tcPr>
            <w:tcW w:w="0" w:type="auto"/>
            <w:tcMar>
              <w:top w:w="0" w:type="dxa"/>
              <w:left w:w="180" w:type="dxa"/>
              <w:bottom w:w="0" w:type="dxa"/>
              <w:right w:w="0" w:type="dxa"/>
            </w:tcMar>
            <w:vAlign w:val="bottom"/>
            <w:hideMark/>
          </w:tcPr>
          <w:p w14:paraId="668DFF08" w14:textId="77777777" w:rsidR="00000000" w:rsidRDefault="002F725F">
            <w:pPr>
              <w:ind w:hanging="180"/>
              <w:rPr>
                <w:rFonts w:eastAsia="Times New Roman"/>
                <w:sz w:val="20"/>
                <w:szCs w:val="20"/>
              </w:rPr>
            </w:pPr>
            <w:r>
              <w:rPr>
                <w:rFonts w:eastAsia="Times New Roman"/>
                <w:sz w:val="20"/>
                <w:szCs w:val="20"/>
              </w:rPr>
              <w:t> </w:t>
            </w:r>
          </w:p>
        </w:tc>
        <w:tc>
          <w:tcPr>
            <w:tcW w:w="0" w:type="auto"/>
            <w:vAlign w:val="bottom"/>
            <w:hideMark/>
          </w:tcPr>
          <w:p w14:paraId="707DD296"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2604A7ED"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1BAAE413"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05FC707E"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40743F1B"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46A5C487"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60714116"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73DAE538"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2F989BB1"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0C99A301"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7D0F1EB3"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4819A1DA"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1A630688"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63FE5D2E"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30499C62"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130119F2"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2C4D1130"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239921BA"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44AF9464"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1EDCA688"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11ED7FF5"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5F529798"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7E8E87E5"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3D0048B0"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4EF16260"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1D57DFEF"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4F368C3F"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7AAF1E1B"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2B22EE1E"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7615B58F"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39E325C9"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5A2D6D27"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1BC168E8"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65E249CC"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3535F5D2"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7224438A"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7440058F"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572225AD"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540C38E2"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73EF2A8A"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393FD450"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60C0D55B"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60C5EB29"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23DB5B57"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314BCB1C" w14:textId="77777777" w:rsidR="00000000" w:rsidRDefault="002F725F">
            <w:pPr>
              <w:rPr>
                <w:rFonts w:eastAsia="Times New Roman"/>
                <w:sz w:val="20"/>
                <w:szCs w:val="20"/>
              </w:rPr>
            </w:pPr>
            <w:r>
              <w:rPr>
                <w:rFonts w:eastAsia="Times New Roman"/>
                <w:sz w:val="20"/>
                <w:szCs w:val="20"/>
              </w:rPr>
              <w:t> </w:t>
            </w:r>
          </w:p>
        </w:tc>
      </w:tr>
      <w:tr w:rsidR="002F725F" w14:paraId="265C2690" w14:textId="77777777">
        <w:trPr>
          <w:divId w:val="415980837"/>
        </w:trPr>
        <w:tc>
          <w:tcPr>
            <w:tcW w:w="760" w:type="pct"/>
            <w:shd w:val="clear" w:color="auto" w:fill="CCEEFF"/>
            <w:tcMar>
              <w:top w:w="0" w:type="dxa"/>
              <w:left w:w="180" w:type="dxa"/>
              <w:bottom w:w="0" w:type="dxa"/>
              <w:right w:w="0" w:type="dxa"/>
            </w:tcMar>
            <w:vAlign w:val="bottom"/>
            <w:hideMark/>
          </w:tcPr>
          <w:p w14:paraId="131AE9C9" w14:textId="77777777" w:rsidR="00000000" w:rsidRDefault="002F725F">
            <w:pPr>
              <w:ind w:hanging="180"/>
              <w:rPr>
                <w:rFonts w:eastAsia="Times New Roman"/>
                <w:sz w:val="20"/>
                <w:szCs w:val="20"/>
              </w:rPr>
            </w:pPr>
            <w:r>
              <w:rPr>
                <w:rFonts w:eastAsia="Times New Roman"/>
                <w:sz w:val="20"/>
                <w:szCs w:val="20"/>
              </w:rPr>
              <w:t>Ab&amp;</w:t>
            </w:r>
            <w:r>
              <w:rPr>
                <w:rFonts w:eastAsia="Times New Roman"/>
                <w:sz w:val="20"/>
                <w:szCs w:val="20"/>
              </w:rPr>
              <w:t>B Bio-Tech CO., LTD. JS</w:t>
            </w:r>
          </w:p>
        </w:tc>
        <w:tc>
          <w:tcPr>
            <w:tcW w:w="10" w:type="pct"/>
            <w:shd w:val="clear" w:color="auto" w:fill="CCEEFF"/>
            <w:vAlign w:val="bottom"/>
            <w:hideMark/>
          </w:tcPr>
          <w:p w14:paraId="0A878D61"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0D476F0C" w14:textId="77777777" w:rsidR="00000000" w:rsidRDefault="002F725F">
            <w:pPr>
              <w:rPr>
                <w:rFonts w:eastAsia="Times New Roman"/>
                <w:sz w:val="20"/>
                <w:szCs w:val="20"/>
              </w:rPr>
            </w:pPr>
            <w:r>
              <w:rPr>
                <w:rFonts w:eastAsia="Times New Roman"/>
                <w:sz w:val="20"/>
                <w:szCs w:val="20"/>
              </w:rPr>
              <w:t> </w:t>
            </w:r>
          </w:p>
        </w:tc>
        <w:tc>
          <w:tcPr>
            <w:tcW w:w="250" w:type="pct"/>
            <w:shd w:val="clear" w:color="auto" w:fill="CCEEFF"/>
            <w:vAlign w:val="bottom"/>
            <w:hideMark/>
          </w:tcPr>
          <w:p w14:paraId="087BEAAB" w14:textId="77777777" w:rsidR="00000000" w:rsidRDefault="002F725F">
            <w:pPr>
              <w:jc w:val="right"/>
              <w:rPr>
                <w:rFonts w:eastAsia="Times New Roman"/>
                <w:sz w:val="20"/>
                <w:szCs w:val="20"/>
              </w:rPr>
            </w:pPr>
            <w:r>
              <w:rPr>
                <w:rFonts w:eastAsia="Times New Roman"/>
                <w:sz w:val="20"/>
                <w:szCs w:val="20"/>
              </w:rPr>
              <w:t>NA</w:t>
            </w:r>
          </w:p>
        </w:tc>
        <w:tc>
          <w:tcPr>
            <w:tcW w:w="10" w:type="pct"/>
            <w:shd w:val="clear" w:color="auto" w:fill="CCEEFF"/>
            <w:vAlign w:val="bottom"/>
            <w:hideMark/>
          </w:tcPr>
          <w:p w14:paraId="14E6444B"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60D69E20"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247D2A43" w14:textId="77777777" w:rsidR="00000000" w:rsidRDefault="002F725F">
            <w:pPr>
              <w:rPr>
                <w:rFonts w:eastAsia="Times New Roman"/>
                <w:sz w:val="20"/>
                <w:szCs w:val="20"/>
              </w:rPr>
            </w:pPr>
            <w:r>
              <w:rPr>
                <w:rFonts w:eastAsia="Times New Roman"/>
                <w:sz w:val="20"/>
                <w:szCs w:val="20"/>
              </w:rPr>
              <w:t> </w:t>
            </w:r>
          </w:p>
        </w:tc>
        <w:tc>
          <w:tcPr>
            <w:tcW w:w="250" w:type="pct"/>
            <w:shd w:val="clear" w:color="auto" w:fill="CCEEFF"/>
            <w:vAlign w:val="bottom"/>
            <w:hideMark/>
          </w:tcPr>
          <w:p w14:paraId="70CB10BF" w14:textId="77777777" w:rsidR="00000000" w:rsidRDefault="002F725F">
            <w:pPr>
              <w:jc w:val="right"/>
              <w:rPr>
                <w:rFonts w:eastAsia="Times New Roman"/>
                <w:sz w:val="20"/>
                <w:szCs w:val="20"/>
              </w:rPr>
            </w:pPr>
            <w:r>
              <w:rPr>
                <w:rFonts w:eastAsia="Times New Roman"/>
                <w:sz w:val="20"/>
                <w:szCs w:val="20"/>
              </w:rPr>
              <w:t>517.0</w:t>
            </w:r>
          </w:p>
        </w:tc>
        <w:tc>
          <w:tcPr>
            <w:tcW w:w="10" w:type="pct"/>
            <w:shd w:val="clear" w:color="auto" w:fill="CCEEFF"/>
            <w:vAlign w:val="bottom"/>
            <w:hideMark/>
          </w:tcPr>
          <w:p w14:paraId="394E695F" w14:textId="77777777" w:rsidR="00000000" w:rsidRDefault="002F725F">
            <w:pPr>
              <w:rPr>
                <w:rFonts w:eastAsia="Times New Roman"/>
                <w:sz w:val="20"/>
                <w:szCs w:val="20"/>
              </w:rPr>
            </w:pPr>
            <w:r>
              <w:rPr>
                <w:rFonts w:eastAsia="Times New Roman"/>
                <w:sz w:val="20"/>
                <w:szCs w:val="20"/>
              </w:rPr>
              <w:t>%</w:t>
            </w:r>
          </w:p>
        </w:tc>
        <w:tc>
          <w:tcPr>
            <w:tcW w:w="10" w:type="pct"/>
            <w:shd w:val="clear" w:color="auto" w:fill="CCEEFF"/>
            <w:vAlign w:val="bottom"/>
            <w:hideMark/>
          </w:tcPr>
          <w:p w14:paraId="102D3044"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30A15082" w14:textId="77777777" w:rsidR="00000000" w:rsidRDefault="002F725F">
            <w:pPr>
              <w:rPr>
                <w:rFonts w:eastAsia="Times New Roman"/>
                <w:sz w:val="20"/>
                <w:szCs w:val="20"/>
              </w:rPr>
            </w:pPr>
            <w:r>
              <w:rPr>
                <w:rFonts w:eastAsia="Times New Roman"/>
                <w:sz w:val="20"/>
                <w:szCs w:val="20"/>
              </w:rPr>
              <w:t> </w:t>
            </w:r>
          </w:p>
        </w:tc>
        <w:tc>
          <w:tcPr>
            <w:tcW w:w="250" w:type="pct"/>
            <w:shd w:val="clear" w:color="auto" w:fill="CCEEFF"/>
            <w:vAlign w:val="bottom"/>
            <w:hideMark/>
          </w:tcPr>
          <w:p w14:paraId="379A60B8" w14:textId="77777777" w:rsidR="00000000" w:rsidRDefault="002F725F">
            <w:pPr>
              <w:jc w:val="right"/>
              <w:rPr>
                <w:rFonts w:eastAsia="Times New Roman"/>
                <w:sz w:val="20"/>
                <w:szCs w:val="20"/>
              </w:rPr>
            </w:pPr>
            <w:r>
              <w:rPr>
                <w:rFonts w:eastAsia="Times New Roman"/>
                <w:sz w:val="20"/>
                <w:szCs w:val="20"/>
              </w:rPr>
              <w:t>NA</w:t>
            </w:r>
          </w:p>
        </w:tc>
        <w:tc>
          <w:tcPr>
            <w:tcW w:w="10" w:type="pct"/>
            <w:shd w:val="clear" w:color="auto" w:fill="CCEEFF"/>
            <w:vAlign w:val="bottom"/>
            <w:hideMark/>
          </w:tcPr>
          <w:p w14:paraId="387D5659"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3B667690"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64DF512B" w14:textId="77777777" w:rsidR="00000000" w:rsidRDefault="002F725F">
            <w:pPr>
              <w:rPr>
                <w:rFonts w:eastAsia="Times New Roman"/>
                <w:sz w:val="20"/>
                <w:szCs w:val="20"/>
              </w:rPr>
            </w:pPr>
            <w:r>
              <w:rPr>
                <w:rFonts w:eastAsia="Times New Roman"/>
                <w:sz w:val="20"/>
                <w:szCs w:val="20"/>
              </w:rPr>
              <w:t> </w:t>
            </w:r>
          </w:p>
        </w:tc>
        <w:tc>
          <w:tcPr>
            <w:tcW w:w="250" w:type="pct"/>
            <w:shd w:val="clear" w:color="auto" w:fill="CCEEFF"/>
            <w:vAlign w:val="bottom"/>
            <w:hideMark/>
          </w:tcPr>
          <w:p w14:paraId="6639DD2C" w14:textId="77777777" w:rsidR="00000000" w:rsidRDefault="002F725F">
            <w:pPr>
              <w:jc w:val="right"/>
              <w:rPr>
                <w:rFonts w:eastAsia="Times New Roman"/>
                <w:sz w:val="20"/>
                <w:szCs w:val="20"/>
              </w:rPr>
            </w:pPr>
            <w:r>
              <w:rPr>
                <w:rFonts w:eastAsia="Times New Roman"/>
                <w:sz w:val="20"/>
                <w:szCs w:val="20"/>
              </w:rPr>
              <w:t>NA</w:t>
            </w:r>
          </w:p>
        </w:tc>
        <w:tc>
          <w:tcPr>
            <w:tcW w:w="10" w:type="pct"/>
            <w:shd w:val="clear" w:color="auto" w:fill="CCEEFF"/>
            <w:vAlign w:val="bottom"/>
            <w:hideMark/>
          </w:tcPr>
          <w:p w14:paraId="54E6D92B"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37262DF3"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4EBD8943" w14:textId="77777777" w:rsidR="00000000" w:rsidRDefault="002F725F">
            <w:pPr>
              <w:rPr>
                <w:rFonts w:eastAsia="Times New Roman"/>
                <w:sz w:val="20"/>
                <w:szCs w:val="20"/>
              </w:rPr>
            </w:pPr>
            <w:r>
              <w:rPr>
                <w:rFonts w:eastAsia="Times New Roman"/>
                <w:sz w:val="20"/>
                <w:szCs w:val="20"/>
              </w:rPr>
              <w:t> </w:t>
            </w:r>
          </w:p>
        </w:tc>
        <w:tc>
          <w:tcPr>
            <w:tcW w:w="250" w:type="pct"/>
            <w:shd w:val="clear" w:color="auto" w:fill="CCEEFF"/>
            <w:vAlign w:val="bottom"/>
            <w:hideMark/>
          </w:tcPr>
          <w:p w14:paraId="58479BD7" w14:textId="77777777" w:rsidR="00000000" w:rsidRDefault="002F725F">
            <w:pPr>
              <w:jc w:val="right"/>
              <w:rPr>
                <w:rFonts w:eastAsia="Times New Roman"/>
                <w:sz w:val="20"/>
                <w:szCs w:val="20"/>
              </w:rPr>
            </w:pPr>
            <w:r>
              <w:rPr>
                <w:rFonts w:eastAsia="Times New Roman"/>
                <w:sz w:val="20"/>
                <w:szCs w:val="20"/>
              </w:rPr>
              <w:t>NA</w:t>
            </w:r>
          </w:p>
        </w:tc>
        <w:tc>
          <w:tcPr>
            <w:tcW w:w="10" w:type="pct"/>
            <w:shd w:val="clear" w:color="auto" w:fill="CCEEFF"/>
            <w:vAlign w:val="bottom"/>
            <w:hideMark/>
          </w:tcPr>
          <w:p w14:paraId="4E327267"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005BB775"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5999B568" w14:textId="77777777" w:rsidR="00000000" w:rsidRDefault="002F725F">
            <w:pPr>
              <w:rPr>
                <w:rFonts w:eastAsia="Times New Roman"/>
                <w:sz w:val="20"/>
                <w:szCs w:val="20"/>
              </w:rPr>
            </w:pPr>
            <w:r>
              <w:rPr>
                <w:rFonts w:eastAsia="Times New Roman"/>
                <w:sz w:val="20"/>
                <w:szCs w:val="20"/>
              </w:rPr>
              <w:t> </w:t>
            </w:r>
          </w:p>
        </w:tc>
        <w:tc>
          <w:tcPr>
            <w:tcW w:w="250" w:type="pct"/>
            <w:shd w:val="clear" w:color="auto" w:fill="CCEEFF"/>
            <w:vAlign w:val="bottom"/>
            <w:hideMark/>
          </w:tcPr>
          <w:p w14:paraId="78D12F92" w14:textId="77777777" w:rsidR="00000000" w:rsidRDefault="002F725F">
            <w:pPr>
              <w:jc w:val="right"/>
              <w:rPr>
                <w:rFonts w:eastAsia="Times New Roman"/>
                <w:sz w:val="20"/>
                <w:szCs w:val="20"/>
              </w:rPr>
            </w:pPr>
            <w:r>
              <w:rPr>
                <w:rFonts w:eastAsia="Times New Roman"/>
                <w:sz w:val="20"/>
                <w:szCs w:val="20"/>
              </w:rPr>
              <w:t>NA</w:t>
            </w:r>
          </w:p>
        </w:tc>
        <w:tc>
          <w:tcPr>
            <w:tcW w:w="10" w:type="pct"/>
            <w:shd w:val="clear" w:color="auto" w:fill="CCEEFF"/>
            <w:vAlign w:val="bottom"/>
            <w:hideMark/>
          </w:tcPr>
          <w:p w14:paraId="0C1AE5A2"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7EE83969"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2DEF6EE0" w14:textId="77777777" w:rsidR="00000000" w:rsidRDefault="002F725F">
            <w:pPr>
              <w:rPr>
                <w:rFonts w:eastAsia="Times New Roman"/>
                <w:sz w:val="20"/>
                <w:szCs w:val="20"/>
              </w:rPr>
            </w:pPr>
            <w:r>
              <w:rPr>
                <w:rFonts w:eastAsia="Times New Roman"/>
                <w:sz w:val="20"/>
                <w:szCs w:val="20"/>
              </w:rPr>
              <w:t> </w:t>
            </w:r>
          </w:p>
        </w:tc>
        <w:tc>
          <w:tcPr>
            <w:tcW w:w="250" w:type="pct"/>
            <w:shd w:val="clear" w:color="auto" w:fill="CCEEFF"/>
            <w:vAlign w:val="bottom"/>
            <w:hideMark/>
          </w:tcPr>
          <w:p w14:paraId="557D596C" w14:textId="77777777" w:rsidR="00000000" w:rsidRDefault="002F725F">
            <w:pPr>
              <w:jc w:val="right"/>
              <w:rPr>
                <w:rFonts w:eastAsia="Times New Roman"/>
                <w:sz w:val="20"/>
                <w:szCs w:val="20"/>
              </w:rPr>
            </w:pPr>
            <w:r>
              <w:rPr>
                <w:rFonts w:eastAsia="Times New Roman"/>
                <w:sz w:val="20"/>
                <w:szCs w:val="20"/>
              </w:rPr>
              <w:t>NM</w:t>
            </w:r>
          </w:p>
        </w:tc>
        <w:tc>
          <w:tcPr>
            <w:tcW w:w="10" w:type="pct"/>
            <w:shd w:val="clear" w:color="auto" w:fill="CCEEFF"/>
            <w:vAlign w:val="bottom"/>
            <w:hideMark/>
          </w:tcPr>
          <w:p w14:paraId="44DC5A1A"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5479776D"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52E78496" w14:textId="77777777" w:rsidR="00000000" w:rsidRDefault="002F725F">
            <w:pPr>
              <w:rPr>
                <w:rFonts w:eastAsia="Times New Roman"/>
                <w:sz w:val="20"/>
                <w:szCs w:val="20"/>
              </w:rPr>
            </w:pPr>
            <w:r>
              <w:rPr>
                <w:rFonts w:eastAsia="Times New Roman"/>
                <w:sz w:val="20"/>
                <w:szCs w:val="20"/>
              </w:rPr>
              <w:t> </w:t>
            </w:r>
          </w:p>
        </w:tc>
        <w:tc>
          <w:tcPr>
            <w:tcW w:w="250" w:type="pct"/>
            <w:shd w:val="clear" w:color="auto" w:fill="CCEEFF"/>
            <w:vAlign w:val="bottom"/>
            <w:hideMark/>
          </w:tcPr>
          <w:p w14:paraId="16D64F3A" w14:textId="77777777" w:rsidR="00000000" w:rsidRDefault="002F725F">
            <w:pPr>
              <w:jc w:val="right"/>
              <w:rPr>
                <w:rFonts w:eastAsia="Times New Roman"/>
                <w:sz w:val="20"/>
                <w:szCs w:val="20"/>
              </w:rPr>
            </w:pPr>
            <w:r>
              <w:rPr>
                <w:rFonts w:eastAsia="Times New Roman"/>
                <w:sz w:val="20"/>
                <w:szCs w:val="20"/>
              </w:rPr>
              <w:t>NA</w:t>
            </w:r>
          </w:p>
        </w:tc>
        <w:tc>
          <w:tcPr>
            <w:tcW w:w="10" w:type="pct"/>
            <w:shd w:val="clear" w:color="auto" w:fill="CCEEFF"/>
            <w:vAlign w:val="bottom"/>
            <w:hideMark/>
          </w:tcPr>
          <w:p w14:paraId="36AA2AA7"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3933268E"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7A5ADFE9" w14:textId="77777777" w:rsidR="00000000" w:rsidRDefault="002F725F">
            <w:pPr>
              <w:rPr>
                <w:rFonts w:eastAsia="Times New Roman"/>
                <w:sz w:val="20"/>
                <w:szCs w:val="20"/>
              </w:rPr>
            </w:pPr>
            <w:r>
              <w:rPr>
                <w:rFonts w:eastAsia="Times New Roman"/>
                <w:sz w:val="20"/>
                <w:szCs w:val="20"/>
              </w:rPr>
              <w:t> </w:t>
            </w:r>
          </w:p>
        </w:tc>
        <w:tc>
          <w:tcPr>
            <w:tcW w:w="250" w:type="pct"/>
            <w:shd w:val="clear" w:color="auto" w:fill="CCEEFF"/>
            <w:vAlign w:val="bottom"/>
            <w:hideMark/>
          </w:tcPr>
          <w:p w14:paraId="0B4CF50B" w14:textId="77777777" w:rsidR="00000000" w:rsidRDefault="002F725F">
            <w:pPr>
              <w:jc w:val="right"/>
              <w:rPr>
                <w:rFonts w:eastAsia="Times New Roman"/>
                <w:sz w:val="20"/>
                <w:szCs w:val="20"/>
              </w:rPr>
            </w:pPr>
            <w:r>
              <w:rPr>
                <w:rFonts w:eastAsia="Times New Roman"/>
                <w:sz w:val="20"/>
                <w:szCs w:val="20"/>
              </w:rPr>
              <w:t>NA</w:t>
            </w:r>
          </w:p>
        </w:tc>
        <w:tc>
          <w:tcPr>
            <w:tcW w:w="10" w:type="pct"/>
            <w:shd w:val="clear" w:color="auto" w:fill="CCEEFF"/>
            <w:vAlign w:val="bottom"/>
            <w:hideMark/>
          </w:tcPr>
          <w:p w14:paraId="2261632A"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0D2616A1"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093EE633" w14:textId="77777777" w:rsidR="00000000" w:rsidRDefault="002F725F">
            <w:pPr>
              <w:rPr>
                <w:rFonts w:eastAsia="Times New Roman"/>
                <w:sz w:val="20"/>
                <w:szCs w:val="20"/>
              </w:rPr>
            </w:pPr>
            <w:r>
              <w:rPr>
                <w:rFonts w:eastAsia="Times New Roman"/>
                <w:sz w:val="20"/>
                <w:szCs w:val="20"/>
              </w:rPr>
              <w:t> </w:t>
            </w:r>
          </w:p>
        </w:tc>
        <w:tc>
          <w:tcPr>
            <w:tcW w:w="250" w:type="pct"/>
            <w:shd w:val="clear" w:color="auto" w:fill="CCEEFF"/>
            <w:vAlign w:val="bottom"/>
            <w:hideMark/>
          </w:tcPr>
          <w:p w14:paraId="4D11DF7C" w14:textId="77777777" w:rsidR="00000000" w:rsidRDefault="002F725F">
            <w:pPr>
              <w:jc w:val="right"/>
              <w:rPr>
                <w:rFonts w:eastAsia="Times New Roman"/>
                <w:sz w:val="20"/>
                <w:szCs w:val="20"/>
              </w:rPr>
            </w:pPr>
            <w:r>
              <w:rPr>
                <w:rFonts w:eastAsia="Times New Roman"/>
                <w:sz w:val="20"/>
                <w:szCs w:val="20"/>
              </w:rPr>
              <w:t>NA</w:t>
            </w:r>
          </w:p>
        </w:tc>
        <w:tc>
          <w:tcPr>
            <w:tcW w:w="10" w:type="pct"/>
            <w:shd w:val="clear" w:color="auto" w:fill="CCEEFF"/>
            <w:vAlign w:val="bottom"/>
            <w:hideMark/>
          </w:tcPr>
          <w:p w14:paraId="41B77149"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3581E42C"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531B3FFA" w14:textId="77777777" w:rsidR="00000000" w:rsidRDefault="002F725F">
            <w:pPr>
              <w:rPr>
                <w:rFonts w:eastAsia="Times New Roman"/>
                <w:sz w:val="20"/>
                <w:szCs w:val="20"/>
              </w:rPr>
            </w:pPr>
            <w:r>
              <w:rPr>
                <w:rFonts w:eastAsia="Times New Roman"/>
                <w:sz w:val="20"/>
                <w:szCs w:val="20"/>
              </w:rPr>
              <w:t> </w:t>
            </w:r>
          </w:p>
        </w:tc>
        <w:tc>
          <w:tcPr>
            <w:tcW w:w="250" w:type="pct"/>
            <w:shd w:val="clear" w:color="auto" w:fill="CCEEFF"/>
            <w:vAlign w:val="bottom"/>
            <w:hideMark/>
          </w:tcPr>
          <w:p w14:paraId="57724B69" w14:textId="77777777" w:rsidR="00000000" w:rsidRDefault="002F725F">
            <w:pPr>
              <w:jc w:val="right"/>
              <w:rPr>
                <w:rFonts w:eastAsia="Times New Roman"/>
                <w:sz w:val="20"/>
                <w:szCs w:val="20"/>
              </w:rPr>
            </w:pPr>
            <w:r>
              <w:rPr>
                <w:rFonts w:eastAsia="Times New Roman"/>
                <w:sz w:val="20"/>
                <w:szCs w:val="20"/>
              </w:rPr>
              <w:t>NM</w:t>
            </w:r>
          </w:p>
        </w:tc>
        <w:tc>
          <w:tcPr>
            <w:tcW w:w="10" w:type="pct"/>
            <w:shd w:val="clear" w:color="auto" w:fill="CCEEFF"/>
            <w:vAlign w:val="bottom"/>
            <w:hideMark/>
          </w:tcPr>
          <w:p w14:paraId="56C3E312"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33EB00E8"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598E962D" w14:textId="77777777" w:rsidR="00000000" w:rsidRDefault="002F725F">
            <w:pPr>
              <w:rPr>
                <w:rFonts w:eastAsia="Times New Roman"/>
                <w:sz w:val="20"/>
                <w:szCs w:val="20"/>
              </w:rPr>
            </w:pPr>
            <w:r>
              <w:rPr>
                <w:rFonts w:eastAsia="Times New Roman"/>
                <w:sz w:val="20"/>
                <w:szCs w:val="20"/>
              </w:rPr>
              <w:t> </w:t>
            </w:r>
          </w:p>
        </w:tc>
        <w:tc>
          <w:tcPr>
            <w:tcW w:w="250" w:type="pct"/>
            <w:shd w:val="clear" w:color="auto" w:fill="CCEEFF"/>
            <w:vAlign w:val="bottom"/>
            <w:hideMark/>
          </w:tcPr>
          <w:p w14:paraId="4E242AA4" w14:textId="77777777" w:rsidR="00000000" w:rsidRDefault="002F725F">
            <w:pPr>
              <w:jc w:val="right"/>
              <w:rPr>
                <w:rFonts w:eastAsia="Times New Roman"/>
                <w:sz w:val="20"/>
                <w:szCs w:val="20"/>
              </w:rPr>
            </w:pPr>
            <w:r>
              <w:rPr>
                <w:rFonts w:eastAsia="Times New Roman"/>
                <w:sz w:val="20"/>
                <w:szCs w:val="20"/>
              </w:rPr>
              <w:t>-50.4</w:t>
            </w:r>
          </w:p>
        </w:tc>
        <w:tc>
          <w:tcPr>
            <w:tcW w:w="10" w:type="pct"/>
            <w:shd w:val="clear" w:color="auto" w:fill="CCEEFF"/>
            <w:vAlign w:val="bottom"/>
            <w:hideMark/>
          </w:tcPr>
          <w:p w14:paraId="5C84BDCD" w14:textId="77777777" w:rsidR="00000000" w:rsidRDefault="002F725F">
            <w:pPr>
              <w:rPr>
                <w:rFonts w:eastAsia="Times New Roman"/>
                <w:sz w:val="20"/>
                <w:szCs w:val="20"/>
              </w:rPr>
            </w:pPr>
            <w:r>
              <w:rPr>
                <w:rFonts w:eastAsia="Times New Roman"/>
                <w:sz w:val="20"/>
                <w:szCs w:val="20"/>
              </w:rPr>
              <w:t>%</w:t>
            </w:r>
          </w:p>
        </w:tc>
        <w:tc>
          <w:tcPr>
            <w:tcW w:w="10" w:type="pct"/>
            <w:shd w:val="clear" w:color="auto" w:fill="CCEEFF"/>
            <w:vAlign w:val="bottom"/>
            <w:hideMark/>
          </w:tcPr>
          <w:p w14:paraId="6B7254B6"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1C28B1E5" w14:textId="77777777" w:rsidR="00000000" w:rsidRDefault="002F725F">
            <w:pPr>
              <w:rPr>
                <w:rFonts w:eastAsia="Times New Roman"/>
                <w:sz w:val="20"/>
                <w:szCs w:val="20"/>
              </w:rPr>
            </w:pPr>
            <w:r>
              <w:rPr>
                <w:rFonts w:eastAsia="Times New Roman"/>
                <w:sz w:val="20"/>
                <w:szCs w:val="20"/>
              </w:rPr>
              <w:t> </w:t>
            </w:r>
          </w:p>
        </w:tc>
        <w:tc>
          <w:tcPr>
            <w:tcW w:w="250" w:type="pct"/>
            <w:shd w:val="clear" w:color="auto" w:fill="CCEEFF"/>
            <w:vAlign w:val="bottom"/>
            <w:hideMark/>
          </w:tcPr>
          <w:p w14:paraId="603D67B2" w14:textId="77777777" w:rsidR="00000000" w:rsidRDefault="002F725F">
            <w:pPr>
              <w:jc w:val="right"/>
              <w:rPr>
                <w:rFonts w:eastAsia="Times New Roman"/>
                <w:sz w:val="20"/>
                <w:szCs w:val="20"/>
              </w:rPr>
            </w:pPr>
            <w:r>
              <w:rPr>
                <w:rFonts w:eastAsia="Times New Roman"/>
                <w:sz w:val="20"/>
                <w:szCs w:val="20"/>
              </w:rPr>
              <w:t>NA</w:t>
            </w:r>
          </w:p>
        </w:tc>
        <w:tc>
          <w:tcPr>
            <w:tcW w:w="10" w:type="pct"/>
            <w:shd w:val="clear" w:color="auto" w:fill="CCEEFF"/>
            <w:vAlign w:val="bottom"/>
            <w:hideMark/>
          </w:tcPr>
          <w:p w14:paraId="2EBFF8C6"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15B786FE"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3CC2878E" w14:textId="77777777" w:rsidR="00000000" w:rsidRDefault="002F725F">
            <w:pPr>
              <w:rPr>
                <w:rFonts w:eastAsia="Times New Roman"/>
                <w:sz w:val="20"/>
                <w:szCs w:val="20"/>
              </w:rPr>
            </w:pPr>
            <w:r>
              <w:rPr>
                <w:rFonts w:eastAsia="Times New Roman"/>
                <w:sz w:val="20"/>
                <w:szCs w:val="20"/>
              </w:rPr>
              <w:t> </w:t>
            </w:r>
          </w:p>
        </w:tc>
        <w:tc>
          <w:tcPr>
            <w:tcW w:w="250" w:type="pct"/>
            <w:shd w:val="clear" w:color="auto" w:fill="CCEEFF"/>
            <w:vAlign w:val="bottom"/>
            <w:hideMark/>
          </w:tcPr>
          <w:p w14:paraId="0DD71ECB" w14:textId="77777777" w:rsidR="00000000" w:rsidRDefault="002F725F">
            <w:pPr>
              <w:jc w:val="right"/>
              <w:rPr>
                <w:rFonts w:eastAsia="Times New Roman"/>
                <w:sz w:val="20"/>
                <w:szCs w:val="20"/>
              </w:rPr>
            </w:pPr>
            <w:r>
              <w:rPr>
                <w:rFonts w:eastAsia="Times New Roman"/>
                <w:sz w:val="20"/>
                <w:szCs w:val="20"/>
              </w:rPr>
              <w:t>NA</w:t>
            </w:r>
          </w:p>
        </w:tc>
        <w:tc>
          <w:tcPr>
            <w:tcW w:w="10" w:type="pct"/>
            <w:shd w:val="clear" w:color="auto" w:fill="CCEEFF"/>
            <w:vAlign w:val="bottom"/>
            <w:hideMark/>
          </w:tcPr>
          <w:p w14:paraId="10C4FACF"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6FD69F5A" w14:textId="77777777" w:rsidR="00000000" w:rsidRDefault="002F725F">
            <w:pPr>
              <w:rPr>
                <w:rFonts w:eastAsia="Times New Roman"/>
                <w:sz w:val="20"/>
                <w:szCs w:val="20"/>
              </w:rPr>
            </w:pPr>
            <w:r>
              <w:rPr>
                <w:rFonts w:eastAsia="Times New Roman"/>
                <w:sz w:val="20"/>
                <w:szCs w:val="20"/>
              </w:rPr>
              <w:t> </w:t>
            </w:r>
          </w:p>
        </w:tc>
        <w:tc>
          <w:tcPr>
            <w:tcW w:w="10" w:type="pct"/>
            <w:shd w:val="clear" w:color="auto" w:fill="CCEEFF"/>
            <w:vAlign w:val="bottom"/>
            <w:hideMark/>
          </w:tcPr>
          <w:p w14:paraId="17AC3CD4" w14:textId="77777777" w:rsidR="00000000" w:rsidRDefault="002F725F">
            <w:pPr>
              <w:rPr>
                <w:rFonts w:eastAsia="Times New Roman"/>
                <w:sz w:val="20"/>
                <w:szCs w:val="20"/>
              </w:rPr>
            </w:pPr>
            <w:r>
              <w:rPr>
                <w:rFonts w:eastAsia="Times New Roman"/>
                <w:sz w:val="20"/>
                <w:szCs w:val="20"/>
              </w:rPr>
              <w:t> </w:t>
            </w:r>
          </w:p>
        </w:tc>
        <w:tc>
          <w:tcPr>
            <w:tcW w:w="250" w:type="pct"/>
            <w:shd w:val="clear" w:color="auto" w:fill="CCEEFF"/>
            <w:vAlign w:val="bottom"/>
            <w:hideMark/>
          </w:tcPr>
          <w:p w14:paraId="45A651AE" w14:textId="77777777" w:rsidR="00000000" w:rsidRDefault="002F725F">
            <w:pPr>
              <w:jc w:val="right"/>
              <w:rPr>
                <w:rFonts w:eastAsia="Times New Roman"/>
                <w:sz w:val="20"/>
                <w:szCs w:val="20"/>
              </w:rPr>
            </w:pPr>
            <w:r>
              <w:rPr>
                <w:rFonts w:eastAsia="Times New Roman"/>
                <w:sz w:val="20"/>
                <w:szCs w:val="20"/>
              </w:rPr>
              <w:t>NA</w:t>
            </w:r>
          </w:p>
        </w:tc>
        <w:tc>
          <w:tcPr>
            <w:tcW w:w="50" w:type="pct"/>
            <w:shd w:val="clear" w:color="auto" w:fill="CCEEFF"/>
            <w:vAlign w:val="bottom"/>
            <w:hideMark/>
          </w:tcPr>
          <w:p w14:paraId="189850B0" w14:textId="77777777" w:rsidR="00000000" w:rsidRDefault="002F725F">
            <w:pPr>
              <w:rPr>
                <w:rFonts w:eastAsia="Times New Roman"/>
                <w:sz w:val="20"/>
                <w:szCs w:val="20"/>
              </w:rPr>
            </w:pPr>
            <w:r>
              <w:rPr>
                <w:rFonts w:eastAsia="Times New Roman"/>
                <w:sz w:val="20"/>
                <w:szCs w:val="20"/>
              </w:rPr>
              <w:t> </w:t>
            </w:r>
          </w:p>
        </w:tc>
      </w:tr>
      <w:tr w:rsidR="002F725F" w14:paraId="071CE481" w14:textId="77777777">
        <w:trPr>
          <w:divId w:val="415980837"/>
        </w:trPr>
        <w:tc>
          <w:tcPr>
            <w:tcW w:w="0" w:type="auto"/>
            <w:shd w:val="clear" w:color="auto" w:fill="FFFFFF"/>
            <w:tcMar>
              <w:top w:w="0" w:type="dxa"/>
              <w:left w:w="180" w:type="dxa"/>
              <w:bottom w:w="0" w:type="dxa"/>
              <w:right w:w="0" w:type="dxa"/>
            </w:tcMar>
            <w:vAlign w:val="bottom"/>
            <w:hideMark/>
          </w:tcPr>
          <w:p w14:paraId="384025C0" w14:textId="77777777" w:rsidR="00000000" w:rsidRDefault="002F725F">
            <w:pPr>
              <w:ind w:hanging="180"/>
              <w:rPr>
                <w:rFonts w:eastAsia="Times New Roman"/>
                <w:sz w:val="20"/>
                <w:szCs w:val="20"/>
              </w:rPr>
            </w:pPr>
            <w:r>
              <w:rPr>
                <w:rFonts w:eastAsia="Times New Roman"/>
                <w:sz w:val="20"/>
                <w:szCs w:val="20"/>
              </w:rPr>
              <w:t>AIM Vaccine Co., Ltd.</w:t>
            </w:r>
          </w:p>
        </w:tc>
        <w:tc>
          <w:tcPr>
            <w:tcW w:w="0" w:type="auto"/>
            <w:shd w:val="clear" w:color="auto" w:fill="FFFFFF"/>
            <w:vAlign w:val="bottom"/>
            <w:hideMark/>
          </w:tcPr>
          <w:p w14:paraId="0FF4FC8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487E53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C7033BC" w14:textId="77777777" w:rsidR="00000000" w:rsidRDefault="002F725F">
            <w:pPr>
              <w:jc w:val="right"/>
              <w:rPr>
                <w:rFonts w:eastAsia="Times New Roman"/>
                <w:sz w:val="20"/>
                <w:szCs w:val="20"/>
              </w:rPr>
            </w:pPr>
            <w:r>
              <w:rPr>
                <w:rFonts w:eastAsia="Times New Roman"/>
                <w:sz w:val="20"/>
                <w:szCs w:val="20"/>
              </w:rPr>
              <w:t>0.8</w:t>
            </w:r>
          </w:p>
        </w:tc>
        <w:tc>
          <w:tcPr>
            <w:tcW w:w="0" w:type="auto"/>
            <w:shd w:val="clear" w:color="auto" w:fill="FFFFFF"/>
            <w:vAlign w:val="bottom"/>
            <w:hideMark/>
          </w:tcPr>
          <w:p w14:paraId="677D9035"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5712241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DFF29D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0F62D98" w14:textId="77777777" w:rsidR="00000000" w:rsidRDefault="002F725F">
            <w:pPr>
              <w:jc w:val="right"/>
              <w:rPr>
                <w:rFonts w:eastAsia="Times New Roman"/>
                <w:sz w:val="20"/>
                <w:szCs w:val="20"/>
              </w:rPr>
            </w:pPr>
            <w:r>
              <w:rPr>
                <w:rFonts w:eastAsia="Times New Roman"/>
                <w:sz w:val="20"/>
                <w:szCs w:val="20"/>
              </w:rPr>
              <w:t>6.6</w:t>
            </w:r>
          </w:p>
        </w:tc>
        <w:tc>
          <w:tcPr>
            <w:tcW w:w="0" w:type="auto"/>
            <w:shd w:val="clear" w:color="auto" w:fill="FFFFFF"/>
            <w:vAlign w:val="bottom"/>
            <w:hideMark/>
          </w:tcPr>
          <w:p w14:paraId="2F401B7A"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496AE98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58D50C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95FFA38"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320F04B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534E08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896AB8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73E557F"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1D62B69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F0477D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975F53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D4CA906"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60FD42E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EFCEEE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865592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31ADD9A"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FFFFFF"/>
            <w:vAlign w:val="bottom"/>
            <w:hideMark/>
          </w:tcPr>
          <w:p w14:paraId="18B4371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4B20E2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DD69D4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D5B9656"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FFFFFF"/>
            <w:vAlign w:val="bottom"/>
            <w:hideMark/>
          </w:tcPr>
          <w:p w14:paraId="7DA3454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BA554B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0AFB2A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F652667"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267F1BA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555A90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241F13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6D0BBDA"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70C37C6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689407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A7AA0D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D795E3A"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7420B62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5F8E34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8336D2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7EFA658" w14:textId="77777777" w:rsidR="00000000" w:rsidRDefault="002F725F">
            <w:pPr>
              <w:jc w:val="right"/>
              <w:rPr>
                <w:rFonts w:eastAsia="Times New Roman"/>
                <w:sz w:val="20"/>
                <w:szCs w:val="20"/>
              </w:rPr>
            </w:pPr>
            <w:r>
              <w:rPr>
                <w:rFonts w:eastAsia="Times New Roman"/>
                <w:sz w:val="20"/>
                <w:szCs w:val="20"/>
              </w:rPr>
              <w:t>-62.5</w:t>
            </w:r>
          </w:p>
        </w:tc>
        <w:tc>
          <w:tcPr>
            <w:tcW w:w="0" w:type="auto"/>
            <w:shd w:val="clear" w:color="auto" w:fill="FFFFFF"/>
            <w:vAlign w:val="bottom"/>
            <w:hideMark/>
          </w:tcPr>
          <w:p w14:paraId="4FCD5FC0"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14DF242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F7B29D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2FFE023" w14:textId="77777777" w:rsidR="00000000" w:rsidRDefault="002F725F">
            <w:pPr>
              <w:jc w:val="right"/>
              <w:rPr>
                <w:rFonts w:eastAsia="Times New Roman"/>
                <w:sz w:val="20"/>
                <w:szCs w:val="20"/>
              </w:rPr>
            </w:pPr>
            <w:r>
              <w:rPr>
                <w:rFonts w:eastAsia="Times New Roman"/>
                <w:sz w:val="20"/>
                <w:szCs w:val="20"/>
              </w:rPr>
              <w:t>-7.3</w:t>
            </w:r>
          </w:p>
        </w:tc>
        <w:tc>
          <w:tcPr>
            <w:tcW w:w="0" w:type="auto"/>
            <w:shd w:val="clear" w:color="auto" w:fill="FFFFFF"/>
            <w:vAlign w:val="bottom"/>
            <w:hideMark/>
          </w:tcPr>
          <w:p w14:paraId="6D4674CE"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42FBF7B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75B5BD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6DEDC3C"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0EB3CC2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2ACC72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960A66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BDC1CE6"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764D83D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6C7925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14504B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FD2D1C5"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65C664FB" w14:textId="77777777" w:rsidR="00000000" w:rsidRDefault="002F725F">
            <w:pPr>
              <w:rPr>
                <w:rFonts w:eastAsia="Times New Roman"/>
                <w:sz w:val="20"/>
                <w:szCs w:val="20"/>
              </w:rPr>
            </w:pPr>
            <w:r>
              <w:rPr>
                <w:rFonts w:eastAsia="Times New Roman"/>
                <w:sz w:val="20"/>
                <w:szCs w:val="20"/>
              </w:rPr>
              <w:t> </w:t>
            </w:r>
          </w:p>
        </w:tc>
      </w:tr>
      <w:tr w:rsidR="002F725F" w14:paraId="10DA4B45" w14:textId="77777777">
        <w:trPr>
          <w:divId w:val="415980837"/>
        </w:trPr>
        <w:tc>
          <w:tcPr>
            <w:tcW w:w="0" w:type="auto"/>
            <w:shd w:val="clear" w:color="auto" w:fill="CCEEFF"/>
            <w:tcMar>
              <w:top w:w="0" w:type="dxa"/>
              <w:left w:w="180" w:type="dxa"/>
              <w:bottom w:w="0" w:type="dxa"/>
              <w:right w:w="0" w:type="dxa"/>
            </w:tcMar>
            <w:vAlign w:val="bottom"/>
            <w:hideMark/>
          </w:tcPr>
          <w:p w14:paraId="7A76CAE1" w14:textId="77777777" w:rsidR="00000000" w:rsidRDefault="002F725F">
            <w:pPr>
              <w:ind w:hanging="180"/>
              <w:rPr>
                <w:rFonts w:eastAsia="Times New Roman"/>
                <w:sz w:val="20"/>
                <w:szCs w:val="20"/>
              </w:rPr>
            </w:pPr>
            <w:r>
              <w:rPr>
                <w:rFonts w:eastAsia="Times New Roman"/>
                <w:sz w:val="20"/>
                <w:szCs w:val="20"/>
              </w:rPr>
              <w:t>CanSino Biologics Inc.</w:t>
            </w:r>
          </w:p>
        </w:tc>
        <w:tc>
          <w:tcPr>
            <w:tcW w:w="0" w:type="auto"/>
            <w:shd w:val="clear" w:color="auto" w:fill="CCEEFF"/>
            <w:vAlign w:val="bottom"/>
            <w:hideMark/>
          </w:tcPr>
          <w:p w14:paraId="3A52056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7A667B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5E661ED" w14:textId="77777777" w:rsidR="00000000" w:rsidRDefault="002F725F">
            <w:pPr>
              <w:jc w:val="right"/>
              <w:rPr>
                <w:rFonts w:eastAsia="Times New Roman"/>
                <w:sz w:val="20"/>
                <w:szCs w:val="20"/>
              </w:rPr>
            </w:pPr>
            <w:r>
              <w:rPr>
                <w:rFonts w:eastAsia="Times New Roman"/>
                <w:sz w:val="20"/>
                <w:szCs w:val="20"/>
              </w:rPr>
              <w:t>-41.8</w:t>
            </w:r>
          </w:p>
        </w:tc>
        <w:tc>
          <w:tcPr>
            <w:tcW w:w="0" w:type="auto"/>
            <w:shd w:val="clear" w:color="auto" w:fill="CCEEFF"/>
            <w:vAlign w:val="bottom"/>
            <w:hideMark/>
          </w:tcPr>
          <w:p w14:paraId="324797A4"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7F91408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266302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550F971" w14:textId="77777777" w:rsidR="00000000" w:rsidRDefault="002F725F">
            <w:pPr>
              <w:jc w:val="right"/>
              <w:rPr>
                <w:rFonts w:eastAsia="Times New Roman"/>
                <w:sz w:val="20"/>
                <w:szCs w:val="20"/>
              </w:rPr>
            </w:pPr>
            <w:r>
              <w:rPr>
                <w:rFonts w:eastAsia="Times New Roman"/>
                <w:sz w:val="20"/>
                <w:szCs w:val="20"/>
              </w:rPr>
              <w:t>29.8</w:t>
            </w:r>
          </w:p>
        </w:tc>
        <w:tc>
          <w:tcPr>
            <w:tcW w:w="0" w:type="auto"/>
            <w:shd w:val="clear" w:color="auto" w:fill="CCEEFF"/>
            <w:vAlign w:val="bottom"/>
            <w:hideMark/>
          </w:tcPr>
          <w:p w14:paraId="2E7E3846"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3B41A63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091EB6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9000E47" w14:textId="77777777" w:rsidR="00000000" w:rsidRDefault="002F725F">
            <w:pPr>
              <w:jc w:val="right"/>
              <w:rPr>
                <w:rFonts w:eastAsia="Times New Roman"/>
                <w:sz w:val="20"/>
                <w:szCs w:val="20"/>
              </w:rPr>
            </w:pPr>
            <w:r>
              <w:rPr>
                <w:rFonts w:eastAsia="Times New Roman"/>
                <w:sz w:val="20"/>
                <w:szCs w:val="20"/>
              </w:rPr>
              <w:t>20.0</w:t>
            </w:r>
          </w:p>
        </w:tc>
        <w:tc>
          <w:tcPr>
            <w:tcW w:w="0" w:type="auto"/>
            <w:shd w:val="clear" w:color="auto" w:fill="CCEEFF"/>
            <w:vAlign w:val="bottom"/>
            <w:hideMark/>
          </w:tcPr>
          <w:p w14:paraId="7230A769"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4F935D6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372445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1B52309" w14:textId="77777777" w:rsidR="00000000" w:rsidRDefault="002F725F">
            <w:pPr>
              <w:jc w:val="right"/>
              <w:rPr>
                <w:rFonts w:eastAsia="Times New Roman"/>
                <w:sz w:val="20"/>
                <w:szCs w:val="20"/>
              </w:rPr>
            </w:pPr>
            <w:r>
              <w:rPr>
                <w:rFonts w:eastAsia="Times New Roman"/>
                <w:sz w:val="20"/>
                <w:szCs w:val="20"/>
              </w:rPr>
              <w:t>40.4</w:t>
            </w:r>
          </w:p>
        </w:tc>
        <w:tc>
          <w:tcPr>
            <w:tcW w:w="0" w:type="auto"/>
            <w:shd w:val="clear" w:color="auto" w:fill="CCEEFF"/>
            <w:vAlign w:val="bottom"/>
            <w:hideMark/>
          </w:tcPr>
          <w:p w14:paraId="0D0DF128"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6AE939A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056EA9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1722147" w14:textId="77777777" w:rsidR="00000000" w:rsidRDefault="002F725F">
            <w:pPr>
              <w:jc w:val="right"/>
              <w:rPr>
                <w:rFonts w:eastAsia="Times New Roman"/>
                <w:sz w:val="20"/>
                <w:szCs w:val="20"/>
              </w:rPr>
            </w:pPr>
            <w:r>
              <w:rPr>
                <w:rFonts w:eastAsia="Times New Roman"/>
                <w:sz w:val="20"/>
                <w:szCs w:val="20"/>
              </w:rPr>
              <w:t>43.1</w:t>
            </w:r>
          </w:p>
        </w:tc>
        <w:tc>
          <w:tcPr>
            <w:tcW w:w="0" w:type="auto"/>
            <w:shd w:val="clear" w:color="auto" w:fill="CCEEFF"/>
            <w:vAlign w:val="bottom"/>
            <w:hideMark/>
          </w:tcPr>
          <w:p w14:paraId="4273A81D"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6A053C2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5E2437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4422FA0"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6A29E45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429C7E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1E7C5A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395BF54"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42D9CD6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8AB05F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41000F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501B45C"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6D7102D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386CEA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5B2500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4B41BD1" w14:textId="77777777" w:rsidR="00000000" w:rsidRDefault="002F725F">
            <w:pPr>
              <w:jc w:val="right"/>
              <w:rPr>
                <w:rFonts w:eastAsia="Times New Roman"/>
                <w:sz w:val="20"/>
                <w:szCs w:val="20"/>
              </w:rPr>
            </w:pPr>
            <w:r>
              <w:rPr>
                <w:rFonts w:eastAsia="Times New Roman"/>
                <w:sz w:val="20"/>
                <w:szCs w:val="20"/>
              </w:rPr>
              <w:t>223.3</w:t>
            </w:r>
          </w:p>
        </w:tc>
        <w:tc>
          <w:tcPr>
            <w:tcW w:w="0" w:type="auto"/>
            <w:shd w:val="clear" w:color="auto" w:fill="CCEEFF"/>
            <w:vAlign w:val="bottom"/>
            <w:hideMark/>
          </w:tcPr>
          <w:p w14:paraId="2C9BF885"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7699C6C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46ABC0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DBCDB6C" w14:textId="77777777" w:rsidR="00000000" w:rsidRDefault="002F725F">
            <w:pPr>
              <w:jc w:val="right"/>
              <w:rPr>
                <w:rFonts w:eastAsia="Times New Roman"/>
                <w:sz w:val="20"/>
                <w:szCs w:val="20"/>
              </w:rPr>
            </w:pPr>
            <w:r>
              <w:rPr>
                <w:rFonts w:eastAsia="Times New Roman"/>
                <w:sz w:val="20"/>
                <w:szCs w:val="20"/>
              </w:rPr>
              <w:t>73.8</w:t>
            </w:r>
          </w:p>
        </w:tc>
        <w:tc>
          <w:tcPr>
            <w:tcW w:w="0" w:type="auto"/>
            <w:shd w:val="clear" w:color="auto" w:fill="CCEEFF"/>
            <w:vAlign w:val="bottom"/>
            <w:hideMark/>
          </w:tcPr>
          <w:p w14:paraId="213A8784"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5D6D9F2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17F90F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5E8CF29" w14:textId="77777777" w:rsidR="00000000" w:rsidRDefault="002F725F">
            <w:pPr>
              <w:jc w:val="right"/>
              <w:rPr>
                <w:rFonts w:eastAsia="Times New Roman"/>
                <w:sz w:val="20"/>
                <w:szCs w:val="20"/>
              </w:rPr>
            </w:pPr>
            <w:r>
              <w:rPr>
                <w:rFonts w:eastAsia="Times New Roman"/>
                <w:sz w:val="20"/>
                <w:szCs w:val="20"/>
              </w:rPr>
              <w:t>-188.1</w:t>
            </w:r>
          </w:p>
        </w:tc>
        <w:tc>
          <w:tcPr>
            <w:tcW w:w="0" w:type="auto"/>
            <w:shd w:val="clear" w:color="auto" w:fill="CCEEFF"/>
            <w:vAlign w:val="bottom"/>
            <w:hideMark/>
          </w:tcPr>
          <w:p w14:paraId="6F602EA9"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57EAF04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B10700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0A71BD4" w14:textId="77777777" w:rsidR="00000000" w:rsidRDefault="002F725F">
            <w:pPr>
              <w:jc w:val="right"/>
              <w:rPr>
                <w:rFonts w:eastAsia="Times New Roman"/>
                <w:sz w:val="20"/>
                <w:szCs w:val="20"/>
              </w:rPr>
            </w:pPr>
            <w:r>
              <w:rPr>
                <w:rFonts w:eastAsia="Times New Roman"/>
                <w:sz w:val="20"/>
                <w:szCs w:val="20"/>
              </w:rPr>
              <w:t>-3.4</w:t>
            </w:r>
          </w:p>
        </w:tc>
        <w:tc>
          <w:tcPr>
            <w:tcW w:w="0" w:type="auto"/>
            <w:shd w:val="clear" w:color="auto" w:fill="CCEEFF"/>
            <w:vAlign w:val="bottom"/>
            <w:hideMark/>
          </w:tcPr>
          <w:p w14:paraId="55E378F1"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12A3A92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B9D948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75740C7" w14:textId="77777777" w:rsidR="00000000" w:rsidRDefault="002F725F">
            <w:pPr>
              <w:jc w:val="right"/>
              <w:rPr>
                <w:rFonts w:eastAsia="Times New Roman"/>
                <w:sz w:val="20"/>
                <w:szCs w:val="20"/>
              </w:rPr>
            </w:pPr>
            <w:r>
              <w:rPr>
                <w:rFonts w:eastAsia="Times New Roman"/>
                <w:sz w:val="20"/>
                <w:szCs w:val="20"/>
              </w:rPr>
              <w:t>13.4</w:t>
            </w:r>
          </w:p>
        </w:tc>
        <w:tc>
          <w:tcPr>
            <w:tcW w:w="0" w:type="auto"/>
            <w:shd w:val="clear" w:color="auto" w:fill="CCEEFF"/>
            <w:vAlign w:val="bottom"/>
            <w:hideMark/>
          </w:tcPr>
          <w:p w14:paraId="495CEE4E"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0D2F024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F770C6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5237E24" w14:textId="77777777" w:rsidR="00000000" w:rsidRDefault="002F725F">
            <w:pPr>
              <w:jc w:val="right"/>
              <w:rPr>
                <w:rFonts w:eastAsia="Times New Roman"/>
                <w:sz w:val="20"/>
                <w:szCs w:val="20"/>
              </w:rPr>
            </w:pPr>
            <w:r>
              <w:rPr>
                <w:rFonts w:eastAsia="Times New Roman"/>
                <w:sz w:val="20"/>
                <w:szCs w:val="20"/>
              </w:rPr>
              <w:t>30.8</w:t>
            </w:r>
          </w:p>
        </w:tc>
        <w:tc>
          <w:tcPr>
            <w:tcW w:w="0" w:type="auto"/>
            <w:shd w:val="clear" w:color="auto" w:fill="CCEEFF"/>
            <w:vAlign w:val="bottom"/>
            <w:hideMark/>
          </w:tcPr>
          <w:p w14:paraId="6DAB2A27"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5A7D1CC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CC57C2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F3780D7" w14:textId="77777777" w:rsidR="00000000" w:rsidRDefault="002F725F">
            <w:pPr>
              <w:jc w:val="right"/>
              <w:rPr>
                <w:rFonts w:eastAsia="Times New Roman"/>
                <w:sz w:val="20"/>
                <w:szCs w:val="20"/>
              </w:rPr>
            </w:pPr>
            <w:r>
              <w:rPr>
                <w:rFonts w:eastAsia="Times New Roman"/>
                <w:sz w:val="20"/>
                <w:szCs w:val="20"/>
              </w:rPr>
              <w:t>37.4</w:t>
            </w:r>
          </w:p>
        </w:tc>
        <w:tc>
          <w:tcPr>
            <w:tcW w:w="0" w:type="auto"/>
            <w:shd w:val="clear" w:color="auto" w:fill="CCEEFF"/>
            <w:vAlign w:val="bottom"/>
            <w:hideMark/>
          </w:tcPr>
          <w:p w14:paraId="5F5667D5" w14:textId="77777777" w:rsidR="00000000" w:rsidRDefault="002F725F">
            <w:pPr>
              <w:rPr>
                <w:rFonts w:eastAsia="Times New Roman"/>
                <w:sz w:val="20"/>
                <w:szCs w:val="20"/>
              </w:rPr>
            </w:pPr>
            <w:r>
              <w:rPr>
                <w:rFonts w:eastAsia="Times New Roman"/>
                <w:sz w:val="20"/>
                <w:szCs w:val="20"/>
              </w:rPr>
              <w:t>%</w:t>
            </w:r>
          </w:p>
        </w:tc>
      </w:tr>
      <w:tr w:rsidR="002F725F" w14:paraId="3C911D18" w14:textId="77777777">
        <w:trPr>
          <w:divId w:val="415980837"/>
        </w:trPr>
        <w:tc>
          <w:tcPr>
            <w:tcW w:w="0" w:type="auto"/>
            <w:shd w:val="clear" w:color="auto" w:fill="FFFFFF"/>
            <w:tcMar>
              <w:top w:w="0" w:type="dxa"/>
              <w:left w:w="180" w:type="dxa"/>
              <w:bottom w:w="0" w:type="dxa"/>
              <w:right w:w="0" w:type="dxa"/>
            </w:tcMar>
            <w:vAlign w:val="bottom"/>
            <w:hideMark/>
          </w:tcPr>
          <w:p w14:paraId="21865755" w14:textId="77777777" w:rsidR="00000000" w:rsidRDefault="002F725F">
            <w:pPr>
              <w:ind w:hanging="180"/>
              <w:rPr>
                <w:rFonts w:eastAsia="Times New Roman"/>
                <w:sz w:val="20"/>
                <w:szCs w:val="20"/>
              </w:rPr>
            </w:pPr>
            <w:r>
              <w:rPr>
                <w:rFonts w:eastAsia="Times New Roman"/>
                <w:sz w:val="20"/>
                <w:szCs w:val="20"/>
              </w:rPr>
              <w:t>Clover Biopharmaceuticals, Ltd.</w:t>
            </w:r>
          </w:p>
        </w:tc>
        <w:tc>
          <w:tcPr>
            <w:tcW w:w="0" w:type="auto"/>
            <w:shd w:val="clear" w:color="auto" w:fill="FFFFFF"/>
            <w:vAlign w:val="bottom"/>
            <w:hideMark/>
          </w:tcPr>
          <w:p w14:paraId="39D1135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4E105E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7ABE89F"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FFFFFF"/>
            <w:vAlign w:val="bottom"/>
            <w:hideMark/>
          </w:tcPr>
          <w:p w14:paraId="4908121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5AA357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DD2433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66A64AA" w14:textId="77777777" w:rsidR="00000000" w:rsidRDefault="002F725F">
            <w:pPr>
              <w:jc w:val="right"/>
              <w:rPr>
                <w:rFonts w:eastAsia="Times New Roman"/>
                <w:sz w:val="20"/>
                <w:szCs w:val="20"/>
              </w:rPr>
            </w:pPr>
            <w:r>
              <w:rPr>
                <w:rFonts w:eastAsia="Times New Roman"/>
                <w:sz w:val="20"/>
                <w:szCs w:val="20"/>
              </w:rPr>
              <w:t>79.2</w:t>
            </w:r>
          </w:p>
        </w:tc>
        <w:tc>
          <w:tcPr>
            <w:tcW w:w="0" w:type="auto"/>
            <w:shd w:val="clear" w:color="auto" w:fill="FFFFFF"/>
            <w:vAlign w:val="bottom"/>
            <w:hideMark/>
          </w:tcPr>
          <w:p w14:paraId="3AA477A5"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528EBD0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8F65EF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EA687D2"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45B5457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636358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8B0535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F79D52C"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1FF3C50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5DAD21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6BBBFA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BB48C6A"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187B861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5D2FF8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AA2F26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83B4BDC"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FFFFFF"/>
            <w:vAlign w:val="bottom"/>
            <w:hideMark/>
          </w:tcPr>
          <w:p w14:paraId="15DA385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FAF964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E25F31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0ECBC82"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FFFFFF"/>
            <w:vAlign w:val="bottom"/>
            <w:hideMark/>
          </w:tcPr>
          <w:p w14:paraId="2508B5A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A2E574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ED7502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52AD0B1"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3694FF0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D096D0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DA7FD6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0B064A7"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3A12428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98EB8D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356DA3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5FF3BD6"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3BA76D3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116979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AC2ABA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93F6B00"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FFFFFF"/>
            <w:vAlign w:val="bottom"/>
            <w:hideMark/>
          </w:tcPr>
          <w:p w14:paraId="30F8B04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F90308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9A2412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0AA18B0"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FFFFFF"/>
            <w:vAlign w:val="bottom"/>
            <w:hideMark/>
          </w:tcPr>
          <w:p w14:paraId="6881CF2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6F52CB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6C133A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CE6AED0"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08CD16B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EEC2F7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5E58D5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26B5941"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7B4C03F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E41873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2ECB99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E99D988"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1F3B2F45" w14:textId="77777777" w:rsidR="00000000" w:rsidRDefault="002F725F">
            <w:pPr>
              <w:rPr>
                <w:rFonts w:eastAsia="Times New Roman"/>
                <w:sz w:val="20"/>
                <w:szCs w:val="20"/>
              </w:rPr>
            </w:pPr>
            <w:r>
              <w:rPr>
                <w:rFonts w:eastAsia="Times New Roman"/>
                <w:sz w:val="20"/>
                <w:szCs w:val="20"/>
              </w:rPr>
              <w:t> </w:t>
            </w:r>
          </w:p>
        </w:tc>
      </w:tr>
      <w:tr w:rsidR="002F725F" w14:paraId="76209D00" w14:textId="77777777">
        <w:trPr>
          <w:divId w:val="415980837"/>
        </w:trPr>
        <w:tc>
          <w:tcPr>
            <w:tcW w:w="0" w:type="auto"/>
            <w:shd w:val="clear" w:color="auto" w:fill="CCEEFF"/>
            <w:tcMar>
              <w:top w:w="0" w:type="dxa"/>
              <w:left w:w="180" w:type="dxa"/>
              <w:bottom w:w="0" w:type="dxa"/>
              <w:right w:w="0" w:type="dxa"/>
            </w:tcMar>
            <w:vAlign w:val="bottom"/>
            <w:hideMark/>
          </w:tcPr>
          <w:p w14:paraId="2615EFF2" w14:textId="77777777" w:rsidR="00000000" w:rsidRDefault="002F725F">
            <w:pPr>
              <w:ind w:hanging="180"/>
              <w:rPr>
                <w:rFonts w:eastAsia="Times New Roman"/>
                <w:sz w:val="20"/>
                <w:szCs w:val="20"/>
              </w:rPr>
            </w:pPr>
            <w:r>
              <w:rPr>
                <w:rFonts w:eastAsia="Times New Roman"/>
                <w:sz w:val="20"/>
                <w:szCs w:val="20"/>
              </w:rPr>
              <w:t>Kamada Ltd.</w:t>
            </w:r>
          </w:p>
        </w:tc>
        <w:tc>
          <w:tcPr>
            <w:tcW w:w="0" w:type="auto"/>
            <w:shd w:val="clear" w:color="auto" w:fill="CCEEFF"/>
            <w:vAlign w:val="bottom"/>
            <w:hideMark/>
          </w:tcPr>
          <w:p w14:paraId="32A2E2A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DDE861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CCB4DF7" w14:textId="77777777" w:rsidR="00000000" w:rsidRDefault="002F725F">
            <w:pPr>
              <w:jc w:val="right"/>
              <w:rPr>
                <w:rFonts w:eastAsia="Times New Roman"/>
                <w:sz w:val="20"/>
                <w:szCs w:val="20"/>
              </w:rPr>
            </w:pPr>
            <w:r>
              <w:rPr>
                <w:rFonts w:eastAsia="Times New Roman"/>
                <w:sz w:val="20"/>
                <w:szCs w:val="20"/>
              </w:rPr>
              <w:t>11.6</w:t>
            </w:r>
          </w:p>
        </w:tc>
        <w:tc>
          <w:tcPr>
            <w:tcW w:w="0" w:type="auto"/>
            <w:shd w:val="clear" w:color="auto" w:fill="CCEEFF"/>
            <w:vAlign w:val="bottom"/>
            <w:hideMark/>
          </w:tcPr>
          <w:p w14:paraId="2E7AD140"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38BA59E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017714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E613E0D" w14:textId="77777777" w:rsidR="00000000" w:rsidRDefault="002F725F">
            <w:pPr>
              <w:jc w:val="right"/>
              <w:rPr>
                <w:rFonts w:eastAsia="Times New Roman"/>
                <w:sz w:val="20"/>
                <w:szCs w:val="20"/>
              </w:rPr>
            </w:pPr>
            <w:r>
              <w:rPr>
                <w:rFonts w:eastAsia="Times New Roman"/>
                <w:sz w:val="20"/>
                <w:szCs w:val="20"/>
              </w:rPr>
              <w:t>9.7</w:t>
            </w:r>
          </w:p>
        </w:tc>
        <w:tc>
          <w:tcPr>
            <w:tcW w:w="0" w:type="auto"/>
            <w:shd w:val="clear" w:color="auto" w:fill="CCEEFF"/>
            <w:vAlign w:val="bottom"/>
            <w:hideMark/>
          </w:tcPr>
          <w:p w14:paraId="73967EB1"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6F8743C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341519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BE4BFC9" w14:textId="77777777" w:rsidR="00000000" w:rsidRDefault="002F725F">
            <w:pPr>
              <w:jc w:val="right"/>
              <w:rPr>
                <w:rFonts w:eastAsia="Times New Roman"/>
                <w:sz w:val="20"/>
                <w:szCs w:val="20"/>
              </w:rPr>
            </w:pPr>
            <w:r>
              <w:rPr>
                <w:rFonts w:eastAsia="Times New Roman"/>
                <w:sz w:val="20"/>
                <w:szCs w:val="20"/>
              </w:rPr>
              <w:t>12.7</w:t>
            </w:r>
          </w:p>
        </w:tc>
        <w:tc>
          <w:tcPr>
            <w:tcW w:w="0" w:type="auto"/>
            <w:shd w:val="clear" w:color="auto" w:fill="CCEEFF"/>
            <w:vAlign w:val="bottom"/>
            <w:hideMark/>
          </w:tcPr>
          <w:p w14:paraId="419E745C"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76E2CE7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6171A9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F642D21" w14:textId="77777777" w:rsidR="00000000" w:rsidRDefault="002F725F">
            <w:pPr>
              <w:jc w:val="right"/>
              <w:rPr>
                <w:rFonts w:eastAsia="Times New Roman"/>
                <w:sz w:val="20"/>
                <w:szCs w:val="20"/>
              </w:rPr>
            </w:pPr>
            <w:r>
              <w:rPr>
                <w:rFonts w:eastAsia="Times New Roman"/>
                <w:sz w:val="20"/>
                <w:szCs w:val="20"/>
              </w:rPr>
              <w:t>8.3</w:t>
            </w:r>
          </w:p>
        </w:tc>
        <w:tc>
          <w:tcPr>
            <w:tcW w:w="0" w:type="auto"/>
            <w:shd w:val="clear" w:color="auto" w:fill="CCEEFF"/>
            <w:vAlign w:val="bottom"/>
            <w:hideMark/>
          </w:tcPr>
          <w:p w14:paraId="71244B30"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1865688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568A34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A4D4552" w14:textId="77777777" w:rsidR="00000000" w:rsidRDefault="002F725F">
            <w:pPr>
              <w:jc w:val="right"/>
              <w:rPr>
                <w:rFonts w:eastAsia="Times New Roman"/>
                <w:sz w:val="20"/>
                <w:szCs w:val="20"/>
              </w:rPr>
            </w:pPr>
            <w:r>
              <w:rPr>
                <w:rFonts w:eastAsia="Times New Roman"/>
                <w:sz w:val="20"/>
                <w:szCs w:val="20"/>
              </w:rPr>
              <w:t>9.6</w:t>
            </w:r>
          </w:p>
        </w:tc>
        <w:tc>
          <w:tcPr>
            <w:tcW w:w="0" w:type="auto"/>
            <w:shd w:val="clear" w:color="auto" w:fill="CCEEFF"/>
            <w:vAlign w:val="bottom"/>
            <w:hideMark/>
          </w:tcPr>
          <w:p w14:paraId="216922CC"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5968B4F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0F24A4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A197A7D" w14:textId="77777777" w:rsidR="00000000" w:rsidRDefault="002F725F">
            <w:pPr>
              <w:jc w:val="right"/>
              <w:rPr>
                <w:rFonts w:eastAsia="Times New Roman"/>
                <w:sz w:val="20"/>
                <w:szCs w:val="20"/>
              </w:rPr>
            </w:pPr>
            <w:r>
              <w:rPr>
                <w:rFonts w:eastAsia="Times New Roman"/>
                <w:sz w:val="20"/>
                <w:szCs w:val="20"/>
              </w:rPr>
              <w:t>39.3</w:t>
            </w:r>
          </w:p>
        </w:tc>
        <w:tc>
          <w:tcPr>
            <w:tcW w:w="0" w:type="auto"/>
            <w:shd w:val="clear" w:color="auto" w:fill="CCEEFF"/>
            <w:vAlign w:val="bottom"/>
            <w:hideMark/>
          </w:tcPr>
          <w:p w14:paraId="0E7CD352"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65C3B65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036573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FBC69EA" w14:textId="77777777" w:rsidR="00000000" w:rsidRDefault="002F725F">
            <w:pPr>
              <w:jc w:val="right"/>
              <w:rPr>
                <w:rFonts w:eastAsia="Times New Roman"/>
                <w:sz w:val="20"/>
                <w:szCs w:val="20"/>
              </w:rPr>
            </w:pPr>
            <w:r>
              <w:rPr>
                <w:rFonts w:eastAsia="Times New Roman"/>
                <w:sz w:val="20"/>
                <w:szCs w:val="20"/>
              </w:rPr>
              <w:t>35.2</w:t>
            </w:r>
          </w:p>
        </w:tc>
        <w:tc>
          <w:tcPr>
            <w:tcW w:w="0" w:type="auto"/>
            <w:shd w:val="clear" w:color="auto" w:fill="CCEEFF"/>
            <w:vAlign w:val="bottom"/>
            <w:hideMark/>
          </w:tcPr>
          <w:p w14:paraId="5A3811CB"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340F862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299F46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742381B" w14:textId="77777777" w:rsidR="00000000" w:rsidRDefault="002F725F">
            <w:pPr>
              <w:jc w:val="right"/>
              <w:rPr>
                <w:rFonts w:eastAsia="Times New Roman"/>
                <w:sz w:val="20"/>
                <w:szCs w:val="20"/>
              </w:rPr>
            </w:pPr>
            <w:r>
              <w:rPr>
                <w:rFonts w:eastAsia="Times New Roman"/>
                <w:sz w:val="20"/>
                <w:szCs w:val="20"/>
              </w:rPr>
              <w:t>19.1</w:t>
            </w:r>
          </w:p>
        </w:tc>
        <w:tc>
          <w:tcPr>
            <w:tcW w:w="0" w:type="auto"/>
            <w:shd w:val="clear" w:color="auto" w:fill="CCEEFF"/>
            <w:vAlign w:val="bottom"/>
            <w:hideMark/>
          </w:tcPr>
          <w:p w14:paraId="426F6D74"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47C6C88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008485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8CB6B19" w14:textId="77777777" w:rsidR="00000000" w:rsidRDefault="002F725F">
            <w:pPr>
              <w:jc w:val="right"/>
              <w:rPr>
                <w:rFonts w:eastAsia="Times New Roman"/>
                <w:sz w:val="20"/>
                <w:szCs w:val="20"/>
              </w:rPr>
            </w:pPr>
            <w:r>
              <w:rPr>
                <w:rFonts w:eastAsia="Times New Roman"/>
                <w:sz w:val="20"/>
                <w:szCs w:val="20"/>
              </w:rPr>
              <w:t>11.7</w:t>
            </w:r>
          </w:p>
        </w:tc>
        <w:tc>
          <w:tcPr>
            <w:tcW w:w="0" w:type="auto"/>
            <w:shd w:val="clear" w:color="auto" w:fill="CCEEFF"/>
            <w:vAlign w:val="bottom"/>
            <w:hideMark/>
          </w:tcPr>
          <w:p w14:paraId="3ED87AD8"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11ED855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02212E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63C2B1F" w14:textId="77777777" w:rsidR="00000000" w:rsidRDefault="002F725F">
            <w:pPr>
              <w:jc w:val="right"/>
              <w:rPr>
                <w:rFonts w:eastAsia="Times New Roman"/>
                <w:sz w:val="20"/>
                <w:szCs w:val="20"/>
              </w:rPr>
            </w:pPr>
            <w:r>
              <w:rPr>
                <w:rFonts w:eastAsia="Times New Roman"/>
                <w:sz w:val="20"/>
                <w:szCs w:val="20"/>
              </w:rPr>
              <w:t>37.0</w:t>
            </w:r>
          </w:p>
        </w:tc>
        <w:tc>
          <w:tcPr>
            <w:tcW w:w="0" w:type="auto"/>
            <w:shd w:val="clear" w:color="auto" w:fill="CCEEFF"/>
            <w:vAlign w:val="bottom"/>
            <w:hideMark/>
          </w:tcPr>
          <w:p w14:paraId="1D4EF9C3"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79D07BD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E2BC45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0172FC5" w14:textId="77777777" w:rsidR="00000000" w:rsidRDefault="002F725F">
            <w:pPr>
              <w:jc w:val="right"/>
              <w:rPr>
                <w:rFonts w:eastAsia="Times New Roman"/>
                <w:sz w:val="20"/>
                <w:szCs w:val="20"/>
              </w:rPr>
            </w:pPr>
            <w:r>
              <w:rPr>
                <w:rFonts w:eastAsia="Times New Roman"/>
                <w:sz w:val="20"/>
                <w:szCs w:val="20"/>
              </w:rPr>
              <w:t>16.0</w:t>
            </w:r>
          </w:p>
        </w:tc>
        <w:tc>
          <w:tcPr>
            <w:tcW w:w="0" w:type="auto"/>
            <w:shd w:val="clear" w:color="auto" w:fill="CCEEFF"/>
            <w:vAlign w:val="bottom"/>
            <w:hideMark/>
          </w:tcPr>
          <w:p w14:paraId="149051F7"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7FA5297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E341B8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010F052" w14:textId="77777777" w:rsidR="00000000" w:rsidRDefault="002F725F">
            <w:pPr>
              <w:jc w:val="right"/>
              <w:rPr>
                <w:rFonts w:eastAsia="Times New Roman"/>
                <w:sz w:val="20"/>
                <w:szCs w:val="20"/>
              </w:rPr>
            </w:pPr>
            <w:r>
              <w:rPr>
                <w:rFonts w:eastAsia="Times New Roman"/>
                <w:sz w:val="20"/>
                <w:szCs w:val="20"/>
              </w:rPr>
              <w:t>22.7</w:t>
            </w:r>
          </w:p>
        </w:tc>
        <w:tc>
          <w:tcPr>
            <w:tcW w:w="0" w:type="auto"/>
            <w:shd w:val="clear" w:color="auto" w:fill="CCEEFF"/>
            <w:vAlign w:val="bottom"/>
            <w:hideMark/>
          </w:tcPr>
          <w:p w14:paraId="14E05162"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7C9EDD0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592AA9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6A63FBD" w14:textId="77777777" w:rsidR="00000000" w:rsidRDefault="002F725F">
            <w:pPr>
              <w:jc w:val="right"/>
              <w:rPr>
                <w:rFonts w:eastAsia="Times New Roman"/>
                <w:sz w:val="20"/>
                <w:szCs w:val="20"/>
              </w:rPr>
            </w:pPr>
            <w:r>
              <w:rPr>
                <w:rFonts w:eastAsia="Times New Roman"/>
                <w:sz w:val="20"/>
                <w:szCs w:val="20"/>
              </w:rPr>
              <w:t>21.3</w:t>
            </w:r>
          </w:p>
        </w:tc>
        <w:tc>
          <w:tcPr>
            <w:tcW w:w="0" w:type="auto"/>
            <w:shd w:val="clear" w:color="auto" w:fill="CCEEFF"/>
            <w:vAlign w:val="bottom"/>
            <w:hideMark/>
          </w:tcPr>
          <w:p w14:paraId="02E7FF05"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192F0FA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D77386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1BCB37F" w14:textId="77777777" w:rsidR="00000000" w:rsidRDefault="002F725F">
            <w:pPr>
              <w:jc w:val="right"/>
              <w:rPr>
                <w:rFonts w:eastAsia="Times New Roman"/>
                <w:sz w:val="20"/>
                <w:szCs w:val="20"/>
              </w:rPr>
            </w:pPr>
            <w:r>
              <w:rPr>
                <w:rFonts w:eastAsia="Times New Roman"/>
                <w:sz w:val="20"/>
                <w:szCs w:val="20"/>
              </w:rPr>
              <w:t>21.9</w:t>
            </w:r>
          </w:p>
        </w:tc>
        <w:tc>
          <w:tcPr>
            <w:tcW w:w="0" w:type="auto"/>
            <w:shd w:val="clear" w:color="auto" w:fill="CCEEFF"/>
            <w:vAlign w:val="bottom"/>
            <w:hideMark/>
          </w:tcPr>
          <w:p w14:paraId="5F3ED950"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0923CB8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D43980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52B9E1A" w14:textId="77777777" w:rsidR="00000000" w:rsidRDefault="002F725F">
            <w:pPr>
              <w:jc w:val="right"/>
              <w:rPr>
                <w:rFonts w:eastAsia="Times New Roman"/>
                <w:sz w:val="20"/>
                <w:szCs w:val="20"/>
              </w:rPr>
            </w:pPr>
            <w:r>
              <w:rPr>
                <w:rFonts w:eastAsia="Times New Roman"/>
                <w:sz w:val="20"/>
                <w:szCs w:val="20"/>
              </w:rPr>
              <w:t>27.4</w:t>
            </w:r>
          </w:p>
        </w:tc>
        <w:tc>
          <w:tcPr>
            <w:tcW w:w="0" w:type="auto"/>
            <w:shd w:val="clear" w:color="auto" w:fill="CCEEFF"/>
            <w:vAlign w:val="bottom"/>
            <w:hideMark/>
          </w:tcPr>
          <w:p w14:paraId="555D44AE" w14:textId="77777777" w:rsidR="00000000" w:rsidRDefault="002F725F">
            <w:pPr>
              <w:rPr>
                <w:rFonts w:eastAsia="Times New Roman"/>
                <w:sz w:val="20"/>
                <w:szCs w:val="20"/>
              </w:rPr>
            </w:pPr>
            <w:r>
              <w:rPr>
                <w:rFonts w:eastAsia="Times New Roman"/>
                <w:sz w:val="20"/>
                <w:szCs w:val="20"/>
              </w:rPr>
              <w:t>%</w:t>
            </w:r>
          </w:p>
        </w:tc>
      </w:tr>
      <w:tr w:rsidR="002F725F" w14:paraId="5FE63E6C" w14:textId="77777777">
        <w:trPr>
          <w:divId w:val="415980837"/>
        </w:trPr>
        <w:tc>
          <w:tcPr>
            <w:tcW w:w="0" w:type="auto"/>
            <w:shd w:val="clear" w:color="auto" w:fill="FFFFFF"/>
            <w:tcMar>
              <w:top w:w="0" w:type="dxa"/>
              <w:left w:w="180" w:type="dxa"/>
              <w:bottom w:w="0" w:type="dxa"/>
              <w:right w:w="0" w:type="dxa"/>
            </w:tcMar>
            <w:vAlign w:val="bottom"/>
            <w:hideMark/>
          </w:tcPr>
          <w:p w14:paraId="5C340860" w14:textId="77777777" w:rsidR="00000000" w:rsidRDefault="002F725F">
            <w:pPr>
              <w:ind w:hanging="180"/>
              <w:rPr>
                <w:rFonts w:eastAsia="Times New Roman"/>
                <w:sz w:val="20"/>
                <w:szCs w:val="20"/>
              </w:rPr>
            </w:pPr>
            <w:r>
              <w:rPr>
                <w:rFonts w:eastAsia="Times New Roman"/>
                <w:sz w:val="20"/>
                <w:szCs w:val="20"/>
              </w:rPr>
              <w:t>Sanofi</w:t>
            </w:r>
          </w:p>
        </w:tc>
        <w:tc>
          <w:tcPr>
            <w:tcW w:w="0" w:type="auto"/>
            <w:shd w:val="clear" w:color="auto" w:fill="FFFFFF"/>
            <w:vAlign w:val="bottom"/>
            <w:hideMark/>
          </w:tcPr>
          <w:p w14:paraId="533242F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A409DE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BF69763" w14:textId="77777777" w:rsidR="00000000" w:rsidRDefault="002F725F">
            <w:pPr>
              <w:jc w:val="right"/>
              <w:rPr>
                <w:rFonts w:eastAsia="Times New Roman"/>
                <w:sz w:val="20"/>
                <w:szCs w:val="20"/>
              </w:rPr>
            </w:pPr>
            <w:r>
              <w:rPr>
                <w:rFonts w:eastAsia="Times New Roman"/>
                <w:sz w:val="20"/>
                <w:szCs w:val="20"/>
              </w:rPr>
              <w:t>4.8</w:t>
            </w:r>
          </w:p>
        </w:tc>
        <w:tc>
          <w:tcPr>
            <w:tcW w:w="0" w:type="auto"/>
            <w:shd w:val="clear" w:color="auto" w:fill="FFFFFF"/>
            <w:vAlign w:val="bottom"/>
            <w:hideMark/>
          </w:tcPr>
          <w:p w14:paraId="2E1A7D18"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493DCA2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281EC9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D5F8C85" w14:textId="77777777" w:rsidR="00000000" w:rsidRDefault="002F725F">
            <w:pPr>
              <w:jc w:val="right"/>
              <w:rPr>
                <w:rFonts w:eastAsia="Times New Roman"/>
                <w:sz w:val="20"/>
                <w:szCs w:val="20"/>
              </w:rPr>
            </w:pPr>
            <w:r>
              <w:rPr>
                <w:rFonts w:eastAsia="Times New Roman"/>
                <w:sz w:val="20"/>
                <w:szCs w:val="20"/>
              </w:rPr>
              <w:t>15.7</w:t>
            </w:r>
          </w:p>
        </w:tc>
        <w:tc>
          <w:tcPr>
            <w:tcW w:w="0" w:type="auto"/>
            <w:shd w:val="clear" w:color="auto" w:fill="FFFFFF"/>
            <w:vAlign w:val="bottom"/>
            <w:hideMark/>
          </w:tcPr>
          <w:p w14:paraId="459E8E5A"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6EC7E9D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6629A1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FBE8588" w14:textId="77777777" w:rsidR="00000000" w:rsidRDefault="002F725F">
            <w:pPr>
              <w:jc w:val="right"/>
              <w:rPr>
                <w:rFonts w:eastAsia="Times New Roman"/>
                <w:sz w:val="20"/>
                <w:szCs w:val="20"/>
              </w:rPr>
            </w:pPr>
            <w:r>
              <w:rPr>
                <w:rFonts w:eastAsia="Times New Roman"/>
                <w:sz w:val="20"/>
                <w:szCs w:val="20"/>
              </w:rPr>
              <w:t>6.7</w:t>
            </w:r>
          </w:p>
        </w:tc>
        <w:tc>
          <w:tcPr>
            <w:tcW w:w="0" w:type="auto"/>
            <w:shd w:val="clear" w:color="auto" w:fill="FFFFFF"/>
            <w:vAlign w:val="bottom"/>
            <w:hideMark/>
          </w:tcPr>
          <w:p w14:paraId="1B155AB8"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1D46140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47BC39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B0C1ACD" w14:textId="77777777" w:rsidR="00000000" w:rsidRDefault="002F725F">
            <w:pPr>
              <w:jc w:val="right"/>
              <w:rPr>
                <w:rFonts w:eastAsia="Times New Roman"/>
                <w:sz w:val="20"/>
                <w:szCs w:val="20"/>
              </w:rPr>
            </w:pPr>
            <w:r>
              <w:rPr>
                <w:rFonts w:eastAsia="Times New Roman"/>
                <w:sz w:val="20"/>
                <w:szCs w:val="20"/>
              </w:rPr>
              <w:t>7.9</w:t>
            </w:r>
          </w:p>
        </w:tc>
        <w:tc>
          <w:tcPr>
            <w:tcW w:w="0" w:type="auto"/>
            <w:shd w:val="clear" w:color="auto" w:fill="FFFFFF"/>
            <w:vAlign w:val="bottom"/>
            <w:hideMark/>
          </w:tcPr>
          <w:p w14:paraId="5A6D1039"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25144E2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707C44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002A168" w14:textId="77777777" w:rsidR="00000000" w:rsidRDefault="002F725F">
            <w:pPr>
              <w:jc w:val="right"/>
              <w:rPr>
                <w:rFonts w:eastAsia="Times New Roman"/>
                <w:sz w:val="20"/>
                <w:szCs w:val="20"/>
              </w:rPr>
            </w:pPr>
            <w:r>
              <w:rPr>
                <w:rFonts w:eastAsia="Times New Roman"/>
                <w:sz w:val="20"/>
                <w:szCs w:val="20"/>
              </w:rPr>
              <w:t>5.6</w:t>
            </w:r>
          </w:p>
        </w:tc>
        <w:tc>
          <w:tcPr>
            <w:tcW w:w="0" w:type="auto"/>
            <w:shd w:val="clear" w:color="auto" w:fill="FFFFFF"/>
            <w:vAlign w:val="bottom"/>
            <w:hideMark/>
          </w:tcPr>
          <w:p w14:paraId="1FF6C7AF"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5957413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36CCC9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FF29EBD" w14:textId="77777777" w:rsidR="00000000" w:rsidRDefault="002F725F">
            <w:pPr>
              <w:jc w:val="right"/>
              <w:rPr>
                <w:rFonts w:eastAsia="Times New Roman"/>
                <w:sz w:val="20"/>
                <w:szCs w:val="20"/>
              </w:rPr>
            </w:pPr>
            <w:r>
              <w:rPr>
                <w:rFonts w:eastAsia="Times New Roman"/>
                <w:sz w:val="20"/>
                <w:szCs w:val="20"/>
              </w:rPr>
              <w:t>-5.5</w:t>
            </w:r>
          </w:p>
        </w:tc>
        <w:tc>
          <w:tcPr>
            <w:tcW w:w="0" w:type="auto"/>
            <w:shd w:val="clear" w:color="auto" w:fill="FFFFFF"/>
            <w:vAlign w:val="bottom"/>
            <w:hideMark/>
          </w:tcPr>
          <w:p w14:paraId="19C0B498"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10DCEF7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6DC075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2137824" w14:textId="77777777" w:rsidR="00000000" w:rsidRDefault="002F725F">
            <w:pPr>
              <w:jc w:val="right"/>
              <w:rPr>
                <w:rFonts w:eastAsia="Times New Roman"/>
                <w:sz w:val="20"/>
                <w:szCs w:val="20"/>
              </w:rPr>
            </w:pPr>
            <w:r>
              <w:rPr>
                <w:rFonts w:eastAsia="Times New Roman"/>
                <w:sz w:val="20"/>
                <w:szCs w:val="20"/>
              </w:rPr>
              <w:t>19.5</w:t>
            </w:r>
          </w:p>
        </w:tc>
        <w:tc>
          <w:tcPr>
            <w:tcW w:w="0" w:type="auto"/>
            <w:shd w:val="clear" w:color="auto" w:fill="FFFFFF"/>
            <w:vAlign w:val="bottom"/>
            <w:hideMark/>
          </w:tcPr>
          <w:p w14:paraId="7FF4D27E"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6E3C2EA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5D762E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2FA6A2D" w14:textId="77777777" w:rsidR="00000000" w:rsidRDefault="002F725F">
            <w:pPr>
              <w:jc w:val="right"/>
              <w:rPr>
                <w:rFonts w:eastAsia="Times New Roman"/>
                <w:sz w:val="20"/>
                <w:szCs w:val="20"/>
              </w:rPr>
            </w:pPr>
            <w:r>
              <w:rPr>
                <w:rFonts w:eastAsia="Times New Roman"/>
                <w:sz w:val="20"/>
                <w:szCs w:val="20"/>
              </w:rPr>
              <w:t>11.1</w:t>
            </w:r>
          </w:p>
        </w:tc>
        <w:tc>
          <w:tcPr>
            <w:tcW w:w="0" w:type="auto"/>
            <w:shd w:val="clear" w:color="auto" w:fill="FFFFFF"/>
            <w:vAlign w:val="bottom"/>
            <w:hideMark/>
          </w:tcPr>
          <w:p w14:paraId="5BC7F88B"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2196CF2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196EAA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5B50BCC" w14:textId="77777777" w:rsidR="00000000" w:rsidRDefault="002F725F">
            <w:pPr>
              <w:jc w:val="right"/>
              <w:rPr>
                <w:rFonts w:eastAsia="Times New Roman"/>
                <w:sz w:val="20"/>
                <w:szCs w:val="20"/>
              </w:rPr>
            </w:pPr>
            <w:r>
              <w:rPr>
                <w:rFonts w:eastAsia="Times New Roman"/>
                <w:sz w:val="20"/>
                <w:szCs w:val="20"/>
              </w:rPr>
              <w:t>8.2</w:t>
            </w:r>
          </w:p>
        </w:tc>
        <w:tc>
          <w:tcPr>
            <w:tcW w:w="0" w:type="auto"/>
            <w:shd w:val="clear" w:color="auto" w:fill="FFFFFF"/>
            <w:vAlign w:val="bottom"/>
            <w:hideMark/>
          </w:tcPr>
          <w:p w14:paraId="0D923FA5"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3EA048B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611D7D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5931526" w14:textId="77777777" w:rsidR="00000000" w:rsidRDefault="002F725F">
            <w:pPr>
              <w:jc w:val="right"/>
              <w:rPr>
                <w:rFonts w:eastAsia="Times New Roman"/>
                <w:sz w:val="20"/>
                <w:szCs w:val="20"/>
              </w:rPr>
            </w:pPr>
            <w:r>
              <w:rPr>
                <w:rFonts w:eastAsia="Times New Roman"/>
                <w:sz w:val="20"/>
                <w:szCs w:val="20"/>
              </w:rPr>
              <w:t>7.5</w:t>
            </w:r>
          </w:p>
        </w:tc>
        <w:tc>
          <w:tcPr>
            <w:tcW w:w="0" w:type="auto"/>
            <w:shd w:val="clear" w:color="auto" w:fill="FFFFFF"/>
            <w:vAlign w:val="bottom"/>
            <w:hideMark/>
          </w:tcPr>
          <w:p w14:paraId="469F20CE"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61BA5C0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56A10B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10F82CA" w14:textId="77777777" w:rsidR="00000000" w:rsidRDefault="002F725F">
            <w:pPr>
              <w:jc w:val="right"/>
              <w:rPr>
                <w:rFonts w:eastAsia="Times New Roman"/>
                <w:sz w:val="20"/>
                <w:szCs w:val="20"/>
              </w:rPr>
            </w:pPr>
            <w:r>
              <w:rPr>
                <w:rFonts w:eastAsia="Times New Roman"/>
                <w:sz w:val="20"/>
                <w:szCs w:val="20"/>
              </w:rPr>
              <w:t>28.8</w:t>
            </w:r>
          </w:p>
        </w:tc>
        <w:tc>
          <w:tcPr>
            <w:tcW w:w="0" w:type="auto"/>
            <w:shd w:val="clear" w:color="auto" w:fill="FFFFFF"/>
            <w:vAlign w:val="bottom"/>
            <w:hideMark/>
          </w:tcPr>
          <w:p w14:paraId="1B19381B"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318A2A8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C8EDBF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F990818" w14:textId="77777777" w:rsidR="00000000" w:rsidRDefault="002F725F">
            <w:pPr>
              <w:jc w:val="right"/>
              <w:rPr>
                <w:rFonts w:eastAsia="Times New Roman"/>
                <w:sz w:val="20"/>
                <w:szCs w:val="20"/>
              </w:rPr>
            </w:pPr>
            <w:r>
              <w:rPr>
                <w:rFonts w:eastAsia="Times New Roman"/>
                <w:sz w:val="20"/>
                <w:szCs w:val="20"/>
              </w:rPr>
              <w:t>26.8</w:t>
            </w:r>
          </w:p>
        </w:tc>
        <w:tc>
          <w:tcPr>
            <w:tcW w:w="0" w:type="auto"/>
            <w:shd w:val="clear" w:color="auto" w:fill="FFFFFF"/>
            <w:vAlign w:val="bottom"/>
            <w:hideMark/>
          </w:tcPr>
          <w:p w14:paraId="1CD83C24"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2E87E62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E944A8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9FC8613" w14:textId="77777777" w:rsidR="00000000" w:rsidRDefault="002F725F">
            <w:pPr>
              <w:jc w:val="right"/>
              <w:rPr>
                <w:rFonts w:eastAsia="Times New Roman"/>
                <w:sz w:val="20"/>
                <w:szCs w:val="20"/>
              </w:rPr>
            </w:pPr>
            <w:r>
              <w:rPr>
                <w:rFonts w:eastAsia="Times New Roman"/>
                <w:sz w:val="20"/>
                <w:szCs w:val="20"/>
              </w:rPr>
              <w:t>29.8</w:t>
            </w:r>
          </w:p>
        </w:tc>
        <w:tc>
          <w:tcPr>
            <w:tcW w:w="0" w:type="auto"/>
            <w:shd w:val="clear" w:color="auto" w:fill="FFFFFF"/>
            <w:vAlign w:val="bottom"/>
            <w:hideMark/>
          </w:tcPr>
          <w:p w14:paraId="37B036A2"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7E2CB35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3EA518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F457D6F" w14:textId="77777777" w:rsidR="00000000" w:rsidRDefault="002F725F">
            <w:pPr>
              <w:jc w:val="right"/>
              <w:rPr>
                <w:rFonts w:eastAsia="Times New Roman"/>
                <w:sz w:val="20"/>
                <w:szCs w:val="20"/>
              </w:rPr>
            </w:pPr>
            <w:r>
              <w:rPr>
                <w:rFonts w:eastAsia="Times New Roman"/>
                <w:sz w:val="20"/>
                <w:szCs w:val="20"/>
              </w:rPr>
              <w:t>29.9</w:t>
            </w:r>
          </w:p>
        </w:tc>
        <w:tc>
          <w:tcPr>
            <w:tcW w:w="0" w:type="auto"/>
            <w:shd w:val="clear" w:color="auto" w:fill="FFFFFF"/>
            <w:vAlign w:val="bottom"/>
            <w:hideMark/>
          </w:tcPr>
          <w:p w14:paraId="47E9CE4F"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6F9C955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51B543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479F793" w14:textId="77777777" w:rsidR="00000000" w:rsidRDefault="002F725F">
            <w:pPr>
              <w:jc w:val="right"/>
              <w:rPr>
                <w:rFonts w:eastAsia="Times New Roman"/>
                <w:sz w:val="20"/>
                <w:szCs w:val="20"/>
              </w:rPr>
            </w:pPr>
            <w:r>
              <w:rPr>
                <w:rFonts w:eastAsia="Times New Roman"/>
                <w:sz w:val="20"/>
                <w:szCs w:val="20"/>
              </w:rPr>
              <w:t>30.5</w:t>
            </w:r>
          </w:p>
        </w:tc>
        <w:tc>
          <w:tcPr>
            <w:tcW w:w="0" w:type="auto"/>
            <w:shd w:val="clear" w:color="auto" w:fill="FFFFFF"/>
            <w:vAlign w:val="bottom"/>
            <w:hideMark/>
          </w:tcPr>
          <w:p w14:paraId="361BB472" w14:textId="77777777" w:rsidR="00000000" w:rsidRDefault="002F725F">
            <w:pPr>
              <w:rPr>
                <w:rFonts w:eastAsia="Times New Roman"/>
                <w:sz w:val="20"/>
                <w:szCs w:val="20"/>
              </w:rPr>
            </w:pPr>
            <w:r>
              <w:rPr>
                <w:rFonts w:eastAsia="Times New Roman"/>
                <w:sz w:val="20"/>
                <w:szCs w:val="20"/>
              </w:rPr>
              <w:t>%</w:t>
            </w:r>
          </w:p>
        </w:tc>
      </w:tr>
      <w:tr w:rsidR="002F725F" w14:paraId="39E30CC9" w14:textId="77777777">
        <w:trPr>
          <w:divId w:val="415980837"/>
        </w:trPr>
        <w:tc>
          <w:tcPr>
            <w:tcW w:w="0" w:type="auto"/>
            <w:shd w:val="clear" w:color="auto" w:fill="CCEEFF"/>
            <w:tcMar>
              <w:top w:w="0" w:type="dxa"/>
              <w:left w:w="180" w:type="dxa"/>
              <w:bottom w:w="0" w:type="dxa"/>
              <w:right w:w="0" w:type="dxa"/>
            </w:tcMar>
            <w:vAlign w:val="bottom"/>
            <w:hideMark/>
          </w:tcPr>
          <w:p w14:paraId="1EF59A3D" w14:textId="77777777" w:rsidR="00000000" w:rsidRDefault="002F725F">
            <w:pPr>
              <w:ind w:hanging="180"/>
              <w:rPr>
                <w:rFonts w:eastAsia="Times New Roman"/>
                <w:sz w:val="20"/>
                <w:szCs w:val="20"/>
              </w:rPr>
            </w:pPr>
            <w:r>
              <w:rPr>
                <w:rFonts w:eastAsia="Times New Roman"/>
                <w:sz w:val="20"/>
                <w:szCs w:val="20"/>
              </w:rPr>
              <w:t> </w:t>
            </w:r>
          </w:p>
        </w:tc>
        <w:tc>
          <w:tcPr>
            <w:tcW w:w="0" w:type="auto"/>
            <w:shd w:val="clear" w:color="auto" w:fill="CCEEFF"/>
            <w:vAlign w:val="bottom"/>
            <w:hideMark/>
          </w:tcPr>
          <w:p w14:paraId="4F2AEA4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C6B8B8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4D38D30"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42DC1C3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1324EA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200481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FDB6C8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4FDE874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6F77BC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F54D08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3D14E5E"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3FB85F5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F2D60F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AECF86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0038FF7"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03B6E82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AF5B9F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FEC651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AEE0E54"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69A8552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9D697B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886772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9961E2A"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2F0FE29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F7375B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B77F1A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37E7D6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469D4A7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B3F32C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28B5A2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70D5E0F"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76DE368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5DE7AB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3157AD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A16803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7C40BBD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A72B7A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DFCD42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7634BAF"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675B53E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5AEFB9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4F6C9E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AACEBB9"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36DC109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376534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D6537A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F16289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601EFD0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FDE7BF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545AA7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CA85504"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70D25B7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10C868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890D06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6984C46"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6BB2E42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8E6C9D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8DAF12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2619AFD"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5583BC7E" w14:textId="77777777" w:rsidR="00000000" w:rsidRDefault="002F725F">
            <w:pPr>
              <w:rPr>
                <w:rFonts w:eastAsia="Times New Roman"/>
                <w:sz w:val="20"/>
                <w:szCs w:val="20"/>
              </w:rPr>
            </w:pPr>
            <w:r>
              <w:rPr>
                <w:rFonts w:eastAsia="Times New Roman"/>
                <w:sz w:val="20"/>
                <w:szCs w:val="20"/>
              </w:rPr>
              <w:t> </w:t>
            </w:r>
          </w:p>
        </w:tc>
      </w:tr>
      <w:tr w:rsidR="002F725F" w14:paraId="28119589" w14:textId="77777777">
        <w:trPr>
          <w:divId w:val="415980837"/>
        </w:trPr>
        <w:tc>
          <w:tcPr>
            <w:tcW w:w="0" w:type="auto"/>
            <w:shd w:val="clear" w:color="auto" w:fill="FFFFFF"/>
            <w:tcMar>
              <w:top w:w="0" w:type="dxa"/>
              <w:left w:w="180" w:type="dxa"/>
              <w:bottom w:w="0" w:type="dxa"/>
              <w:right w:w="0" w:type="dxa"/>
            </w:tcMar>
            <w:vAlign w:val="bottom"/>
            <w:hideMark/>
          </w:tcPr>
          <w:p w14:paraId="566E3AC8" w14:textId="77777777" w:rsidR="00000000" w:rsidRDefault="002F725F">
            <w:pPr>
              <w:ind w:hanging="180"/>
              <w:rPr>
                <w:rFonts w:eastAsia="Times New Roman"/>
                <w:b/>
                <w:bCs/>
                <w:sz w:val="20"/>
                <w:szCs w:val="20"/>
              </w:rPr>
            </w:pPr>
            <w:r>
              <w:rPr>
                <w:rFonts w:eastAsia="Times New Roman"/>
                <w:b/>
                <w:bCs/>
                <w:sz w:val="20"/>
                <w:szCs w:val="20"/>
              </w:rPr>
              <w:t>Mean</w:t>
            </w:r>
          </w:p>
        </w:tc>
        <w:tc>
          <w:tcPr>
            <w:tcW w:w="0" w:type="auto"/>
            <w:shd w:val="clear" w:color="auto" w:fill="FFFFFF"/>
            <w:vAlign w:val="bottom"/>
            <w:hideMark/>
          </w:tcPr>
          <w:p w14:paraId="5DD1FA99"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5B87A7A8"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7E37BD55" w14:textId="77777777" w:rsidR="00000000" w:rsidRDefault="002F725F">
            <w:pPr>
              <w:jc w:val="right"/>
              <w:rPr>
                <w:rFonts w:eastAsia="Times New Roman"/>
                <w:b/>
                <w:bCs/>
                <w:sz w:val="20"/>
                <w:szCs w:val="20"/>
              </w:rPr>
            </w:pPr>
            <w:r>
              <w:rPr>
                <w:rFonts w:eastAsia="Times New Roman"/>
                <w:b/>
                <w:bCs/>
                <w:sz w:val="20"/>
                <w:szCs w:val="20"/>
              </w:rPr>
              <w:t>-6.2</w:t>
            </w:r>
          </w:p>
        </w:tc>
        <w:tc>
          <w:tcPr>
            <w:tcW w:w="0" w:type="auto"/>
            <w:shd w:val="clear" w:color="auto" w:fill="FFFFFF"/>
            <w:vAlign w:val="bottom"/>
            <w:hideMark/>
          </w:tcPr>
          <w:p w14:paraId="3B6755E6"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FFFFFF"/>
            <w:vAlign w:val="bottom"/>
            <w:hideMark/>
          </w:tcPr>
          <w:p w14:paraId="0657215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57A5BBD9"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0C24601B" w14:textId="77777777" w:rsidR="00000000" w:rsidRDefault="002F725F">
            <w:pPr>
              <w:jc w:val="right"/>
              <w:rPr>
                <w:rFonts w:eastAsia="Times New Roman"/>
                <w:b/>
                <w:bCs/>
                <w:sz w:val="20"/>
                <w:szCs w:val="20"/>
              </w:rPr>
            </w:pPr>
            <w:r>
              <w:rPr>
                <w:rFonts w:eastAsia="Times New Roman"/>
                <w:b/>
                <w:bCs/>
                <w:sz w:val="20"/>
                <w:szCs w:val="20"/>
              </w:rPr>
              <w:t>109.7</w:t>
            </w:r>
          </w:p>
        </w:tc>
        <w:tc>
          <w:tcPr>
            <w:tcW w:w="0" w:type="auto"/>
            <w:shd w:val="clear" w:color="auto" w:fill="FFFFFF"/>
            <w:vAlign w:val="bottom"/>
            <w:hideMark/>
          </w:tcPr>
          <w:p w14:paraId="6A87B157"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FFFFFF"/>
            <w:vAlign w:val="bottom"/>
            <w:hideMark/>
          </w:tcPr>
          <w:p w14:paraId="72AB4605"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2FAA31D7"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2F46E10B" w14:textId="77777777" w:rsidR="00000000" w:rsidRDefault="002F725F">
            <w:pPr>
              <w:jc w:val="right"/>
              <w:rPr>
                <w:rFonts w:eastAsia="Times New Roman"/>
                <w:b/>
                <w:bCs/>
                <w:sz w:val="20"/>
                <w:szCs w:val="20"/>
              </w:rPr>
            </w:pPr>
            <w:r>
              <w:rPr>
                <w:rFonts w:eastAsia="Times New Roman"/>
                <w:b/>
                <w:bCs/>
                <w:sz w:val="20"/>
                <w:szCs w:val="20"/>
              </w:rPr>
              <w:t>13.1</w:t>
            </w:r>
          </w:p>
        </w:tc>
        <w:tc>
          <w:tcPr>
            <w:tcW w:w="0" w:type="auto"/>
            <w:shd w:val="clear" w:color="auto" w:fill="FFFFFF"/>
            <w:vAlign w:val="bottom"/>
            <w:hideMark/>
          </w:tcPr>
          <w:p w14:paraId="4D3437F7"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FFFFFF"/>
            <w:vAlign w:val="bottom"/>
            <w:hideMark/>
          </w:tcPr>
          <w:p w14:paraId="6753D7D1"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168B6C02"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7DBB3E99" w14:textId="77777777" w:rsidR="00000000" w:rsidRDefault="002F725F">
            <w:pPr>
              <w:jc w:val="right"/>
              <w:rPr>
                <w:rFonts w:eastAsia="Times New Roman"/>
                <w:b/>
                <w:bCs/>
                <w:sz w:val="20"/>
                <w:szCs w:val="20"/>
              </w:rPr>
            </w:pPr>
            <w:r>
              <w:rPr>
                <w:rFonts w:eastAsia="Times New Roman"/>
                <w:b/>
                <w:bCs/>
                <w:sz w:val="20"/>
                <w:szCs w:val="20"/>
              </w:rPr>
              <w:t>18.9</w:t>
            </w:r>
          </w:p>
        </w:tc>
        <w:tc>
          <w:tcPr>
            <w:tcW w:w="0" w:type="auto"/>
            <w:shd w:val="clear" w:color="auto" w:fill="FFFFFF"/>
            <w:vAlign w:val="bottom"/>
            <w:hideMark/>
          </w:tcPr>
          <w:p w14:paraId="135D646D"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FFFFFF"/>
            <w:vAlign w:val="bottom"/>
            <w:hideMark/>
          </w:tcPr>
          <w:p w14:paraId="00E2725B"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0A49CED9"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4C9120BE" w14:textId="77777777" w:rsidR="00000000" w:rsidRDefault="002F725F">
            <w:pPr>
              <w:jc w:val="right"/>
              <w:rPr>
                <w:rFonts w:eastAsia="Times New Roman"/>
                <w:b/>
                <w:bCs/>
                <w:sz w:val="20"/>
                <w:szCs w:val="20"/>
              </w:rPr>
            </w:pPr>
            <w:r>
              <w:rPr>
                <w:rFonts w:eastAsia="Times New Roman"/>
                <w:b/>
                <w:bCs/>
                <w:sz w:val="20"/>
                <w:szCs w:val="20"/>
              </w:rPr>
              <w:t>19.4</w:t>
            </w:r>
          </w:p>
        </w:tc>
        <w:tc>
          <w:tcPr>
            <w:tcW w:w="0" w:type="auto"/>
            <w:shd w:val="clear" w:color="auto" w:fill="FFFFFF"/>
            <w:vAlign w:val="bottom"/>
            <w:hideMark/>
          </w:tcPr>
          <w:p w14:paraId="76A1EA0E"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FFFFFF"/>
            <w:vAlign w:val="bottom"/>
            <w:hideMark/>
          </w:tcPr>
          <w:p w14:paraId="3C9D191E"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71D95B74"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3A965CE3" w14:textId="77777777" w:rsidR="00000000" w:rsidRDefault="002F725F">
            <w:pPr>
              <w:jc w:val="right"/>
              <w:rPr>
                <w:rFonts w:eastAsia="Times New Roman"/>
                <w:b/>
                <w:bCs/>
                <w:sz w:val="20"/>
                <w:szCs w:val="20"/>
              </w:rPr>
            </w:pPr>
            <w:r>
              <w:rPr>
                <w:rFonts w:eastAsia="Times New Roman"/>
                <w:b/>
                <w:bCs/>
                <w:sz w:val="20"/>
                <w:szCs w:val="20"/>
              </w:rPr>
              <w:t>16.9</w:t>
            </w:r>
          </w:p>
        </w:tc>
        <w:tc>
          <w:tcPr>
            <w:tcW w:w="0" w:type="auto"/>
            <w:shd w:val="clear" w:color="auto" w:fill="FFFFFF"/>
            <w:vAlign w:val="bottom"/>
            <w:hideMark/>
          </w:tcPr>
          <w:p w14:paraId="35765219"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FFFFFF"/>
            <w:vAlign w:val="bottom"/>
            <w:hideMark/>
          </w:tcPr>
          <w:p w14:paraId="1738569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675D7EBE"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08D43437" w14:textId="77777777" w:rsidR="00000000" w:rsidRDefault="002F725F">
            <w:pPr>
              <w:jc w:val="right"/>
              <w:rPr>
                <w:rFonts w:eastAsia="Times New Roman"/>
                <w:b/>
                <w:bCs/>
                <w:sz w:val="20"/>
                <w:szCs w:val="20"/>
              </w:rPr>
            </w:pPr>
            <w:r>
              <w:rPr>
                <w:rFonts w:eastAsia="Times New Roman"/>
                <w:b/>
                <w:bCs/>
                <w:sz w:val="20"/>
                <w:szCs w:val="20"/>
              </w:rPr>
              <w:t>27.4</w:t>
            </w:r>
          </w:p>
        </w:tc>
        <w:tc>
          <w:tcPr>
            <w:tcW w:w="0" w:type="auto"/>
            <w:shd w:val="clear" w:color="auto" w:fill="FFFFFF"/>
            <w:vAlign w:val="bottom"/>
            <w:hideMark/>
          </w:tcPr>
          <w:p w14:paraId="4FE3D8C1"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FFFFFF"/>
            <w:vAlign w:val="bottom"/>
            <w:hideMark/>
          </w:tcPr>
          <w:p w14:paraId="72FF357C"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43B3B9ED"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60F097E1" w14:textId="77777777" w:rsidR="00000000" w:rsidRDefault="002F725F">
            <w:pPr>
              <w:jc w:val="right"/>
              <w:rPr>
                <w:rFonts w:eastAsia="Times New Roman"/>
                <w:b/>
                <w:bCs/>
                <w:sz w:val="20"/>
                <w:szCs w:val="20"/>
              </w:rPr>
            </w:pPr>
            <w:r>
              <w:rPr>
                <w:rFonts w:eastAsia="Times New Roman"/>
                <w:b/>
                <w:bCs/>
                <w:sz w:val="20"/>
                <w:szCs w:val="20"/>
              </w:rPr>
              <w:t>15.1</w:t>
            </w:r>
          </w:p>
        </w:tc>
        <w:tc>
          <w:tcPr>
            <w:tcW w:w="0" w:type="auto"/>
            <w:shd w:val="clear" w:color="auto" w:fill="FFFFFF"/>
            <w:vAlign w:val="bottom"/>
            <w:hideMark/>
          </w:tcPr>
          <w:p w14:paraId="08FF8A54"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FFFFFF"/>
            <w:vAlign w:val="bottom"/>
            <w:hideMark/>
          </w:tcPr>
          <w:p w14:paraId="4E6A6818"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632847AB"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1B525AFE" w14:textId="77777777" w:rsidR="00000000" w:rsidRDefault="002F725F">
            <w:pPr>
              <w:jc w:val="right"/>
              <w:rPr>
                <w:rFonts w:eastAsia="Times New Roman"/>
                <w:b/>
                <w:bCs/>
                <w:sz w:val="20"/>
                <w:szCs w:val="20"/>
              </w:rPr>
            </w:pPr>
            <w:r>
              <w:rPr>
                <w:rFonts w:eastAsia="Times New Roman"/>
                <w:b/>
                <w:bCs/>
                <w:sz w:val="20"/>
                <w:szCs w:val="20"/>
              </w:rPr>
              <w:t>81.1</w:t>
            </w:r>
          </w:p>
        </w:tc>
        <w:tc>
          <w:tcPr>
            <w:tcW w:w="0" w:type="auto"/>
            <w:shd w:val="clear" w:color="auto" w:fill="FFFFFF"/>
            <w:vAlign w:val="bottom"/>
            <w:hideMark/>
          </w:tcPr>
          <w:p w14:paraId="41797D04"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FFFFFF"/>
            <w:vAlign w:val="bottom"/>
            <w:hideMark/>
          </w:tcPr>
          <w:p w14:paraId="6CBDEBE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4D0EE005"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4EB4EC2B" w14:textId="77777777" w:rsidR="00000000" w:rsidRDefault="002F725F">
            <w:pPr>
              <w:jc w:val="right"/>
              <w:rPr>
                <w:rFonts w:eastAsia="Times New Roman"/>
                <w:b/>
                <w:bCs/>
                <w:sz w:val="20"/>
                <w:szCs w:val="20"/>
              </w:rPr>
            </w:pPr>
            <w:r>
              <w:rPr>
                <w:rFonts w:eastAsia="Times New Roman"/>
                <w:b/>
                <w:bCs/>
                <w:sz w:val="20"/>
                <w:szCs w:val="20"/>
              </w:rPr>
              <w:t>39.4</w:t>
            </w:r>
          </w:p>
        </w:tc>
        <w:tc>
          <w:tcPr>
            <w:tcW w:w="0" w:type="auto"/>
            <w:shd w:val="clear" w:color="auto" w:fill="FFFFFF"/>
            <w:vAlign w:val="bottom"/>
            <w:hideMark/>
          </w:tcPr>
          <w:p w14:paraId="0DD50AFC"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FFFFFF"/>
            <w:vAlign w:val="bottom"/>
            <w:hideMark/>
          </w:tcPr>
          <w:p w14:paraId="41132576"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1690F763"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526F4A6F" w14:textId="77777777" w:rsidR="00000000" w:rsidRDefault="002F725F">
            <w:pPr>
              <w:jc w:val="right"/>
              <w:rPr>
                <w:rFonts w:eastAsia="Times New Roman"/>
                <w:b/>
                <w:bCs/>
                <w:sz w:val="20"/>
                <w:szCs w:val="20"/>
              </w:rPr>
            </w:pPr>
            <w:r>
              <w:rPr>
                <w:rFonts w:eastAsia="Times New Roman"/>
                <w:b/>
                <w:bCs/>
                <w:sz w:val="20"/>
                <w:szCs w:val="20"/>
              </w:rPr>
              <w:t>-51.4</w:t>
            </w:r>
          </w:p>
        </w:tc>
        <w:tc>
          <w:tcPr>
            <w:tcW w:w="0" w:type="auto"/>
            <w:shd w:val="clear" w:color="auto" w:fill="FFFFFF"/>
            <w:vAlign w:val="bottom"/>
            <w:hideMark/>
          </w:tcPr>
          <w:p w14:paraId="12876A61"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FFFFFF"/>
            <w:vAlign w:val="bottom"/>
            <w:hideMark/>
          </w:tcPr>
          <w:p w14:paraId="7008CDD9"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1CCDEA08"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2297F379" w14:textId="77777777" w:rsidR="00000000" w:rsidRDefault="002F725F">
            <w:pPr>
              <w:jc w:val="right"/>
              <w:rPr>
                <w:rFonts w:eastAsia="Times New Roman"/>
                <w:b/>
                <w:bCs/>
                <w:sz w:val="20"/>
                <w:szCs w:val="20"/>
              </w:rPr>
            </w:pPr>
            <w:r>
              <w:rPr>
                <w:rFonts w:eastAsia="Times New Roman"/>
                <w:b/>
                <w:bCs/>
                <w:sz w:val="20"/>
                <w:szCs w:val="20"/>
              </w:rPr>
              <w:t>-2.3</w:t>
            </w:r>
          </w:p>
        </w:tc>
        <w:tc>
          <w:tcPr>
            <w:tcW w:w="0" w:type="auto"/>
            <w:shd w:val="clear" w:color="auto" w:fill="FFFFFF"/>
            <w:vAlign w:val="bottom"/>
            <w:hideMark/>
          </w:tcPr>
          <w:p w14:paraId="3A643622"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FFFFFF"/>
            <w:vAlign w:val="bottom"/>
            <w:hideMark/>
          </w:tcPr>
          <w:p w14:paraId="317D93A3"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3995B386"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3F14F751" w14:textId="77777777" w:rsidR="00000000" w:rsidRDefault="002F725F">
            <w:pPr>
              <w:jc w:val="right"/>
              <w:rPr>
                <w:rFonts w:eastAsia="Times New Roman"/>
                <w:b/>
                <w:bCs/>
                <w:sz w:val="20"/>
                <w:szCs w:val="20"/>
              </w:rPr>
            </w:pPr>
            <w:r>
              <w:rPr>
                <w:rFonts w:eastAsia="Times New Roman"/>
                <w:b/>
                <w:bCs/>
                <w:sz w:val="20"/>
                <w:szCs w:val="20"/>
              </w:rPr>
              <w:t>21.5</w:t>
            </w:r>
          </w:p>
        </w:tc>
        <w:tc>
          <w:tcPr>
            <w:tcW w:w="0" w:type="auto"/>
            <w:shd w:val="clear" w:color="auto" w:fill="FFFFFF"/>
            <w:vAlign w:val="bottom"/>
            <w:hideMark/>
          </w:tcPr>
          <w:p w14:paraId="2260BDE3"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FFFFFF"/>
            <w:vAlign w:val="bottom"/>
            <w:hideMark/>
          </w:tcPr>
          <w:p w14:paraId="746170AC"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592C741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196D7423" w14:textId="77777777" w:rsidR="00000000" w:rsidRDefault="002F725F">
            <w:pPr>
              <w:jc w:val="right"/>
              <w:rPr>
                <w:rFonts w:eastAsia="Times New Roman"/>
                <w:b/>
                <w:bCs/>
                <w:sz w:val="20"/>
                <w:szCs w:val="20"/>
              </w:rPr>
            </w:pPr>
            <w:r>
              <w:rPr>
                <w:rFonts w:eastAsia="Times New Roman"/>
                <w:b/>
                <w:bCs/>
                <w:sz w:val="20"/>
                <w:szCs w:val="20"/>
              </w:rPr>
              <w:t>27.5</w:t>
            </w:r>
          </w:p>
        </w:tc>
        <w:tc>
          <w:tcPr>
            <w:tcW w:w="0" w:type="auto"/>
            <w:shd w:val="clear" w:color="auto" w:fill="FFFFFF"/>
            <w:vAlign w:val="bottom"/>
            <w:hideMark/>
          </w:tcPr>
          <w:p w14:paraId="170D32E4"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FFFFFF"/>
            <w:vAlign w:val="bottom"/>
            <w:hideMark/>
          </w:tcPr>
          <w:p w14:paraId="706615F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17649279"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0853F038" w14:textId="77777777" w:rsidR="00000000" w:rsidRDefault="002F725F">
            <w:pPr>
              <w:jc w:val="right"/>
              <w:rPr>
                <w:rFonts w:eastAsia="Times New Roman"/>
                <w:b/>
                <w:bCs/>
                <w:sz w:val="20"/>
                <w:szCs w:val="20"/>
              </w:rPr>
            </w:pPr>
            <w:r>
              <w:rPr>
                <w:rFonts w:eastAsia="Times New Roman"/>
                <w:b/>
                <w:bCs/>
                <w:sz w:val="20"/>
                <w:szCs w:val="20"/>
              </w:rPr>
              <w:t>31.7</w:t>
            </w:r>
          </w:p>
        </w:tc>
        <w:tc>
          <w:tcPr>
            <w:tcW w:w="0" w:type="auto"/>
            <w:shd w:val="clear" w:color="auto" w:fill="FFFFFF"/>
            <w:vAlign w:val="bottom"/>
            <w:hideMark/>
          </w:tcPr>
          <w:p w14:paraId="17335A08" w14:textId="77777777" w:rsidR="00000000" w:rsidRDefault="002F725F">
            <w:pPr>
              <w:rPr>
                <w:rFonts w:eastAsia="Times New Roman"/>
                <w:b/>
                <w:bCs/>
                <w:sz w:val="20"/>
                <w:szCs w:val="20"/>
              </w:rPr>
            </w:pPr>
            <w:r>
              <w:rPr>
                <w:rFonts w:eastAsia="Times New Roman"/>
                <w:b/>
                <w:bCs/>
                <w:sz w:val="20"/>
                <w:szCs w:val="20"/>
              </w:rPr>
              <w:t>%</w:t>
            </w:r>
          </w:p>
        </w:tc>
      </w:tr>
      <w:tr w:rsidR="002F725F" w14:paraId="4080E4F2" w14:textId="77777777">
        <w:trPr>
          <w:divId w:val="415980837"/>
        </w:trPr>
        <w:tc>
          <w:tcPr>
            <w:tcW w:w="0" w:type="auto"/>
            <w:shd w:val="clear" w:color="auto" w:fill="CCEEFF"/>
            <w:tcMar>
              <w:top w:w="0" w:type="dxa"/>
              <w:left w:w="180" w:type="dxa"/>
              <w:bottom w:w="30" w:type="dxa"/>
              <w:right w:w="0" w:type="dxa"/>
            </w:tcMar>
            <w:vAlign w:val="bottom"/>
            <w:hideMark/>
          </w:tcPr>
          <w:p w14:paraId="45A27E30" w14:textId="77777777" w:rsidR="00000000" w:rsidRDefault="002F725F">
            <w:pPr>
              <w:ind w:hanging="180"/>
              <w:rPr>
                <w:rFonts w:eastAsia="Times New Roman"/>
                <w:b/>
                <w:bCs/>
                <w:sz w:val="20"/>
                <w:szCs w:val="20"/>
              </w:rPr>
            </w:pPr>
            <w:r>
              <w:rPr>
                <w:rFonts w:eastAsia="Times New Roman"/>
                <w:b/>
                <w:bCs/>
                <w:sz w:val="20"/>
                <w:szCs w:val="20"/>
              </w:rPr>
              <w:t>Median</w:t>
            </w:r>
          </w:p>
        </w:tc>
        <w:tc>
          <w:tcPr>
            <w:tcW w:w="0" w:type="auto"/>
            <w:shd w:val="clear" w:color="auto" w:fill="CCEEFF"/>
            <w:tcMar>
              <w:top w:w="0" w:type="dxa"/>
              <w:left w:w="0" w:type="dxa"/>
              <w:bottom w:w="30" w:type="dxa"/>
              <w:right w:w="0" w:type="dxa"/>
            </w:tcMar>
            <w:vAlign w:val="bottom"/>
            <w:hideMark/>
          </w:tcPr>
          <w:p w14:paraId="05CFD3FA"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1103DDD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5C612CAF" w14:textId="77777777" w:rsidR="00000000" w:rsidRDefault="002F725F">
            <w:pPr>
              <w:jc w:val="right"/>
              <w:rPr>
                <w:rFonts w:eastAsia="Times New Roman"/>
                <w:b/>
                <w:bCs/>
                <w:sz w:val="20"/>
                <w:szCs w:val="20"/>
              </w:rPr>
            </w:pPr>
            <w:r>
              <w:rPr>
                <w:rFonts w:eastAsia="Times New Roman"/>
                <w:b/>
                <w:bCs/>
                <w:sz w:val="20"/>
                <w:szCs w:val="20"/>
              </w:rPr>
              <w:t>2.8</w:t>
            </w:r>
          </w:p>
        </w:tc>
        <w:tc>
          <w:tcPr>
            <w:tcW w:w="0" w:type="auto"/>
            <w:shd w:val="clear" w:color="auto" w:fill="CCEEFF"/>
            <w:tcMar>
              <w:top w:w="0" w:type="dxa"/>
              <w:left w:w="0" w:type="dxa"/>
              <w:bottom w:w="30" w:type="dxa"/>
              <w:right w:w="0" w:type="dxa"/>
            </w:tcMar>
            <w:vAlign w:val="bottom"/>
            <w:hideMark/>
          </w:tcPr>
          <w:p w14:paraId="16FC114A"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5F3003F2"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5014405E"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33F62DBE" w14:textId="77777777" w:rsidR="00000000" w:rsidRDefault="002F725F">
            <w:pPr>
              <w:jc w:val="right"/>
              <w:rPr>
                <w:rFonts w:eastAsia="Times New Roman"/>
                <w:b/>
                <w:bCs/>
                <w:sz w:val="20"/>
                <w:szCs w:val="20"/>
              </w:rPr>
            </w:pPr>
            <w:r>
              <w:rPr>
                <w:rFonts w:eastAsia="Times New Roman"/>
                <w:b/>
                <w:bCs/>
                <w:sz w:val="20"/>
                <w:szCs w:val="20"/>
              </w:rPr>
              <w:t>22.7</w:t>
            </w:r>
          </w:p>
        </w:tc>
        <w:tc>
          <w:tcPr>
            <w:tcW w:w="0" w:type="auto"/>
            <w:shd w:val="clear" w:color="auto" w:fill="CCEEFF"/>
            <w:tcMar>
              <w:top w:w="0" w:type="dxa"/>
              <w:left w:w="0" w:type="dxa"/>
              <w:bottom w:w="30" w:type="dxa"/>
              <w:right w:w="0" w:type="dxa"/>
            </w:tcMar>
            <w:vAlign w:val="bottom"/>
            <w:hideMark/>
          </w:tcPr>
          <w:p w14:paraId="06459277"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36109ACD"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360F6D76"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08E70A2F" w14:textId="77777777" w:rsidR="00000000" w:rsidRDefault="002F725F">
            <w:pPr>
              <w:jc w:val="right"/>
              <w:rPr>
                <w:rFonts w:eastAsia="Times New Roman"/>
                <w:b/>
                <w:bCs/>
                <w:sz w:val="20"/>
                <w:szCs w:val="20"/>
              </w:rPr>
            </w:pPr>
            <w:r>
              <w:rPr>
                <w:rFonts w:eastAsia="Times New Roman"/>
                <w:b/>
                <w:bCs/>
                <w:sz w:val="20"/>
                <w:szCs w:val="20"/>
              </w:rPr>
              <w:t>12.7</w:t>
            </w:r>
          </w:p>
        </w:tc>
        <w:tc>
          <w:tcPr>
            <w:tcW w:w="0" w:type="auto"/>
            <w:shd w:val="clear" w:color="auto" w:fill="CCEEFF"/>
            <w:tcMar>
              <w:top w:w="0" w:type="dxa"/>
              <w:left w:w="0" w:type="dxa"/>
              <w:bottom w:w="30" w:type="dxa"/>
              <w:right w:w="0" w:type="dxa"/>
            </w:tcMar>
            <w:vAlign w:val="bottom"/>
            <w:hideMark/>
          </w:tcPr>
          <w:p w14:paraId="227E5709"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63DDC351"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D9AEC77"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B6E7C9A" w14:textId="77777777" w:rsidR="00000000" w:rsidRDefault="002F725F">
            <w:pPr>
              <w:jc w:val="right"/>
              <w:rPr>
                <w:rFonts w:eastAsia="Times New Roman"/>
                <w:b/>
                <w:bCs/>
                <w:sz w:val="20"/>
                <w:szCs w:val="20"/>
              </w:rPr>
            </w:pPr>
            <w:r>
              <w:rPr>
                <w:rFonts w:eastAsia="Times New Roman"/>
                <w:b/>
                <w:bCs/>
                <w:sz w:val="20"/>
                <w:szCs w:val="20"/>
              </w:rPr>
              <w:t>8.3</w:t>
            </w:r>
          </w:p>
        </w:tc>
        <w:tc>
          <w:tcPr>
            <w:tcW w:w="0" w:type="auto"/>
            <w:shd w:val="clear" w:color="auto" w:fill="CCEEFF"/>
            <w:tcMar>
              <w:top w:w="0" w:type="dxa"/>
              <w:left w:w="0" w:type="dxa"/>
              <w:bottom w:w="30" w:type="dxa"/>
              <w:right w:w="0" w:type="dxa"/>
            </w:tcMar>
            <w:vAlign w:val="bottom"/>
            <w:hideMark/>
          </w:tcPr>
          <w:p w14:paraId="68AF04F2"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1D5DB26D"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2E92B267"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CD2D2BD" w14:textId="77777777" w:rsidR="00000000" w:rsidRDefault="002F725F">
            <w:pPr>
              <w:jc w:val="right"/>
              <w:rPr>
                <w:rFonts w:eastAsia="Times New Roman"/>
                <w:b/>
                <w:bCs/>
                <w:sz w:val="20"/>
                <w:szCs w:val="20"/>
              </w:rPr>
            </w:pPr>
            <w:r>
              <w:rPr>
                <w:rFonts w:eastAsia="Times New Roman"/>
                <w:b/>
                <w:bCs/>
                <w:sz w:val="20"/>
                <w:szCs w:val="20"/>
              </w:rPr>
              <w:t>9.6</w:t>
            </w:r>
          </w:p>
        </w:tc>
        <w:tc>
          <w:tcPr>
            <w:tcW w:w="0" w:type="auto"/>
            <w:shd w:val="clear" w:color="auto" w:fill="CCEEFF"/>
            <w:tcMar>
              <w:top w:w="0" w:type="dxa"/>
              <w:left w:w="0" w:type="dxa"/>
              <w:bottom w:w="30" w:type="dxa"/>
              <w:right w:w="0" w:type="dxa"/>
            </w:tcMar>
            <w:vAlign w:val="bottom"/>
            <w:hideMark/>
          </w:tcPr>
          <w:p w14:paraId="4EEB74C6"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39EBC126"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245D93E4"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34FF5770" w14:textId="77777777" w:rsidR="00000000" w:rsidRDefault="002F725F">
            <w:pPr>
              <w:jc w:val="right"/>
              <w:rPr>
                <w:rFonts w:eastAsia="Times New Roman"/>
                <w:b/>
                <w:bCs/>
                <w:sz w:val="20"/>
                <w:szCs w:val="20"/>
              </w:rPr>
            </w:pPr>
            <w:r>
              <w:rPr>
                <w:rFonts w:eastAsia="Times New Roman"/>
                <w:b/>
                <w:bCs/>
                <w:sz w:val="20"/>
                <w:szCs w:val="20"/>
              </w:rPr>
              <w:t>16.9</w:t>
            </w:r>
          </w:p>
        </w:tc>
        <w:tc>
          <w:tcPr>
            <w:tcW w:w="0" w:type="auto"/>
            <w:shd w:val="clear" w:color="auto" w:fill="CCEEFF"/>
            <w:tcMar>
              <w:top w:w="0" w:type="dxa"/>
              <w:left w:w="0" w:type="dxa"/>
              <w:bottom w:w="30" w:type="dxa"/>
              <w:right w:w="0" w:type="dxa"/>
            </w:tcMar>
            <w:vAlign w:val="bottom"/>
            <w:hideMark/>
          </w:tcPr>
          <w:p w14:paraId="42CA33B6"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622EA6A8"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32BC5732"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7E69DCAC" w14:textId="77777777" w:rsidR="00000000" w:rsidRDefault="002F725F">
            <w:pPr>
              <w:jc w:val="right"/>
              <w:rPr>
                <w:rFonts w:eastAsia="Times New Roman"/>
                <w:b/>
                <w:bCs/>
                <w:sz w:val="20"/>
                <w:szCs w:val="20"/>
              </w:rPr>
            </w:pPr>
            <w:r>
              <w:rPr>
                <w:rFonts w:eastAsia="Times New Roman"/>
                <w:b/>
                <w:bCs/>
                <w:sz w:val="20"/>
                <w:szCs w:val="20"/>
              </w:rPr>
              <w:t>27.4</w:t>
            </w:r>
          </w:p>
        </w:tc>
        <w:tc>
          <w:tcPr>
            <w:tcW w:w="0" w:type="auto"/>
            <w:shd w:val="clear" w:color="auto" w:fill="CCEEFF"/>
            <w:tcMar>
              <w:top w:w="0" w:type="dxa"/>
              <w:left w:w="0" w:type="dxa"/>
              <w:bottom w:w="30" w:type="dxa"/>
              <w:right w:w="0" w:type="dxa"/>
            </w:tcMar>
            <w:vAlign w:val="bottom"/>
            <w:hideMark/>
          </w:tcPr>
          <w:p w14:paraId="3E43A593"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4433D23E"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13156633"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36FE658E" w14:textId="77777777" w:rsidR="00000000" w:rsidRDefault="002F725F">
            <w:pPr>
              <w:jc w:val="right"/>
              <w:rPr>
                <w:rFonts w:eastAsia="Times New Roman"/>
                <w:b/>
                <w:bCs/>
                <w:sz w:val="20"/>
                <w:szCs w:val="20"/>
              </w:rPr>
            </w:pPr>
            <w:r>
              <w:rPr>
                <w:rFonts w:eastAsia="Times New Roman"/>
                <w:b/>
                <w:bCs/>
                <w:sz w:val="20"/>
                <w:szCs w:val="20"/>
              </w:rPr>
              <w:t>15.1</w:t>
            </w:r>
          </w:p>
        </w:tc>
        <w:tc>
          <w:tcPr>
            <w:tcW w:w="0" w:type="auto"/>
            <w:shd w:val="clear" w:color="auto" w:fill="CCEEFF"/>
            <w:tcMar>
              <w:top w:w="0" w:type="dxa"/>
              <w:left w:w="0" w:type="dxa"/>
              <w:bottom w:w="30" w:type="dxa"/>
              <w:right w:w="0" w:type="dxa"/>
            </w:tcMar>
            <w:vAlign w:val="bottom"/>
            <w:hideMark/>
          </w:tcPr>
          <w:p w14:paraId="588AC6CF"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5EF9E55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33DF2067"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11EAF04E" w14:textId="77777777" w:rsidR="00000000" w:rsidRDefault="002F725F">
            <w:pPr>
              <w:jc w:val="right"/>
              <w:rPr>
                <w:rFonts w:eastAsia="Times New Roman"/>
                <w:b/>
                <w:bCs/>
                <w:sz w:val="20"/>
                <w:szCs w:val="20"/>
              </w:rPr>
            </w:pPr>
            <w:r>
              <w:rPr>
                <w:rFonts w:eastAsia="Times New Roman"/>
                <w:b/>
                <w:bCs/>
                <w:sz w:val="20"/>
                <w:szCs w:val="20"/>
              </w:rPr>
              <w:t>11.7</w:t>
            </w:r>
          </w:p>
        </w:tc>
        <w:tc>
          <w:tcPr>
            <w:tcW w:w="0" w:type="auto"/>
            <w:shd w:val="clear" w:color="auto" w:fill="CCEEFF"/>
            <w:tcMar>
              <w:top w:w="0" w:type="dxa"/>
              <w:left w:w="0" w:type="dxa"/>
              <w:bottom w:w="30" w:type="dxa"/>
              <w:right w:w="0" w:type="dxa"/>
            </w:tcMar>
            <w:vAlign w:val="bottom"/>
            <w:hideMark/>
          </w:tcPr>
          <w:p w14:paraId="7D118E7D"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25944D6B"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56ACD06"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2D484023" w14:textId="77777777" w:rsidR="00000000" w:rsidRDefault="002F725F">
            <w:pPr>
              <w:jc w:val="right"/>
              <w:rPr>
                <w:rFonts w:eastAsia="Times New Roman"/>
                <w:b/>
                <w:bCs/>
                <w:sz w:val="20"/>
                <w:szCs w:val="20"/>
              </w:rPr>
            </w:pPr>
            <w:r>
              <w:rPr>
                <w:rFonts w:eastAsia="Times New Roman"/>
                <w:b/>
                <w:bCs/>
                <w:sz w:val="20"/>
                <w:szCs w:val="20"/>
              </w:rPr>
              <w:t>37.0</w:t>
            </w:r>
          </w:p>
        </w:tc>
        <w:tc>
          <w:tcPr>
            <w:tcW w:w="0" w:type="auto"/>
            <w:shd w:val="clear" w:color="auto" w:fill="CCEEFF"/>
            <w:tcMar>
              <w:top w:w="0" w:type="dxa"/>
              <w:left w:w="0" w:type="dxa"/>
              <w:bottom w:w="30" w:type="dxa"/>
              <w:right w:w="0" w:type="dxa"/>
            </w:tcMar>
            <w:vAlign w:val="bottom"/>
            <w:hideMark/>
          </w:tcPr>
          <w:p w14:paraId="47D15A34"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457E4E6A"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199303F7"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380BCAD6" w14:textId="77777777" w:rsidR="00000000" w:rsidRDefault="002F725F">
            <w:pPr>
              <w:jc w:val="right"/>
              <w:rPr>
                <w:rFonts w:eastAsia="Times New Roman"/>
                <w:b/>
                <w:bCs/>
                <w:sz w:val="20"/>
                <w:szCs w:val="20"/>
              </w:rPr>
            </w:pPr>
            <w:r>
              <w:rPr>
                <w:rFonts w:eastAsia="Times New Roman"/>
                <w:b/>
                <w:bCs/>
                <w:sz w:val="20"/>
                <w:szCs w:val="20"/>
              </w:rPr>
              <w:t>-23.3</w:t>
            </w:r>
          </w:p>
        </w:tc>
        <w:tc>
          <w:tcPr>
            <w:tcW w:w="0" w:type="auto"/>
            <w:shd w:val="clear" w:color="auto" w:fill="CCEEFF"/>
            <w:tcMar>
              <w:top w:w="0" w:type="dxa"/>
              <w:left w:w="0" w:type="dxa"/>
              <w:bottom w:w="30" w:type="dxa"/>
              <w:right w:w="0" w:type="dxa"/>
            </w:tcMar>
            <w:vAlign w:val="bottom"/>
            <w:hideMark/>
          </w:tcPr>
          <w:p w14:paraId="37713EBF"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0E80F869"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04C69184"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50C91F5D" w14:textId="77777777" w:rsidR="00000000" w:rsidRDefault="002F725F">
            <w:pPr>
              <w:jc w:val="right"/>
              <w:rPr>
                <w:rFonts w:eastAsia="Times New Roman"/>
                <w:b/>
                <w:bCs/>
                <w:sz w:val="20"/>
                <w:szCs w:val="20"/>
              </w:rPr>
            </w:pPr>
            <w:r>
              <w:rPr>
                <w:rFonts w:eastAsia="Times New Roman"/>
                <w:b/>
                <w:bCs/>
                <w:sz w:val="20"/>
                <w:szCs w:val="20"/>
              </w:rPr>
              <w:t>-3.4</w:t>
            </w:r>
          </w:p>
        </w:tc>
        <w:tc>
          <w:tcPr>
            <w:tcW w:w="0" w:type="auto"/>
            <w:shd w:val="clear" w:color="auto" w:fill="CCEEFF"/>
            <w:tcMar>
              <w:top w:w="0" w:type="dxa"/>
              <w:left w:w="0" w:type="dxa"/>
              <w:bottom w:w="30" w:type="dxa"/>
              <w:right w:w="0" w:type="dxa"/>
            </w:tcMar>
            <w:vAlign w:val="bottom"/>
            <w:hideMark/>
          </w:tcPr>
          <w:p w14:paraId="4EC50548"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77687478"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7D490D36"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768CC6ED" w14:textId="77777777" w:rsidR="00000000" w:rsidRDefault="002F725F">
            <w:pPr>
              <w:jc w:val="right"/>
              <w:rPr>
                <w:rFonts w:eastAsia="Times New Roman"/>
                <w:b/>
                <w:bCs/>
                <w:sz w:val="20"/>
                <w:szCs w:val="20"/>
              </w:rPr>
            </w:pPr>
            <w:r>
              <w:rPr>
                <w:rFonts w:eastAsia="Times New Roman"/>
                <w:b/>
                <w:bCs/>
                <w:sz w:val="20"/>
                <w:szCs w:val="20"/>
              </w:rPr>
              <w:t>21.3</w:t>
            </w:r>
          </w:p>
        </w:tc>
        <w:tc>
          <w:tcPr>
            <w:tcW w:w="0" w:type="auto"/>
            <w:shd w:val="clear" w:color="auto" w:fill="CCEEFF"/>
            <w:tcMar>
              <w:top w:w="0" w:type="dxa"/>
              <w:left w:w="0" w:type="dxa"/>
              <w:bottom w:w="30" w:type="dxa"/>
              <w:right w:w="0" w:type="dxa"/>
            </w:tcMar>
            <w:vAlign w:val="bottom"/>
            <w:hideMark/>
          </w:tcPr>
          <w:p w14:paraId="11B86B1C"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6AF1D222"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5A174EB2"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B32F5AE" w14:textId="77777777" w:rsidR="00000000" w:rsidRDefault="002F725F">
            <w:pPr>
              <w:jc w:val="right"/>
              <w:rPr>
                <w:rFonts w:eastAsia="Times New Roman"/>
                <w:b/>
                <w:bCs/>
                <w:sz w:val="20"/>
                <w:szCs w:val="20"/>
              </w:rPr>
            </w:pPr>
            <w:r>
              <w:rPr>
                <w:rFonts w:eastAsia="Times New Roman"/>
                <w:b/>
                <w:bCs/>
                <w:sz w:val="20"/>
                <w:szCs w:val="20"/>
              </w:rPr>
              <w:t>29.9</w:t>
            </w:r>
          </w:p>
        </w:tc>
        <w:tc>
          <w:tcPr>
            <w:tcW w:w="0" w:type="auto"/>
            <w:shd w:val="clear" w:color="auto" w:fill="CCEEFF"/>
            <w:tcMar>
              <w:top w:w="0" w:type="dxa"/>
              <w:left w:w="0" w:type="dxa"/>
              <w:bottom w:w="30" w:type="dxa"/>
              <w:right w:w="0" w:type="dxa"/>
            </w:tcMar>
            <w:vAlign w:val="bottom"/>
            <w:hideMark/>
          </w:tcPr>
          <w:p w14:paraId="7D07E714"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3338E66C"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28EC9653"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tcMar>
              <w:top w:w="0" w:type="dxa"/>
              <w:left w:w="0" w:type="dxa"/>
              <w:bottom w:w="30" w:type="dxa"/>
              <w:right w:w="0" w:type="dxa"/>
            </w:tcMar>
            <w:vAlign w:val="bottom"/>
            <w:hideMark/>
          </w:tcPr>
          <w:p w14:paraId="174FC6DF" w14:textId="77777777" w:rsidR="00000000" w:rsidRDefault="002F725F">
            <w:pPr>
              <w:jc w:val="right"/>
              <w:rPr>
                <w:rFonts w:eastAsia="Times New Roman"/>
                <w:b/>
                <w:bCs/>
                <w:sz w:val="20"/>
                <w:szCs w:val="20"/>
              </w:rPr>
            </w:pPr>
            <w:r>
              <w:rPr>
                <w:rFonts w:eastAsia="Times New Roman"/>
                <w:b/>
                <w:bCs/>
                <w:sz w:val="20"/>
                <w:szCs w:val="20"/>
              </w:rPr>
              <w:t>30.5</w:t>
            </w:r>
          </w:p>
        </w:tc>
        <w:tc>
          <w:tcPr>
            <w:tcW w:w="0" w:type="auto"/>
            <w:shd w:val="clear" w:color="auto" w:fill="CCEEFF"/>
            <w:tcMar>
              <w:top w:w="0" w:type="dxa"/>
              <w:left w:w="0" w:type="dxa"/>
              <w:bottom w:w="30" w:type="dxa"/>
              <w:right w:w="0" w:type="dxa"/>
            </w:tcMar>
            <w:vAlign w:val="bottom"/>
            <w:hideMark/>
          </w:tcPr>
          <w:p w14:paraId="6A8D0EE2" w14:textId="77777777" w:rsidR="00000000" w:rsidRDefault="002F725F">
            <w:pPr>
              <w:rPr>
                <w:rFonts w:eastAsia="Times New Roman"/>
                <w:b/>
                <w:bCs/>
                <w:sz w:val="20"/>
                <w:szCs w:val="20"/>
              </w:rPr>
            </w:pPr>
            <w:r>
              <w:rPr>
                <w:rFonts w:eastAsia="Times New Roman"/>
                <w:b/>
                <w:bCs/>
                <w:sz w:val="20"/>
                <w:szCs w:val="20"/>
              </w:rPr>
              <w:t>%</w:t>
            </w:r>
          </w:p>
        </w:tc>
      </w:tr>
      <w:tr w:rsidR="002F725F" w14:paraId="18759A78" w14:textId="77777777">
        <w:trPr>
          <w:divId w:val="415980837"/>
        </w:trPr>
        <w:tc>
          <w:tcPr>
            <w:tcW w:w="0" w:type="auto"/>
            <w:shd w:val="clear" w:color="auto" w:fill="FFFFFF"/>
            <w:tcMar>
              <w:top w:w="0" w:type="dxa"/>
              <w:left w:w="180" w:type="dxa"/>
              <w:bottom w:w="0" w:type="dxa"/>
              <w:right w:w="0" w:type="dxa"/>
            </w:tcMar>
            <w:vAlign w:val="bottom"/>
            <w:hideMark/>
          </w:tcPr>
          <w:p w14:paraId="2BDBE085" w14:textId="77777777" w:rsidR="00000000" w:rsidRDefault="002F725F">
            <w:pPr>
              <w:ind w:hanging="180"/>
              <w:rPr>
                <w:rFonts w:eastAsia="Times New Roman"/>
                <w:sz w:val="20"/>
                <w:szCs w:val="20"/>
              </w:rPr>
            </w:pPr>
            <w:r>
              <w:rPr>
                <w:rFonts w:eastAsia="Times New Roman"/>
                <w:sz w:val="20"/>
                <w:szCs w:val="20"/>
              </w:rPr>
              <w:t> </w:t>
            </w:r>
          </w:p>
        </w:tc>
        <w:tc>
          <w:tcPr>
            <w:tcW w:w="0" w:type="auto"/>
            <w:shd w:val="clear" w:color="auto" w:fill="FFFFFF"/>
            <w:vAlign w:val="bottom"/>
            <w:hideMark/>
          </w:tcPr>
          <w:p w14:paraId="2D41288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7BCB78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DDAADBB"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2947D56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3D2643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95AD09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C0034ED"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1EFB317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5A5025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656825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FD418AD"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06C39E7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9A2C0D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3CD369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2B374E7"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7998910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D0125A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00DEBE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11FE958"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1047821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255FA1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767AFA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FCB5498"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76790F6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D50C78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F022E5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1B8022A"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1B37E13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9C7102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4C2C17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E83E4C3"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54EC0F7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F192C9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3D105E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4DB8559"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74975D6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DE8245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DC726A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C2290AF"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3515767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36DCA5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5F7ED5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358902C"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379FCE1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8B2F81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4E5589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D853DF9"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7BA7697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086361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7D55F2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FAF41DD"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317EA31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242665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85C128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F3FD4D4"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7ED4B8A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1BCF7B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97937D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A5F608A"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08073B2B" w14:textId="77777777" w:rsidR="00000000" w:rsidRDefault="002F725F">
            <w:pPr>
              <w:rPr>
                <w:rFonts w:eastAsia="Times New Roman"/>
                <w:sz w:val="20"/>
                <w:szCs w:val="20"/>
              </w:rPr>
            </w:pPr>
            <w:r>
              <w:rPr>
                <w:rFonts w:eastAsia="Times New Roman"/>
                <w:sz w:val="20"/>
                <w:szCs w:val="20"/>
              </w:rPr>
              <w:t> </w:t>
            </w:r>
          </w:p>
        </w:tc>
      </w:tr>
      <w:tr w:rsidR="002F725F" w14:paraId="53E42379" w14:textId="77777777">
        <w:trPr>
          <w:divId w:val="415980837"/>
        </w:trPr>
        <w:tc>
          <w:tcPr>
            <w:tcW w:w="0" w:type="auto"/>
            <w:shd w:val="clear" w:color="auto" w:fill="CCEEFF"/>
            <w:tcMar>
              <w:top w:w="0" w:type="dxa"/>
              <w:left w:w="180" w:type="dxa"/>
              <w:bottom w:w="30" w:type="dxa"/>
              <w:right w:w="0" w:type="dxa"/>
            </w:tcMar>
            <w:vAlign w:val="bottom"/>
            <w:hideMark/>
          </w:tcPr>
          <w:p w14:paraId="72B3A9C2" w14:textId="77777777" w:rsidR="00000000" w:rsidRDefault="002F725F">
            <w:pPr>
              <w:ind w:hanging="180"/>
              <w:rPr>
                <w:rFonts w:eastAsia="Times New Roman"/>
                <w:b/>
                <w:bCs/>
                <w:sz w:val="20"/>
                <w:szCs w:val="20"/>
              </w:rPr>
            </w:pPr>
            <w:r>
              <w:rPr>
                <w:rFonts w:eastAsia="Times New Roman"/>
                <w:b/>
                <w:bCs/>
                <w:sz w:val="20"/>
                <w:szCs w:val="20"/>
              </w:rPr>
              <w:t>The Company</w:t>
            </w:r>
          </w:p>
        </w:tc>
        <w:tc>
          <w:tcPr>
            <w:tcW w:w="0" w:type="auto"/>
            <w:shd w:val="clear" w:color="auto" w:fill="CCEEFF"/>
            <w:tcMar>
              <w:top w:w="0" w:type="dxa"/>
              <w:left w:w="0" w:type="dxa"/>
              <w:bottom w:w="30" w:type="dxa"/>
              <w:right w:w="0" w:type="dxa"/>
            </w:tcMar>
            <w:vAlign w:val="bottom"/>
            <w:hideMark/>
          </w:tcPr>
          <w:p w14:paraId="71847235"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011E497A"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01F5884B" w14:textId="77777777" w:rsidR="00000000" w:rsidRDefault="002F725F">
            <w:pPr>
              <w:jc w:val="right"/>
              <w:rPr>
                <w:rFonts w:eastAsia="Times New Roman"/>
                <w:b/>
                <w:bCs/>
                <w:sz w:val="20"/>
                <w:szCs w:val="20"/>
              </w:rPr>
            </w:pPr>
            <w:r>
              <w:rPr>
                <w:rFonts w:eastAsia="Times New Roman"/>
                <w:b/>
                <w:bCs/>
                <w:sz w:val="20"/>
                <w:szCs w:val="20"/>
              </w:rPr>
              <w:t>-5.4</w:t>
            </w:r>
          </w:p>
        </w:tc>
        <w:tc>
          <w:tcPr>
            <w:tcW w:w="0" w:type="auto"/>
            <w:shd w:val="clear" w:color="auto" w:fill="CCEEFF"/>
            <w:tcMar>
              <w:top w:w="0" w:type="dxa"/>
              <w:left w:w="0" w:type="dxa"/>
              <w:bottom w:w="30" w:type="dxa"/>
              <w:right w:w="0" w:type="dxa"/>
            </w:tcMar>
            <w:vAlign w:val="bottom"/>
            <w:hideMark/>
          </w:tcPr>
          <w:p w14:paraId="437A56DA"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4762B19C"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3044990C"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52B02000" w14:textId="77777777" w:rsidR="00000000" w:rsidRDefault="002F725F">
            <w:pPr>
              <w:jc w:val="right"/>
              <w:rPr>
                <w:rFonts w:eastAsia="Times New Roman"/>
                <w:b/>
                <w:bCs/>
                <w:sz w:val="20"/>
                <w:szCs w:val="20"/>
              </w:rPr>
            </w:pPr>
            <w:r>
              <w:rPr>
                <w:rFonts w:eastAsia="Times New Roman"/>
                <w:b/>
                <w:bCs/>
                <w:sz w:val="20"/>
                <w:szCs w:val="20"/>
                <w:u w:val="single"/>
              </w:rPr>
              <w:t>NA</w:t>
            </w:r>
          </w:p>
        </w:tc>
        <w:tc>
          <w:tcPr>
            <w:tcW w:w="0" w:type="auto"/>
            <w:shd w:val="clear" w:color="auto" w:fill="CCEEFF"/>
            <w:tcMar>
              <w:top w:w="0" w:type="dxa"/>
              <w:left w:w="0" w:type="dxa"/>
              <w:bottom w:w="30" w:type="dxa"/>
              <w:right w:w="0" w:type="dxa"/>
            </w:tcMar>
            <w:vAlign w:val="bottom"/>
            <w:hideMark/>
          </w:tcPr>
          <w:p w14:paraId="49C87425"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tcMar>
              <w:top w:w="0" w:type="dxa"/>
              <w:left w:w="0" w:type="dxa"/>
              <w:bottom w:w="30" w:type="dxa"/>
              <w:right w:w="0" w:type="dxa"/>
            </w:tcMar>
            <w:vAlign w:val="bottom"/>
            <w:hideMark/>
          </w:tcPr>
          <w:p w14:paraId="2A1C889C"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23B181FE"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6BD4C563" w14:textId="77777777" w:rsidR="00000000" w:rsidRDefault="002F725F">
            <w:pPr>
              <w:jc w:val="right"/>
              <w:rPr>
                <w:rFonts w:eastAsia="Times New Roman"/>
                <w:b/>
                <w:bCs/>
                <w:sz w:val="20"/>
                <w:szCs w:val="20"/>
              </w:rPr>
            </w:pPr>
            <w:r>
              <w:rPr>
                <w:rFonts w:eastAsia="Times New Roman"/>
                <w:b/>
                <w:bCs/>
                <w:sz w:val="20"/>
                <w:szCs w:val="20"/>
              </w:rPr>
              <w:t>-16.0</w:t>
            </w:r>
          </w:p>
        </w:tc>
        <w:tc>
          <w:tcPr>
            <w:tcW w:w="0" w:type="auto"/>
            <w:shd w:val="clear" w:color="auto" w:fill="CCEEFF"/>
            <w:tcMar>
              <w:top w:w="0" w:type="dxa"/>
              <w:left w:w="0" w:type="dxa"/>
              <w:bottom w:w="30" w:type="dxa"/>
              <w:right w:w="0" w:type="dxa"/>
            </w:tcMar>
            <w:vAlign w:val="bottom"/>
            <w:hideMark/>
          </w:tcPr>
          <w:p w14:paraId="5CA5582E"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4E34C83C"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59F2725F"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51A98C7" w14:textId="77777777" w:rsidR="00000000" w:rsidRDefault="002F725F">
            <w:pPr>
              <w:jc w:val="right"/>
              <w:rPr>
                <w:rFonts w:eastAsia="Times New Roman"/>
                <w:b/>
                <w:bCs/>
                <w:sz w:val="20"/>
                <w:szCs w:val="20"/>
              </w:rPr>
            </w:pPr>
            <w:r>
              <w:rPr>
                <w:rFonts w:eastAsia="Times New Roman"/>
                <w:b/>
                <w:bCs/>
                <w:sz w:val="20"/>
                <w:szCs w:val="20"/>
              </w:rPr>
              <w:t>0.2</w:t>
            </w:r>
          </w:p>
        </w:tc>
        <w:tc>
          <w:tcPr>
            <w:tcW w:w="0" w:type="auto"/>
            <w:shd w:val="clear" w:color="auto" w:fill="CCEEFF"/>
            <w:tcMar>
              <w:top w:w="0" w:type="dxa"/>
              <w:left w:w="0" w:type="dxa"/>
              <w:bottom w:w="30" w:type="dxa"/>
              <w:right w:w="0" w:type="dxa"/>
            </w:tcMar>
            <w:vAlign w:val="bottom"/>
            <w:hideMark/>
          </w:tcPr>
          <w:p w14:paraId="2863E435"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1B369DE6"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19542F76"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DAD9077" w14:textId="77777777" w:rsidR="00000000" w:rsidRDefault="002F725F">
            <w:pPr>
              <w:jc w:val="right"/>
              <w:rPr>
                <w:rFonts w:eastAsia="Times New Roman"/>
                <w:b/>
                <w:bCs/>
                <w:sz w:val="20"/>
                <w:szCs w:val="20"/>
              </w:rPr>
            </w:pPr>
            <w:r>
              <w:rPr>
                <w:rFonts w:eastAsia="Times New Roman"/>
                <w:b/>
                <w:bCs/>
                <w:sz w:val="20"/>
                <w:szCs w:val="20"/>
              </w:rPr>
              <w:t>0.6</w:t>
            </w:r>
          </w:p>
        </w:tc>
        <w:tc>
          <w:tcPr>
            <w:tcW w:w="0" w:type="auto"/>
            <w:shd w:val="clear" w:color="auto" w:fill="CCEEFF"/>
            <w:tcMar>
              <w:top w:w="0" w:type="dxa"/>
              <w:left w:w="0" w:type="dxa"/>
              <w:bottom w:w="30" w:type="dxa"/>
              <w:right w:w="0" w:type="dxa"/>
            </w:tcMar>
            <w:vAlign w:val="bottom"/>
            <w:hideMark/>
          </w:tcPr>
          <w:p w14:paraId="168C13D4"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16E16364"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5FAEAFB8"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B980F1E" w14:textId="77777777" w:rsidR="00000000" w:rsidRDefault="002F725F">
            <w:pPr>
              <w:jc w:val="right"/>
              <w:rPr>
                <w:rFonts w:eastAsia="Times New Roman"/>
                <w:b/>
                <w:bCs/>
                <w:sz w:val="20"/>
                <w:szCs w:val="20"/>
              </w:rPr>
            </w:pPr>
            <w:r>
              <w:rPr>
                <w:rFonts w:eastAsia="Times New Roman"/>
                <w:b/>
                <w:bCs/>
                <w:sz w:val="20"/>
                <w:szCs w:val="20"/>
                <w:u w:val="single"/>
              </w:rPr>
              <w:t>NM</w:t>
            </w:r>
          </w:p>
        </w:tc>
        <w:tc>
          <w:tcPr>
            <w:tcW w:w="0" w:type="auto"/>
            <w:shd w:val="clear" w:color="auto" w:fill="CCEEFF"/>
            <w:tcMar>
              <w:top w:w="0" w:type="dxa"/>
              <w:left w:w="0" w:type="dxa"/>
              <w:bottom w:w="30" w:type="dxa"/>
              <w:right w:w="0" w:type="dxa"/>
            </w:tcMar>
            <w:vAlign w:val="bottom"/>
            <w:hideMark/>
          </w:tcPr>
          <w:p w14:paraId="2388D39B"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tcMar>
              <w:top w:w="0" w:type="dxa"/>
              <w:left w:w="0" w:type="dxa"/>
              <w:bottom w:w="30" w:type="dxa"/>
              <w:right w:w="0" w:type="dxa"/>
            </w:tcMar>
            <w:vAlign w:val="bottom"/>
            <w:hideMark/>
          </w:tcPr>
          <w:p w14:paraId="532AB5C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288B7BCA"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0A18C396" w14:textId="77777777" w:rsidR="00000000" w:rsidRDefault="002F725F">
            <w:pPr>
              <w:jc w:val="right"/>
              <w:rPr>
                <w:rFonts w:eastAsia="Times New Roman"/>
                <w:b/>
                <w:bCs/>
                <w:sz w:val="20"/>
                <w:szCs w:val="20"/>
              </w:rPr>
            </w:pPr>
            <w:r>
              <w:rPr>
                <w:rFonts w:eastAsia="Times New Roman"/>
                <w:b/>
                <w:bCs/>
                <w:sz w:val="20"/>
                <w:szCs w:val="20"/>
                <w:u w:val="single"/>
              </w:rPr>
              <w:t>NA</w:t>
            </w:r>
          </w:p>
        </w:tc>
        <w:tc>
          <w:tcPr>
            <w:tcW w:w="0" w:type="auto"/>
            <w:shd w:val="clear" w:color="auto" w:fill="CCEEFF"/>
            <w:tcMar>
              <w:top w:w="0" w:type="dxa"/>
              <w:left w:w="0" w:type="dxa"/>
              <w:bottom w:w="30" w:type="dxa"/>
              <w:right w:w="0" w:type="dxa"/>
            </w:tcMar>
            <w:vAlign w:val="bottom"/>
            <w:hideMark/>
          </w:tcPr>
          <w:p w14:paraId="731404BE"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tcMar>
              <w:top w:w="0" w:type="dxa"/>
              <w:left w:w="0" w:type="dxa"/>
              <w:bottom w:w="30" w:type="dxa"/>
              <w:right w:w="0" w:type="dxa"/>
            </w:tcMar>
            <w:vAlign w:val="bottom"/>
            <w:hideMark/>
          </w:tcPr>
          <w:p w14:paraId="6206D027"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3A6C4DFF"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67F903B4" w14:textId="77777777" w:rsidR="00000000" w:rsidRDefault="002F725F">
            <w:pPr>
              <w:jc w:val="right"/>
              <w:rPr>
                <w:rFonts w:eastAsia="Times New Roman"/>
                <w:b/>
                <w:bCs/>
                <w:sz w:val="20"/>
                <w:szCs w:val="20"/>
              </w:rPr>
            </w:pPr>
            <w:r>
              <w:rPr>
                <w:rFonts w:eastAsia="Times New Roman"/>
                <w:b/>
                <w:bCs/>
                <w:sz w:val="20"/>
                <w:szCs w:val="20"/>
                <w:u w:val="single"/>
              </w:rPr>
              <w:t>NM</w:t>
            </w:r>
          </w:p>
        </w:tc>
        <w:tc>
          <w:tcPr>
            <w:tcW w:w="0" w:type="auto"/>
            <w:shd w:val="clear" w:color="auto" w:fill="CCEEFF"/>
            <w:tcMar>
              <w:top w:w="0" w:type="dxa"/>
              <w:left w:w="0" w:type="dxa"/>
              <w:bottom w:w="30" w:type="dxa"/>
              <w:right w:w="0" w:type="dxa"/>
            </w:tcMar>
            <w:vAlign w:val="bottom"/>
            <w:hideMark/>
          </w:tcPr>
          <w:p w14:paraId="571008F3"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tcMar>
              <w:top w:w="0" w:type="dxa"/>
              <w:left w:w="0" w:type="dxa"/>
              <w:bottom w:w="30" w:type="dxa"/>
              <w:right w:w="0" w:type="dxa"/>
            </w:tcMar>
            <w:vAlign w:val="bottom"/>
            <w:hideMark/>
          </w:tcPr>
          <w:p w14:paraId="1D343616"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770B9B5E"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135459E4" w14:textId="77777777" w:rsidR="00000000" w:rsidRDefault="002F725F">
            <w:pPr>
              <w:jc w:val="right"/>
              <w:rPr>
                <w:rFonts w:eastAsia="Times New Roman"/>
                <w:b/>
                <w:bCs/>
                <w:sz w:val="20"/>
                <w:szCs w:val="20"/>
              </w:rPr>
            </w:pPr>
            <w:r>
              <w:rPr>
                <w:rFonts w:eastAsia="Times New Roman"/>
                <w:b/>
                <w:bCs/>
                <w:sz w:val="20"/>
                <w:szCs w:val="20"/>
                <w:u w:val="single"/>
              </w:rPr>
              <w:t>NM</w:t>
            </w:r>
          </w:p>
        </w:tc>
        <w:tc>
          <w:tcPr>
            <w:tcW w:w="0" w:type="auto"/>
            <w:shd w:val="clear" w:color="auto" w:fill="CCEEFF"/>
            <w:tcMar>
              <w:top w:w="0" w:type="dxa"/>
              <w:left w:w="0" w:type="dxa"/>
              <w:bottom w:w="30" w:type="dxa"/>
              <w:right w:w="0" w:type="dxa"/>
            </w:tcMar>
            <w:vAlign w:val="bottom"/>
            <w:hideMark/>
          </w:tcPr>
          <w:p w14:paraId="2609334E"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tcMar>
              <w:top w:w="0" w:type="dxa"/>
              <w:left w:w="0" w:type="dxa"/>
              <w:bottom w:w="30" w:type="dxa"/>
              <w:right w:w="0" w:type="dxa"/>
            </w:tcMar>
            <w:vAlign w:val="bottom"/>
            <w:hideMark/>
          </w:tcPr>
          <w:p w14:paraId="4A020902"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B206B1E"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35BA2C20" w14:textId="77777777" w:rsidR="00000000" w:rsidRDefault="002F725F">
            <w:pPr>
              <w:jc w:val="right"/>
              <w:rPr>
                <w:rFonts w:eastAsia="Times New Roman"/>
                <w:b/>
                <w:bCs/>
                <w:sz w:val="20"/>
                <w:szCs w:val="20"/>
              </w:rPr>
            </w:pPr>
            <w:r>
              <w:rPr>
                <w:rFonts w:eastAsia="Times New Roman"/>
                <w:b/>
                <w:bCs/>
                <w:sz w:val="20"/>
                <w:szCs w:val="20"/>
              </w:rPr>
              <w:t>39.0</w:t>
            </w:r>
          </w:p>
        </w:tc>
        <w:tc>
          <w:tcPr>
            <w:tcW w:w="0" w:type="auto"/>
            <w:shd w:val="clear" w:color="auto" w:fill="CCEEFF"/>
            <w:tcMar>
              <w:top w:w="0" w:type="dxa"/>
              <w:left w:w="0" w:type="dxa"/>
              <w:bottom w:w="30" w:type="dxa"/>
              <w:right w:w="0" w:type="dxa"/>
            </w:tcMar>
            <w:vAlign w:val="bottom"/>
            <w:hideMark/>
          </w:tcPr>
          <w:p w14:paraId="423B9361"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0291BC38"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2BEE6ADD"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748674CE" w14:textId="77777777" w:rsidR="00000000" w:rsidRDefault="002F725F">
            <w:pPr>
              <w:jc w:val="right"/>
              <w:rPr>
                <w:rFonts w:eastAsia="Times New Roman"/>
                <w:b/>
                <w:bCs/>
                <w:sz w:val="20"/>
                <w:szCs w:val="20"/>
              </w:rPr>
            </w:pPr>
            <w:r>
              <w:rPr>
                <w:rFonts w:eastAsia="Times New Roman"/>
                <w:b/>
                <w:bCs/>
                <w:sz w:val="20"/>
                <w:szCs w:val="20"/>
              </w:rPr>
              <w:t>-17.9</w:t>
            </w:r>
          </w:p>
        </w:tc>
        <w:tc>
          <w:tcPr>
            <w:tcW w:w="0" w:type="auto"/>
            <w:shd w:val="clear" w:color="auto" w:fill="CCEEFF"/>
            <w:tcMar>
              <w:top w:w="0" w:type="dxa"/>
              <w:left w:w="0" w:type="dxa"/>
              <w:bottom w:w="30" w:type="dxa"/>
              <w:right w:w="0" w:type="dxa"/>
            </w:tcMar>
            <w:vAlign w:val="bottom"/>
            <w:hideMark/>
          </w:tcPr>
          <w:p w14:paraId="653BEF7B"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475F2A35"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28E31C01"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2BB629A8" w14:textId="77777777" w:rsidR="00000000" w:rsidRDefault="002F725F">
            <w:pPr>
              <w:jc w:val="right"/>
              <w:rPr>
                <w:rFonts w:eastAsia="Times New Roman"/>
                <w:b/>
                <w:bCs/>
                <w:sz w:val="20"/>
                <w:szCs w:val="20"/>
              </w:rPr>
            </w:pPr>
            <w:r>
              <w:rPr>
                <w:rFonts w:eastAsia="Times New Roman"/>
                <w:b/>
                <w:bCs/>
                <w:sz w:val="20"/>
                <w:szCs w:val="20"/>
              </w:rPr>
              <w:t>-11.8</w:t>
            </w:r>
          </w:p>
        </w:tc>
        <w:tc>
          <w:tcPr>
            <w:tcW w:w="0" w:type="auto"/>
            <w:shd w:val="clear" w:color="auto" w:fill="CCEEFF"/>
            <w:tcMar>
              <w:top w:w="0" w:type="dxa"/>
              <w:left w:w="0" w:type="dxa"/>
              <w:bottom w:w="30" w:type="dxa"/>
              <w:right w:w="0" w:type="dxa"/>
            </w:tcMar>
            <w:vAlign w:val="bottom"/>
            <w:hideMark/>
          </w:tcPr>
          <w:p w14:paraId="0668DCF7"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7FF1956A"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71FE11B8"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3AFAB6C1" w14:textId="77777777" w:rsidR="00000000" w:rsidRDefault="002F725F">
            <w:pPr>
              <w:jc w:val="right"/>
              <w:rPr>
                <w:rFonts w:eastAsia="Times New Roman"/>
                <w:b/>
                <w:bCs/>
                <w:sz w:val="20"/>
                <w:szCs w:val="20"/>
              </w:rPr>
            </w:pPr>
            <w:r>
              <w:rPr>
                <w:rFonts w:eastAsia="Times New Roman"/>
                <w:b/>
                <w:bCs/>
                <w:sz w:val="20"/>
                <w:szCs w:val="20"/>
              </w:rPr>
              <w:t>-0.7</w:t>
            </w:r>
          </w:p>
        </w:tc>
        <w:tc>
          <w:tcPr>
            <w:tcW w:w="0" w:type="auto"/>
            <w:shd w:val="clear" w:color="auto" w:fill="CCEEFF"/>
            <w:tcMar>
              <w:top w:w="0" w:type="dxa"/>
              <w:left w:w="0" w:type="dxa"/>
              <w:bottom w:w="30" w:type="dxa"/>
              <w:right w:w="0" w:type="dxa"/>
            </w:tcMar>
            <w:vAlign w:val="bottom"/>
            <w:hideMark/>
          </w:tcPr>
          <w:p w14:paraId="3F41EE25"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5F59C7B9"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124FEC96"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1F33EAF2" w14:textId="77777777" w:rsidR="00000000" w:rsidRDefault="002F725F">
            <w:pPr>
              <w:jc w:val="right"/>
              <w:rPr>
                <w:rFonts w:eastAsia="Times New Roman"/>
                <w:b/>
                <w:bCs/>
                <w:sz w:val="20"/>
                <w:szCs w:val="20"/>
              </w:rPr>
            </w:pPr>
            <w:r>
              <w:rPr>
                <w:rFonts w:eastAsia="Times New Roman"/>
                <w:b/>
                <w:bCs/>
                <w:sz w:val="20"/>
                <w:szCs w:val="20"/>
              </w:rPr>
              <w:t>8.3</w:t>
            </w:r>
          </w:p>
        </w:tc>
        <w:tc>
          <w:tcPr>
            <w:tcW w:w="0" w:type="auto"/>
            <w:shd w:val="clear" w:color="auto" w:fill="CCEEFF"/>
            <w:tcMar>
              <w:top w:w="0" w:type="dxa"/>
              <w:left w:w="0" w:type="dxa"/>
              <w:bottom w:w="30" w:type="dxa"/>
              <w:right w:w="0" w:type="dxa"/>
            </w:tcMar>
            <w:vAlign w:val="bottom"/>
            <w:hideMark/>
          </w:tcPr>
          <w:p w14:paraId="25C8FF16"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CCEEFF"/>
            <w:tcMar>
              <w:top w:w="0" w:type="dxa"/>
              <w:left w:w="0" w:type="dxa"/>
              <w:bottom w:w="30" w:type="dxa"/>
              <w:right w:w="0" w:type="dxa"/>
            </w:tcMar>
            <w:vAlign w:val="bottom"/>
            <w:hideMark/>
          </w:tcPr>
          <w:p w14:paraId="2AEEB92C"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2342A015"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E0409F7" w14:textId="77777777" w:rsidR="00000000" w:rsidRDefault="002F725F">
            <w:pPr>
              <w:jc w:val="right"/>
              <w:rPr>
                <w:rFonts w:eastAsia="Times New Roman"/>
                <w:b/>
                <w:bCs/>
                <w:sz w:val="20"/>
                <w:szCs w:val="20"/>
              </w:rPr>
            </w:pPr>
            <w:r>
              <w:rPr>
                <w:rFonts w:eastAsia="Times New Roman"/>
                <w:b/>
                <w:bCs/>
                <w:sz w:val="20"/>
                <w:szCs w:val="20"/>
              </w:rPr>
              <w:t>11.5</w:t>
            </w:r>
          </w:p>
        </w:tc>
        <w:tc>
          <w:tcPr>
            <w:tcW w:w="0" w:type="auto"/>
            <w:shd w:val="clear" w:color="auto" w:fill="CCEEFF"/>
            <w:tcMar>
              <w:top w:w="0" w:type="dxa"/>
              <w:left w:w="0" w:type="dxa"/>
              <w:bottom w:w="30" w:type="dxa"/>
              <w:right w:w="0" w:type="dxa"/>
            </w:tcMar>
            <w:vAlign w:val="bottom"/>
            <w:hideMark/>
          </w:tcPr>
          <w:p w14:paraId="0BFF1563" w14:textId="77777777" w:rsidR="00000000" w:rsidRDefault="002F725F">
            <w:pPr>
              <w:rPr>
                <w:rFonts w:eastAsia="Times New Roman"/>
                <w:b/>
                <w:bCs/>
                <w:sz w:val="20"/>
                <w:szCs w:val="20"/>
              </w:rPr>
            </w:pPr>
            <w:r>
              <w:rPr>
                <w:rFonts w:eastAsia="Times New Roman"/>
                <w:b/>
                <w:bCs/>
                <w:sz w:val="20"/>
                <w:szCs w:val="20"/>
              </w:rPr>
              <w:t>%</w:t>
            </w:r>
          </w:p>
        </w:tc>
      </w:tr>
    </w:tbl>
    <w:p w14:paraId="7231AEBF" w14:textId="77777777" w:rsidR="00000000" w:rsidRDefault="002F725F">
      <w:pPr>
        <w:pStyle w:val="NormalWeb"/>
        <w:shd w:val="clear" w:color="auto" w:fill="FFFFFF"/>
        <w:spacing w:before="0" w:beforeAutospacing="0" w:after="0" w:afterAutospacing="0"/>
        <w:ind w:firstLine="49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2233"/>
        <w:gridCol w:w="75"/>
        <w:gridCol w:w="96"/>
        <w:gridCol w:w="671"/>
        <w:gridCol w:w="75"/>
        <w:gridCol w:w="75"/>
        <w:gridCol w:w="96"/>
        <w:gridCol w:w="671"/>
        <w:gridCol w:w="75"/>
        <w:gridCol w:w="75"/>
        <w:gridCol w:w="96"/>
        <w:gridCol w:w="671"/>
        <w:gridCol w:w="75"/>
        <w:gridCol w:w="75"/>
        <w:gridCol w:w="96"/>
        <w:gridCol w:w="671"/>
        <w:gridCol w:w="75"/>
        <w:gridCol w:w="75"/>
        <w:gridCol w:w="92"/>
        <w:gridCol w:w="642"/>
        <w:gridCol w:w="55"/>
        <w:gridCol w:w="76"/>
        <w:gridCol w:w="92"/>
        <w:gridCol w:w="642"/>
        <w:gridCol w:w="55"/>
        <w:gridCol w:w="76"/>
        <w:gridCol w:w="92"/>
        <w:gridCol w:w="642"/>
        <w:gridCol w:w="55"/>
        <w:gridCol w:w="76"/>
        <w:gridCol w:w="92"/>
        <w:gridCol w:w="642"/>
        <w:gridCol w:w="55"/>
      </w:tblGrid>
      <w:tr w:rsidR="00000000" w14:paraId="100898CF" w14:textId="77777777">
        <w:trPr>
          <w:divId w:val="415980837"/>
        </w:trPr>
        <w:tc>
          <w:tcPr>
            <w:tcW w:w="0" w:type="auto"/>
            <w:tcMar>
              <w:top w:w="0" w:type="dxa"/>
              <w:left w:w="180" w:type="dxa"/>
              <w:bottom w:w="30" w:type="dxa"/>
              <w:right w:w="0" w:type="dxa"/>
            </w:tcMar>
            <w:vAlign w:val="bottom"/>
            <w:hideMark/>
          </w:tcPr>
          <w:p w14:paraId="7709D4C3" w14:textId="77777777" w:rsidR="00000000" w:rsidRDefault="002F725F">
            <w:pPr>
              <w:ind w:hanging="180"/>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4F3434F3" w14:textId="77777777" w:rsidR="00000000" w:rsidRDefault="002F725F">
            <w:pPr>
              <w:rPr>
                <w:rFonts w:eastAsia="Times New Roman"/>
                <w:b/>
                <w:bCs/>
                <w:sz w:val="20"/>
                <w:szCs w:val="20"/>
              </w:rPr>
            </w:pPr>
            <w:r>
              <w:rPr>
                <w:rFonts w:eastAsia="Times New Roman"/>
                <w:b/>
                <w:bCs/>
                <w:sz w:val="20"/>
                <w:szCs w:val="20"/>
              </w:rPr>
              <w:t> </w:t>
            </w:r>
          </w:p>
        </w:tc>
        <w:tc>
          <w:tcPr>
            <w:tcW w:w="0" w:type="auto"/>
            <w:gridSpan w:val="30"/>
            <w:tcBorders>
              <w:bottom w:val="single" w:sz="12" w:space="0" w:color="000000"/>
            </w:tcBorders>
            <w:vAlign w:val="bottom"/>
            <w:hideMark/>
          </w:tcPr>
          <w:p w14:paraId="20E02EB6" w14:textId="77777777" w:rsidR="00000000" w:rsidRDefault="002F725F">
            <w:pPr>
              <w:jc w:val="center"/>
              <w:rPr>
                <w:rFonts w:eastAsia="Times New Roman"/>
                <w:b/>
                <w:bCs/>
                <w:sz w:val="20"/>
                <w:szCs w:val="20"/>
              </w:rPr>
            </w:pPr>
            <w:r>
              <w:rPr>
                <w:rFonts w:eastAsia="Times New Roman"/>
                <w:b/>
                <w:bCs/>
                <w:sz w:val="20"/>
                <w:szCs w:val="20"/>
              </w:rPr>
              <w:t>ENTERPRISE VALUE AS MULTIPLE OF</w:t>
            </w:r>
          </w:p>
        </w:tc>
        <w:tc>
          <w:tcPr>
            <w:tcW w:w="0" w:type="auto"/>
            <w:tcMar>
              <w:top w:w="0" w:type="dxa"/>
              <w:left w:w="0" w:type="dxa"/>
              <w:bottom w:w="30" w:type="dxa"/>
              <w:right w:w="0" w:type="dxa"/>
            </w:tcMar>
            <w:vAlign w:val="bottom"/>
            <w:hideMark/>
          </w:tcPr>
          <w:p w14:paraId="536CCD30" w14:textId="77777777" w:rsidR="00000000" w:rsidRDefault="002F725F">
            <w:pPr>
              <w:rPr>
                <w:rFonts w:eastAsia="Times New Roman"/>
                <w:sz w:val="20"/>
                <w:szCs w:val="20"/>
              </w:rPr>
            </w:pPr>
            <w:r>
              <w:rPr>
                <w:rFonts w:eastAsia="Times New Roman"/>
                <w:sz w:val="20"/>
                <w:szCs w:val="20"/>
              </w:rPr>
              <w:t> </w:t>
            </w:r>
          </w:p>
        </w:tc>
      </w:tr>
      <w:tr w:rsidR="00000000" w14:paraId="44CC71CA" w14:textId="77777777">
        <w:trPr>
          <w:divId w:val="415980837"/>
        </w:trPr>
        <w:tc>
          <w:tcPr>
            <w:tcW w:w="0" w:type="auto"/>
            <w:tcMar>
              <w:top w:w="0" w:type="dxa"/>
              <w:left w:w="180" w:type="dxa"/>
              <w:bottom w:w="0" w:type="dxa"/>
              <w:right w:w="0" w:type="dxa"/>
            </w:tcMar>
            <w:vAlign w:val="bottom"/>
            <w:hideMark/>
          </w:tcPr>
          <w:p w14:paraId="34DB0608" w14:textId="77777777" w:rsidR="00000000" w:rsidRDefault="002F725F">
            <w:pPr>
              <w:ind w:hanging="180"/>
              <w:jc w:val="center"/>
              <w:rPr>
                <w:rFonts w:eastAsia="Times New Roman"/>
                <w:sz w:val="20"/>
                <w:szCs w:val="20"/>
              </w:rPr>
            </w:pPr>
            <w:r>
              <w:rPr>
                <w:rFonts w:eastAsia="Times New Roman"/>
                <w:sz w:val="20"/>
                <w:szCs w:val="20"/>
              </w:rPr>
              <w:t> </w:t>
            </w:r>
          </w:p>
        </w:tc>
        <w:tc>
          <w:tcPr>
            <w:tcW w:w="0" w:type="auto"/>
            <w:vAlign w:val="bottom"/>
            <w:hideMark/>
          </w:tcPr>
          <w:p w14:paraId="518329A9"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vAlign w:val="bottom"/>
            <w:hideMark/>
          </w:tcPr>
          <w:p w14:paraId="2FE2208C" w14:textId="77777777" w:rsidR="00000000" w:rsidRDefault="002F725F">
            <w:pPr>
              <w:jc w:val="center"/>
              <w:rPr>
                <w:rFonts w:eastAsia="Times New Roman"/>
                <w:b/>
                <w:bCs/>
                <w:sz w:val="20"/>
                <w:szCs w:val="20"/>
              </w:rPr>
            </w:pPr>
            <w:r>
              <w:rPr>
                <w:rFonts w:eastAsia="Times New Roman"/>
                <w:b/>
                <w:bCs/>
                <w:sz w:val="20"/>
                <w:szCs w:val="20"/>
              </w:rPr>
              <w:t>LTM</w:t>
            </w:r>
          </w:p>
        </w:tc>
        <w:tc>
          <w:tcPr>
            <w:tcW w:w="0" w:type="auto"/>
            <w:vAlign w:val="bottom"/>
            <w:hideMark/>
          </w:tcPr>
          <w:p w14:paraId="110760C5"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vAlign w:val="bottom"/>
            <w:hideMark/>
          </w:tcPr>
          <w:p w14:paraId="63182B19"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vAlign w:val="bottom"/>
            <w:hideMark/>
          </w:tcPr>
          <w:p w14:paraId="313A4D80" w14:textId="77777777" w:rsidR="00000000" w:rsidRDefault="002F725F">
            <w:pPr>
              <w:jc w:val="center"/>
              <w:rPr>
                <w:rFonts w:eastAsia="Times New Roman"/>
                <w:b/>
                <w:bCs/>
                <w:sz w:val="20"/>
                <w:szCs w:val="20"/>
              </w:rPr>
            </w:pPr>
            <w:r>
              <w:rPr>
                <w:rFonts w:eastAsia="Times New Roman"/>
                <w:b/>
                <w:bCs/>
                <w:sz w:val="20"/>
                <w:szCs w:val="20"/>
              </w:rPr>
              <w:t>2025</w:t>
            </w:r>
          </w:p>
        </w:tc>
        <w:tc>
          <w:tcPr>
            <w:tcW w:w="0" w:type="auto"/>
            <w:vAlign w:val="bottom"/>
            <w:hideMark/>
          </w:tcPr>
          <w:p w14:paraId="24BC052A"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vAlign w:val="bottom"/>
            <w:hideMark/>
          </w:tcPr>
          <w:p w14:paraId="5C1ED1AE"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vAlign w:val="bottom"/>
            <w:hideMark/>
          </w:tcPr>
          <w:p w14:paraId="255EED9C" w14:textId="77777777" w:rsidR="00000000" w:rsidRDefault="002F725F">
            <w:pPr>
              <w:jc w:val="center"/>
              <w:rPr>
                <w:rFonts w:eastAsia="Times New Roman"/>
                <w:b/>
                <w:bCs/>
                <w:sz w:val="20"/>
                <w:szCs w:val="20"/>
              </w:rPr>
            </w:pPr>
            <w:r>
              <w:rPr>
                <w:rFonts w:eastAsia="Times New Roman"/>
                <w:b/>
                <w:bCs/>
                <w:sz w:val="20"/>
                <w:szCs w:val="20"/>
              </w:rPr>
              <w:t>2026</w:t>
            </w:r>
          </w:p>
        </w:tc>
        <w:tc>
          <w:tcPr>
            <w:tcW w:w="0" w:type="auto"/>
            <w:vAlign w:val="bottom"/>
            <w:hideMark/>
          </w:tcPr>
          <w:p w14:paraId="45CE34A4"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vAlign w:val="bottom"/>
            <w:hideMark/>
          </w:tcPr>
          <w:p w14:paraId="12C64F8C"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vAlign w:val="bottom"/>
            <w:hideMark/>
          </w:tcPr>
          <w:p w14:paraId="5CE66AC6" w14:textId="77777777" w:rsidR="00000000" w:rsidRDefault="002F725F">
            <w:pPr>
              <w:jc w:val="center"/>
              <w:rPr>
                <w:rFonts w:eastAsia="Times New Roman"/>
                <w:b/>
                <w:bCs/>
                <w:sz w:val="20"/>
                <w:szCs w:val="20"/>
              </w:rPr>
            </w:pPr>
            <w:r>
              <w:rPr>
                <w:rFonts w:eastAsia="Times New Roman"/>
                <w:b/>
                <w:bCs/>
                <w:sz w:val="20"/>
                <w:szCs w:val="20"/>
              </w:rPr>
              <w:t>2027</w:t>
            </w:r>
          </w:p>
        </w:tc>
        <w:tc>
          <w:tcPr>
            <w:tcW w:w="0" w:type="auto"/>
            <w:vAlign w:val="bottom"/>
            <w:hideMark/>
          </w:tcPr>
          <w:p w14:paraId="0E9B219F"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vAlign w:val="bottom"/>
            <w:hideMark/>
          </w:tcPr>
          <w:p w14:paraId="7065959E"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vAlign w:val="bottom"/>
            <w:hideMark/>
          </w:tcPr>
          <w:p w14:paraId="0429CBD5" w14:textId="77777777" w:rsidR="00000000" w:rsidRDefault="002F725F">
            <w:pPr>
              <w:jc w:val="center"/>
              <w:rPr>
                <w:rFonts w:eastAsia="Times New Roman"/>
                <w:b/>
                <w:bCs/>
                <w:sz w:val="20"/>
                <w:szCs w:val="20"/>
              </w:rPr>
            </w:pPr>
            <w:r>
              <w:rPr>
                <w:rFonts w:eastAsia="Times New Roman"/>
                <w:b/>
                <w:bCs/>
                <w:sz w:val="20"/>
                <w:szCs w:val="20"/>
              </w:rPr>
              <w:t>LTM</w:t>
            </w:r>
          </w:p>
        </w:tc>
        <w:tc>
          <w:tcPr>
            <w:tcW w:w="0" w:type="auto"/>
            <w:vAlign w:val="bottom"/>
            <w:hideMark/>
          </w:tcPr>
          <w:p w14:paraId="527D608D"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vAlign w:val="bottom"/>
            <w:hideMark/>
          </w:tcPr>
          <w:p w14:paraId="2EEDE793"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vAlign w:val="bottom"/>
            <w:hideMark/>
          </w:tcPr>
          <w:p w14:paraId="77D9D0E2" w14:textId="77777777" w:rsidR="00000000" w:rsidRDefault="002F725F">
            <w:pPr>
              <w:jc w:val="center"/>
              <w:rPr>
                <w:rFonts w:eastAsia="Times New Roman"/>
                <w:b/>
                <w:bCs/>
                <w:sz w:val="20"/>
                <w:szCs w:val="20"/>
              </w:rPr>
            </w:pPr>
            <w:r>
              <w:rPr>
                <w:rFonts w:eastAsia="Times New Roman"/>
                <w:b/>
                <w:bCs/>
                <w:sz w:val="20"/>
                <w:szCs w:val="20"/>
              </w:rPr>
              <w:t>2025</w:t>
            </w:r>
          </w:p>
        </w:tc>
        <w:tc>
          <w:tcPr>
            <w:tcW w:w="0" w:type="auto"/>
            <w:vAlign w:val="bottom"/>
            <w:hideMark/>
          </w:tcPr>
          <w:p w14:paraId="7A2F702D"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vAlign w:val="bottom"/>
            <w:hideMark/>
          </w:tcPr>
          <w:p w14:paraId="08EF54C7"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vAlign w:val="bottom"/>
            <w:hideMark/>
          </w:tcPr>
          <w:p w14:paraId="60941575" w14:textId="77777777" w:rsidR="00000000" w:rsidRDefault="002F725F">
            <w:pPr>
              <w:jc w:val="center"/>
              <w:rPr>
                <w:rFonts w:eastAsia="Times New Roman"/>
                <w:b/>
                <w:bCs/>
                <w:sz w:val="20"/>
                <w:szCs w:val="20"/>
              </w:rPr>
            </w:pPr>
            <w:r>
              <w:rPr>
                <w:rFonts w:eastAsia="Times New Roman"/>
                <w:b/>
                <w:bCs/>
                <w:sz w:val="20"/>
                <w:szCs w:val="20"/>
              </w:rPr>
              <w:t>2026</w:t>
            </w:r>
          </w:p>
        </w:tc>
        <w:tc>
          <w:tcPr>
            <w:tcW w:w="0" w:type="auto"/>
            <w:vAlign w:val="bottom"/>
            <w:hideMark/>
          </w:tcPr>
          <w:p w14:paraId="2C080811"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vAlign w:val="bottom"/>
            <w:hideMark/>
          </w:tcPr>
          <w:p w14:paraId="4B2A307E"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vAlign w:val="bottom"/>
            <w:hideMark/>
          </w:tcPr>
          <w:p w14:paraId="2C933415" w14:textId="77777777" w:rsidR="00000000" w:rsidRDefault="002F725F">
            <w:pPr>
              <w:jc w:val="center"/>
              <w:rPr>
                <w:rFonts w:eastAsia="Times New Roman"/>
                <w:b/>
                <w:bCs/>
                <w:sz w:val="20"/>
                <w:szCs w:val="20"/>
              </w:rPr>
            </w:pPr>
            <w:r>
              <w:rPr>
                <w:rFonts w:eastAsia="Times New Roman"/>
                <w:b/>
                <w:bCs/>
                <w:sz w:val="20"/>
                <w:szCs w:val="20"/>
              </w:rPr>
              <w:t>2027</w:t>
            </w:r>
          </w:p>
        </w:tc>
        <w:tc>
          <w:tcPr>
            <w:tcW w:w="0" w:type="auto"/>
            <w:vAlign w:val="bottom"/>
            <w:hideMark/>
          </w:tcPr>
          <w:p w14:paraId="2641C918" w14:textId="77777777" w:rsidR="00000000" w:rsidRDefault="002F725F">
            <w:pPr>
              <w:jc w:val="center"/>
              <w:rPr>
                <w:rFonts w:eastAsia="Times New Roman"/>
                <w:b/>
                <w:bCs/>
                <w:sz w:val="20"/>
                <w:szCs w:val="20"/>
              </w:rPr>
            </w:pPr>
            <w:r>
              <w:rPr>
                <w:rFonts w:eastAsia="Times New Roman"/>
                <w:b/>
                <w:bCs/>
                <w:sz w:val="20"/>
                <w:szCs w:val="20"/>
              </w:rPr>
              <w:t> </w:t>
            </w:r>
          </w:p>
        </w:tc>
      </w:tr>
      <w:tr w:rsidR="00000000" w14:paraId="0A0D7CA4" w14:textId="77777777">
        <w:trPr>
          <w:divId w:val="415980837"/>
        </w:trPr>
        <w:tc>
          <w:tcPr>
            <w:tcW w:w="0" w:type="auto"/>
            <w:tcBorders>
              <w:bottom w:val="single" w:sz="12" w:space="0" w:color="000000"/>
            </w:tcBorders>
            <w:tcMar>
              <w:top w:w="0" w:type="dxa"/>
              <w:left w:w="180" w:type="dxa"/>
              <w:bottom w:w="0" w:type="dxa"/>
              <w:right w:w="0" w:type="dxa"/>
            </w:tcMar>
            <w:vAlign w:val="bottom"/>
            <w:hideMark/>
          </w:tcPr>
          <w:p w14:paraId="72362494" w14:textId="77777777" w:rsidR="00000000" w:rsidRDefault="002F725F">
            <w:pPr>
              <w:ind w:hanging="180"/>
              <w:rPr>
                <w:rFonts w:eastAsia="Times New Roman"/>
                <w:b/>
                <w:bCs/>
                <w:sz w:val="20"/>
                <w:szCs w:val="20"/>
              </w:rPr>
            </w:pPr>
            <w:r>
              <w:rPr>
                <w:rFonts w:eastAsia="Times New Roman"/>
                <w:b/>
                <w:bCs/>
                <w:sz w:val="20"/>
                <w:szCs w:val="20"/>
              </w:rPr>
              <w:t>Company Name</w:t>
            </w:r>
          </w:p>
        </w:tc>
        <w:tc>
          <w:tcPr>
            <w:tcW w:w="0" w:type="auto"/>
            <w:tcMar>
              <w:top w:w="0" w:type="dxa"/>
              <w:left w:w="0" w:type="dxa"/>
              <w:bottom w:w="30" w:type="dxa"/>
              <w:right w:w="0" w:type="dxa"/>
            </w:tcMar>
            <w:vAlign w:val="bottom"/>
            <w:hideMark/>
          </w:tcPr>
          <w:p w14:paraId="22262592"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2C7C29C8" w14:textId="77777777" w:rsidR="00000000" w:rsidRDefault="002F725F">
            <w:pPr>
              <w:jc w:val="center"/>
              <w:rPr>
                <w:rFonts w:eastAsia="Times New Roman"/>
                <w:b/>
                <w:bCs/>
                <w:sz w:val="20"/>
                <w:szCs w:val="20"/>
              </w:rPr>
            </w:pPr>
            <w:r>
              <w:rPr>
                <w:rFonts w:eastAsia="Times New Roman"/>
                <w:b/>
                <w:bCs/>
                <w:sz w:val="20"/>
                <w:szCs w:val="20"/>
              </w:rPr>
              <w:t>EBITDA</w:t>
            </w:r>
          </w:p>
        </w:tc>
        <w:tc>
          <w:tcPr>
            <w:tcW w:w="0" w:type="auto"/>
            <w:tcMar>
              <w:top w:w="0" w:type="dxa"/>
              <w:left w:w="0" w:type="dxa"/>
              <w:bottom w:w="30" w:type="dxa"/>
              <w:right w:w="0" w:type="dxa"/>
            </w:tcMar>
            <w:vAlign w:val="bottom"/>
            <w:hideMark/>
          </w:tcPr>
          <w:p w14:paraId="325BAC08"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01E38899"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0FC1952" w14:textId="77777777" w:rsidR="00000000" w:rsidRDefault="002F725F">
            <w:pPr>
              <w:jc w:val="center"/>
              <w:rPr>
                <w:rFonts w:eastAsia="Times New Roman"/>
                <w:b/>
                <w:bCs/>
                <w:sz w:val="20"/>
                <w:szCs w:val="20"/>
              </w:rPr>
            </w:pPr>
            <w:r>
              <w:rPr>
                <w:rFonts w:eastAsia="Times New Roman"/>
                <w:b/>
                <w:bCs/>
                <w:sz w:val="20"/>
                <w:szCs w:val="20"/>
              </w:rPr>
              <w:t>EBITDA</w:t>
            </w:r>
          </w:p>
        </w:tc>
        <w:tc>
          <w:tcPr>
            <w:tcW w:w="0" w:type="auto"/>
            <w:tcMar>
              <w:top w:w="0" w:type="dxa"/>
              <w:left w:w="0" w:type="dxa"/>
              <w:bottom w:w="30" w:type="dxa"/>
              <w:right w:w="0" w:type="dxa"/>
            </w:tcMar>
            <w:vAlign w:val="bottom"/>
            <w:hideMark/>
          </w:tcPr>
          <w:p w14:paraId="32641A10"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454895EE"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0CAC9532" w14:textId="77777777" w:rsidR="00000000" w:rsidRDefault="002F725F">
            <w:pPr>
              <w:jc w:val="center"/>
              <w:rPr>
                <w:rFonts w:eastAsia="Times New Roman"/>
                <w:b/>
                <w:bCs/>
                <w:sz w:val="20"/>
                <w:szCs w:val="20"/>
              </w:rPr>
            </w:pPr>
            <w:r>
              <w:rPr>
                <w:rFonts w:eastAsia="Times New Roman"/>
                <w:b/>
                <w:bCs/>
                <w:sz w:val="20"/>
                <w:szCs w:val="20"/>
              </w:rPr>
              <w:t>EBITDA</w:t>
            </w:r>
          </w:p>
        </w:tc>
        <w:tc>
          <w:tcPr>
            <w:tcW w:w="0" w:type="auto"/>
            <w:tcMar>
              <w:top w:w="0" w:type="dxa"/>
              <w:left w:w="0" w:type="dxa"/>
              <w:bottom w:w="30" w:type="dxa"/>
              <w:right w:w="0" w:type="dxa"/>
            </w:tcMar>
            <w:vAlign w:val="bottom"/>
            <w:hideMark/>
          </w:tcPr>
          <w:p w14:paraId="53E44873"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77BC40D6"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0C104283" w14:textId="77777777" w:rsidR="00000000" w:rsidRDefault="002F725F">
            <w:pPr>
              <w:jc w:val="center"/>
              <w:rPr>
                <w:rFonts w:eastAsia="Times New Roman"/>
                <w:b/>
                <w:bCs/>
                <w:sz w:val="20"/>
                <w:szCs w:val="20"/>
              </w:rPr>
            </w:pPr>
            <w:r>
              <w:rPr>
                <w:rFonts w:eastAsia="Times New Roman"/>
                <w:b/>
                <w:bCs/>
                <w:sz w:val="20"/>
                <w:szCs w:val="20"/>
              </w:rPr>
              <w:t>EBITDA</w:t>
            </w:r>
          </w:p>
        </w:tc>
        <w:tc>
          <w:tcPr>
            <w:tcW w:w="0" w:type="auto"/>
            <w:tcMar>
              <w:top w:w="0" w:type="dxa"/>
              <w:left w:w="0" w:type="dxa"/>
              <w:bottom w:w="30" w:type="dxa"/>
              <w:right w:w="0" w:type="dxa"/>
            </w:tcMar>
            <w:vAlign w:val="bottom"/>
            <w:hideMark/>
          </w:tcPr>
          <w:p w14:paraId="66D45D4D"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7C0C3846"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7BD7C572" w14:textId="77777777" w:rsidR="00000000" w:rsidRDefault="002F725F">
            <w:pPr>
              <w:jc w:val="center"/>
              <w:rPr>
                <w:rFonts w:eastAsia="Times New Roman"/>
                <w:b/>
                <w:bCs/>
                <w:sz w:val="20"/>
                <w:szCs w:val="20"/>
              </w:rPr>
            </w:pPr>
            <w:r>
              <w:rPr>
                <w:rFonts w:eastAsia="Times New Roman"/>
                <w:b/>
                <w:bCs/>
                <w:sz w:val="20"/>
                <w:szCs w:val="20"/>
              </w:rPr>
              <w:t>Revenue</w:t>
            </w:r>
          </w:p>
        </w:tc>
        <w:tc>
          <w:tcPr>
            <w:tcW w:w="0" w:type="auto"/>
            <w:tcMar>
              <w:top w:w="0" w:type="dxa"/>
              <w:left w:w="0" w:type="dxa"/>
              <w:bottom w:w="30" w:type="dxa"/>
              <w:right w:w="0" w:type="dxa"/>
            </w:tcMar>
            <w:vAlign w:val="bottom"/>
            <w:hideMark/>
          </w:tcPr>
          <w:p w14:paraId="1FBE9589"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6D7B6AA1"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32B695BB" w14:textId="77777777" w:rsidR="00000000" w:rsidRDefault="002F725F">
            <w:pPr>
              <w:jc w:val="center"/>
              <w:rPr>
                <w:rFonts w:eastAsia="Times New Roman"/>
                <w:b/>
                <w:bCs/>
                <w:sz w:val="20"/>
                <w:szCs w:val="20"/>
              </w:rPr>
            </w:pPr>
            <w:r>
              <w:rPr>
                <w:rFonts w:eastAsia="Times New Roman"/>
                <w:b/>
                <w:bCs/>
                <w:sz w:val="20"/>
                <w:szCs w:val="20"/>
              </w:rPr>
              <w:t>Revenue</w:t>
            </w:r>
          </w:p>
        </w:tc>
        <w:tc>
          <w:tcPr>
            <w:tcW w:w="0" w:type="auto"/>
            <w:tcMar>
              <w:top w:w="0" w:type="dxa"/>
              <w:left w:w="0" w:type="dxa"/>
              <w:bottom w:w="30" w:type="dxa"/>
              <w:right w:w="0" w:type="dxa"/>
            </w:tcMar>
            <w:vAlign w:val="bottom"/>
            <w:hideMark/>
          </w:tcPr>
          <w:p w14:paraId="219AE87F"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4ED62781"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08B651C3" w14:textId="77777777" w:rsidR="00000000" w:rsidRDefault="002F725F">
            <w:pPr>
              <w:jc w:val="center"/>
              <w:rPr>
                <w:rFonts w:eastAsia="Times New Roman"/>
                <w:b/>
                <w:bCs/>
                <w:sz w:val="20"/>
                <w:szCs w:val="20"/>
              </w:rPr>
            </w:pPr>
            <w:r>
              <w:rPr>
                <w:rFonts w:eastAsia="Times New Roman"/>
                <w:b/>
                <w:bCs/>
                <w:sz w:val="20"/>
                <w:szCs w:val="20"/>
              </w:rPr>
              <w:t>Revenue</w:t>
            </w:r>
          </w:p>
        </w:tc>
        <w:tc>
          <w:tcPr>
            <w:tcW w:w="0" w:type="auto"/>
            <w:tcMar>
              <w:top w:w="0" w:type="dxa"/>
              <w:left w:w="0" w:type="dxa"/>
              <w:bottom w:w="30" w:type="dxa"/>
              <w:right w:w="0" w:type="dxa"/>
            </w:tcMar>
            <w:vAlign w:val="bottom"/>
            <w:hideMark/>
          </w:tcPr>
          <w:p w14:paraId="556B6DC5"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155F06CB"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7994669F" w14:textId="77777777" w:rsidR="00000000" w:rsidRDefault="002F725F">
            <w:pPr>
              <w:jc w:val="center"/>
              <w:rPr>
                <w:rFonts w:eastAsia="Times New Roman"/>
                <w:b/>
                <w:bCs/>
                <w:sz w:val="20"/>
                <w:szCs w:val="20"/>
              </w:rPr>
            </w:pPr>
            <w:r>
              <w:rPr>
                <w:rFonts w:eastAsia="Times New Roman"/>
                <w:b/>
                <w:bCs/>
                <w:sz w:val="20"/>
                <w:szCs w:val="20"/>
              </w:rPr>
              <w:t>Revenue</w:t>
            </w:r>
          </w:p>
        </w:tc>
        <w:tc>
          <w:tcPr>
            <w:tcW w:w="0" w:type="auto"/>
            <w:tcMar>
              <w:top w:w="0" w:type="dxa"/>
              <w:left w:w="0" w:type="dxa"/>
              <w:bottom w:w="30" w:type="dxa"/>
              <w:right w:w="0" w:type="dxa"/>
            </w:tcMar>
            <w:vAlign w:val="bottom"/>
            <w:hideMark/>
          </w:tcPr>
          <w:p w14:paraId="4D31C989" w14:textId="77777777" w:rsidR="00000000" w:rsidRDefault="002F725F">
            <w:pPr>
              <w:jc w:val="center"/>
              <w:rPr>
                <w:rFonts w:eastAsia="Times New Roman"/>
                <w:b/>
                <w:bCs/>
                <w:sz w:val="20"/>
                <w:szCs w:val="20"/>
              </w:rPr>
            </w:pPr>
            <w:r>
              <w:rPr>
                <w:rFonts w:eastAsia="Times New Roman"/>
                <w:b/>
                <w:bCs/>
                <w:sz w:val="20"/>
                <w:szCs w:val="20"/>
              </w:rPr>
              <w:t> </w:t>
            </w:r>
          </w:p>
        </w:tc>
      </w:tr>
      <w:tr w:rsidR="00000000" w14:paraId="1E3B982E" w14:textId="77777777">
        <w:trPr>
          <w:divId w:val="415980837"/>
        </w:trPr>
        <w:tc>
          <w:tcPr>
            <w:tcW w:w="0" w:type="auto"/>
            <w:tcMar>
              <w:top w:w="0" w:type="dxa"/>
              <w:left w:w="180" w:type="dxa"/>
              <w:bottom w:w="0" w:type="dxa"/>
              <w:right w:w="0" w:type="dxa"/>
            </w:tcMar>
            <w:vAlign w:val="bottom"/>
            <w:hideMark/>
          </w:tcPr>
          <w:p w14:paraId="42735A52" w14:textId="77777777" w:rsidR="00000000" w:rsidRDefault="002F725F">
            <w:pPr>
              <w:ind w:hanging="180"/>
              <w:rPr>
                <w:rFonts w:eastAsia="Times New Roman"/>
                <w:sz w:val="20"/>
                <w:szCs w:val="20"/>
              </w:rPr>
            </w:pPr>
            <w:r>
              <w:rPr>
                <w:rFonts w:eastAsia="Times New Roman"/>
                <w:sz w:val="20"/>
                <w:szCs w:val="20"/>
              </w:rPr>
              <w:t> </w:t>
            </w:r>
          </w:p>
        </w:tc>
        <w:tc>
          <w:tcPr>
            <w:tcW w:w="0" w:type="auto"/>
            <w:vAlign w:val="bottom"/>
            <w:hideMark/>
          </w:tcPr>
          <w:p w14:paraId="5E5CE536"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2CD23843"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17C52E8B"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029759ED"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03617AE5"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4DB45399"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19F7EC17"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5728FEE7"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5AC7C7DF"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3D4B9BB1"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18A09B70"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6477CBC3"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62D0DAE5"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016A61FB"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693D850A"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7825CCF0"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5D34059A"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2FC7CCDF"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1F0B5E61"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12308123"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69D6E3A5"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73E8192A"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2A1A5380"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4F021710" w14:textId="77777777" w:rsidR="00000000" w:rsidRDefault="002F725F">
            <w:pPr>
              <w:rPr>
                <w:rFonts w:eastAsia="Times New Roman"/>
                <w:sz w:val="20"/>
                <w:szCs w:val="20"/>
              </w:rPr>
            </w:pPr>
            <w:r>
              <w:rPr>
                <w:rFonts w:eastAsia="Times New Roman"/>
                <w:sz w:val="20"/>
                <w:szCs w:val="20"/>
              </w:rPr>
              <w:t> </w:t>
            </w:r>
          </w:p>
        </w:tc>
      </w:tr>
      <w:tr w:rsidR="002F725F" w14:paraId="3E1F52ED" w14:textId="77777777">
        <w:trPr>
          <w:divId w:val="415980837"/>
        </w:trPr>
        <w:tc>
          <w:tcPr>
            <w:tcW w:w="0" w:type="auto"/>
            <w:shd w:val="clear" w:color="auto" w:fill="CCEEFF"/>
            <w:tcMar>
              <w:top w:w="0" w:type="dxa"/>
              <w:left w:w="180" w:type="dxa"/>
              <w:bottom w:w="0" w:type="dxa"/>
              <w:right w:w="0" w:type="dxa"/>
            </w:tcMar>
            <w:vAlign w:val="bottom"/>
            <w:hideMark/>
          </w:tcPr>
          <w:p w14:paraId="6F49EE9B" w14:textId="77777777" w:rsidR="00000000" w:rsidRDefault="002F725F">
            <w:pPr>
              <w:ind w:hanging="180"/>
              <w:rPr>
                <w:rFonts w:eastAsia="Times New Roman"/>
                <w:sz w:val="20"/>
                <w:szCs w:val="20"/>
              </w:rPr>
            </w:pPr>
            <w:r>
              <w:rPr>
                <w:rFonts w:eastAsia="Times New Roman"/>
                <w:sz w:val="20"/>
                <w:szCs w:val="20"/>
              </w:rPr>
              <w:t>Ab&amp;</w:t>
            </w:r>
            <w:r>
              <w:rPr>
                <w:rFonts w:eastAsia="Times New Roman"/>
                <w:sz w:val="20"/>
                <w:szCs w:val="20"/>
              </w:rPr>
              <w:t>B Bio-Tech CO., LTD. JS</w:t>
            </w:r>
          </w:p>
        </w:tc>
        <w:tc>
          <w:tcPr>
            <w:tcW w:w="0" w:type="auto"/>
            <w:shd w:val="clear" w:color="auto" w:fill="CCEEFF"/>
            <w:vAlign w:val="bottom"/>
            <w:hideMark/>
          </w:tcPr>
          <w:p w14:paraId="02539E9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CF8622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FDAFEDD"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CCEEFF"/>
            <w:vAlign w:val="bottom"/>
            <w:hideMark/>
          </w:tcPr>
          <w:p w14:paraId="4F703CB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FD585C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D79181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99D7E60"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7A05EAC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00E016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458D68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F2A305D"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308E324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A2BCD7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D76623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1A2A7DB"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780E482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6F3314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AB719B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D631510"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CCEEFF"/>
            <w:vAlign w:val="bottom"/>
            <w:hideMark/>
          </w:tcPr>
          <w:p w14:paraId="0D2C09D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D83314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D069AB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16AD046"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59C4ED3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2CC298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D61C06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A1F67F7"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31E4572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FF1617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A35FA3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3CBCDFE"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4CAA58D9" w14:textId="77777777" w:rsidR="00000000" w:rsidRDefault="002F725F">
            <w:pPr>
              <w:rPr>
                <w:rFonts w:eastAsia="Times New Roman"/>
                <w:sz w:val="20"/>
                <w:szCs w:val="20"/>
              </w:rPr>
            </w:pPr>
            <w:r>
              <w:rPr>
                <w:rFonts w:eastAsia="Times New Roman"/>
                <w:sz w:val="20"/>
                <w:szCs w:val="20"/>
              </w:rPr>
              <w:t> </w:t>
            </w:r>
          </w:p>
        </w:tc>
      </w:tr>
      <w:tr w:rsidR="002F725F" w14:paraId="69A5F185" w14:textId="77777777">
        <w:trPr>
          <w:divId w:val="415980837"/>
        </w:trPr>
        <w:tc>
          <w:tcPr>
            <w:tcW w:w="1000" w:type="pct"/>
            <w:shd w:val="clear" w:color="auto" w:fill="FFFFFF"/>
            <w:tcMar>
              <w:top w:w="0" w:type="dxa"/>
              <w:left w:w="180" w:type="dxa"/>
              <w:bottom w:w="0" w:type="dxa"/>
              <w:right w:w="0" w:type="dxa"/>
            </w:tcMar>
            <w:vAlign w:val="bottom"/>
            <w:hideMark/>
          </w:tcPr>
          <w:p w14:paraId="52BD1C9F" w14:textId="77777777" w:rsidR="00000000" w:rsidRDefault="002F725F">
            <w:pPr>
              <w:ind w:hanging="180"/>
              <w:rPr>
                <w:rFonts w:eastAsia="Times New Roman"/>
                <w:sz w:val="20"/>
                <w:szCs w:val="20"/>
              </w:rPr>
            </w:pPr>
            <w:r>
              <w:rPr>
                <w:rFonts w:eastAsia="Times New Roman"/>
                <w:sz w:val="20"/>
                <w:szCs w:val="20"/>
              </w:rPr>
              <w:t>AIM Vaccine Co., Ltd.</w:t>
            </w:r>
          </w:p>
        </w:tc>
        <w:tc>
          <w:tcPr>
            <w:tcW w:w="50" w:type="pct"/>
            <w:shd w:val="clear" w:color="auto" w:fill="FFFFFF"/>
            <w:vAlign w:val="bottom"/>
            <w:hideMark/>
          </w:tcPr>
          <w:p w14:paraId="3BFFE763"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635CA2D2"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FFFFFF"/>
            <w:vAlign w:val="bottom"/>
            <w:hideMark/>
          </w:tcPr>
          <w:p w14:paraId="73DF34AB" w14:textId="77777777" w:rsidR="00000000" w:rsidRDefault="002F725F">
            <w:pPr>
              <w:jc w:val="right"/>
              <w:rPr>
                <w:rFonts w:eastAsia="Times New Roman"/>
                <w:sz w:val="20"/>
                <w:szCs w:val="20"/>
              </w:rPr>
            </w:pPr>
            <w:r>
              <w:rPr>
                <w:rFonts w:eastAsia="Times New Roman"/>
                <w:sz w:val="20"/>
                <w:szCs w:val="20"/>
              </w:rPr>
              <w:t>NM</w:t>
            </w:r>
          </w:p>
        </w:tc>
        <w:tc>
          <w:tcPr>
            <w:tcW w:w="50" w:type="pct"/>
            <w:shd w:val="clear" w:color="auto" w:fill="FFFFFF"/>
            <w:vAlign w:val="bottom"/>
            <w:hideMark/>
          </w:tcPr>
          <w:p w14:paraId="54F470EB"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409CB752"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5731975C"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FFFFFF"/>
            <w:vAlign w:val="bottom"/>
            <w:hideMark/>
          </w:tcPr>
          <w:p w14:paraId="248884B5" w14:textId="77777777" w:rsidR="00000000" w:rsidRDefault="002F725F">
            <w:pPr>
              <w:jc w:val="right"/>
              <w:rPr>
                <w:rFonts w:eastAsia="Times New Roman"/>
                <w:sz w:val="20"/>
                <w:szCs w:val="20"/>
              </w:rPr>
            </w:pPr>
            <w:r>
              <w:rPr>
                <w:rFonts w:eastAsia="Times New Roman"/>
                <w:sz w:val="20"/>
                <w:szCs w:val="20"/>
              </w:rPr>
              <w:t>NA</w:t>
            </w:r>
          </w:p>
        </w:tc>
        <w:tc>
          <w:tcPr>
            <w:tcW w:w="50" w:type="pct"/>
            <w:shd w:val="clear" w:color="auto" w:fill="FFFFFF"/>
            <w:vAlign w:val="bottom"/>
            <w:hideMark/>
          </w:tcPr>
          <w:p w14:paraId="2457D6E4"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58DBB913"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0057FC5A"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FFFFFF"/>
            <w:vAlign w:val="bottom"/>
            <w:hideMark/>
          </w:tcPr>
          <w:p w14:paraId="4A78B221" w14:textId="77777777" w:rsidR="00000000" w:rsidRDefault="002F725F">
            <w:pPr>
              <w:jc w:val="right"/>
              <w:rPr>
                <w:rFonts w:eastAsia="Times New Roman"/>
                <w:sz w:val="20"/>
                <w:szCs w:val="20"/>
              </w:rPr>
            </w:pPr>
            <w:r>
              <w:rPr>
                <w:rFonts w:eastAsia="Times New Roman"/>
                <w:sz w:val="20"/>
                <w:szCs w:val="20"/>
              </w:rPr>
              <w:t>NA</w:t>
            </w:r>
          </w:p>
        </w:tc>
        <w:tc>
          <w:tcPr>
            <w:tcW w:w="50" w:type="pct"/>
            <w:shd w:val="clear" w:color="auto" w:fill="FFFFFF"/>
            <w:vAlign w:val="bottom"/>
            <w:hideMark/>
          </w:tcPr>
          <w:p w14:paraId="135686FE"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79856874"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0E053476"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FFFFFF"/>
            <w:vAlign w:val="bottom"/>
            <w:hideMark/>
          </w:tcPr>
          <w:p w14:paraId="78BA5254" w14:textId="77777777" w:rsidR="00000000" w:rsidRDefault="002F725F">
            <w:pPr>
              <w:jc w:val="right"/>
              <w:rPr>
                <w:rFonts w:eastAsia="Times New Roman"/>
                <w:sz w:val="20"/>
                <w:szCs w:val="20"/>
              </w:rPr>
            </w:pPr>
            <w:r>
              <w:rPr>
                <w:rFonts w:eastAsia="Times New Roman"/>
                <w:sz w:val="20"/>
                <w:szCs w:val="20"/>
              </w:rPr>
              <w:t>NA</w:t>
            </w:r>
          </w:p>
        </w:tc>
        <w:tc>
          <w:tcPr>
            <w:tcW w:w="50" w:type="pct"/>
            <w:shd w:val="clear" w:color="auto" w:fill="FFFFFF"/>
            <w:vAlign w:val="bottom"/>
            <w:hideMark/>
          </w:tcPr>
          <w:p w14:paraId="1EF55AF3"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45AEEEA0"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63053B80"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FFFFFF"/>
            <w:vAlign w:val="bottom"/>
            <w:hideMark/>
          </w:tcPr>
          <w:p w14:paraId="5AC8935C" w14:textId="77777777" w:rsidR="00000000" w:rsidRDefault="002F725F">
            <w:pPr>
              <w:jc w:val="right"/>
              <w:rPr>
                <w:rFonts w:eastAsia="Times New Roman"/>
                <w:sz w:val="20"/>
                <w:szCs w:val="20"/>
              </w:rPr>
            </w:pPr>
            <w:r>
              <w:rPr>
                <w:rFonts w:eastAsia="Times New Roman"/>
                <w:sz w:val="20"/>
                <w:szCs w:val="20"/>
              </w:rPr>
              <w:t>4.76x</w:t>
            </w:r>
          </w:p>
        </w:tc>
        <w:tc>
          <w:tcPr>
            <w:tcW w:w="50" w:type="pct"/>
            <w:shd w:val="clear" w:color="auto" w:fill="FFFFFF"/>
            <w:vAlign w:val="bottom"/>
            <w:hideMark/>
          </w:tcPr>
          <w:p w14:paraId="5BCA25E8"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751D2E4A"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7B85B421"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FFFFFF"/>
            <w:vAlign w:val="bottom"/>
            <w:hideMark/>
          </w:tcPr>
          <w:p w14:paraId="535C61E1" w14:textId="77777777" w:rsidR="00000000" w:rsidRDefault="002F725F">
            <w:pPr>
              <w:jc w:val="right"/>
              <w:rPr>
                <w:rFonts w:eastAsia="Times New Roman"/>
                <w:sz w:val="20"/>
                <w:szCs w:val="20"/>
              </w:rPr>
            </w:pPr>
            <w:r>
              <w:rPr>
                <w:rFonts w:eastAsia="Times New Roman"/>
                <w:sz w:val="20"/>
                <w:szCs w:val="20"/>
              </w:rPr>
              <w:t>NA</w:t>
            </w:r>
          </w:p>
        </w:tc>
        <w:tc>
          <w:tcPr>
            <w:tcW w:w="50" w:type="pct"/>
            <w:shd w:val="clear" w:color="auto" w:fill="FFFFFF"/>
            <w:vAlign w:val="bottom"/>
            <w:hideMark/>
          </w:tcPr>
          <w:p w14:paraId="1A23D360"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6B70CD29"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617B7C14"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FFFFFF"/>
            <w:vAlign w:val="bottom"/>
            <w:hideMark/>
          </w:tcPr>
          <w:p w14:paraId="5953F18B" w14:textId="77777777" w:rsidR="00000000" w:rsidRDefault="002F725F">
            <w:pPr>
              <w:jc w:val="right"/>
              <w:rPr>
                <w:rFonts w:eastAsia="Times New Roman"/>
                <w:sz w:val="20"/>
                <w:szCs w:val="20"/>
              </w:rPr>
            </w:pPr>
            <w:r>
              <w:rPr>
                <w:rFonts w:eastAsia="Times New Roman"/>
                <w:sz w:val="20"/>
                <w:szCs w:val="20"/>
              </w:rPr>
              <w:t>NA</w:t>
            </w:r>
          </w:p>
        </w:tc>
        <w:tc>
          <w:tcPr>
            <w:tcW w:w="50" w:type="pct"/>
            <w:shd w:val="clear" w:color="auto" w:fill="FFFFFF"/>
            <w:vAlign w:val="bottom"/>
            <w:hideMark/>
          </w:tcPr>
          <w:p w14:paraId="04663904"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60A607EC"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5C8ACEC9"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FFFFFF"/>
            <w:vAlign w:val="bottom"/>
            <w:hideMark/>
          </w:tcPr>
          <w:p w14:paraId="542BDDFE" w14:textId="77777777" w:rsidR="00000000" w:rsidRDefault="002F725F">
            <w:pPr>
              <w:jc w:val="right"/>
              <w:rPr>
                <w:rFonts w:eastAsia="Times New Roman"/>
                <w:sz w:val="20"/>
                <w:szCs w:val="20"/>
              </w:rPr>
            </w:pPr>
            <w:r>
              <w:rPr>
                <w:rFonts w:eastAsia="Times New Roman"/>
                <w:sz w:val="20"/>
                <w:szCs w:val="20"/>
              </w:rPr>
              <w:t>NA</w:t>
            </w:r>
          </w:p>
        </w:tc>
        <w:tc>
          <w:tcPr>
            <w:tcW w:w="50" w:type="pct"/>
            <w:shd w:val="clear" w:color="auto" w:fill="FFFFFF"/>
            <w:vAlign w:val="bottom"/>
            <w:hideMark/>
          </w:tcPr>
          <w:p w14:paraId="31F04579" w14:textId="77777777" w:rsidR="00000000" w:rsidRDefault="002F725F">
            <w:pPr>
              <w:rPr>
                <w:rFonts w:eastAsia="Times New Roman"/>
                <w:sz w:val="20"/>
                <w:szCs w:val="20"/>
              </w:rPr>
            </w:pPr>
            <w:r>
              <w:rPr>
                <w:rFonts w:eastAsia="Times New Roman"/>
                <w:sz w:val="20"/>
                <w:szCs w:val="20"/>
              </w:rPr>
              <w:t> </w:t>
            </w:r>
          </w:p>
        </w:tc>
      </w:tr>
      <w:tr w:rsidR="002F725F" w14:paraId="5244A346" w14:textId="77777777">
        <w:trPr>
          <w:divId w:val="415980837"/>
        </w:trPr>
        <w:tc>
          <w:tcPr>
            <w:tcW w:w="0" w:type="auto"/>
            <w:shd w:val="clear" w:color="auto" w:fill="CCEEFF"/>
            <w:tcMar>
              <w:top w:w="0" w:type="dxa"/>
              <w:left w:w="180" w:type="dxa"/>
              <w:bottom w:w="0" w:type="dxa"/>
              <w:right w:w="0" w:type="dxa"/>
            </w:tcMar>
            <w:vAlign w:val="bottom"/>
            <w:hideMark/>
          </w:tcPr>
          <w:p w14:paraId="1E2F6EDC" w14:textId="77777777" w:rsidR="00000000" w:rsidRDefault="002F725F">
            <w:pPr>
              <w:ind w:hanging="180"/>
              <w:rPr>
                <w:rFonts w:eastAsia="Times New Roman"/>
                <w:sz w:val="20"/>
                <w:szCs w:val="20"/>
              </w:rPr>
            </w:pPr>
            <w:r>
              <w:rPr>
                <w:rFonts w:eastAsia="Times New Roman"/>
                <w:sz w:val="20"/>
                <w:szCs w:val="20"/>
              </w:rPr>
              <w:lastRenderedPageBreak/>
              <w:t>CanSino Biologics Inc.</w:t>
            </w:r>
          </w:p>
        </w:tc>
        <w:tc>
          <w:tcPr>
            <w:tcW w:w="0" w:type="auto"/>
            <w:shd w:val="clear" w:color="auto" w:fill="CCEEFF"/>
            <w:vAlign w:val="bottom"/>
            <w:hideMark/>
          </w:tcPr>
          <w:p w14:paraId="1CBCA4D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C0CD1C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2D89AEE"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CCEEFF"/>
            <w:vAlign w:val="bottom"/>
            <w:hideMark/>
          </w:tcPr>
          <w:p w14:paraId="2ABC7BE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BEACFF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A384E2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D1A324F"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CCEEFF"/>
            <w:vAlign w:val="bottom"/>
            <w:hideMark/>
          </w:tcPr>
          <w:p w14:paraId="7108F73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001A06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974312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98F019B" w14:textId="77777777" w:rsidR="00000000" w:rsidRDefault="002F725F">
            <w:pPr>
              <w:jc w:val="right"/>
              <w:rPr>
                <w:rFonts w:eastAsia="Times New Roman"/>
                <w:sz w:val="20"/>
                <w:szCs w:val="20"/>
              </w:rPr>
            </w:pPr>
            <w:r>
              <w:rPr>
                <w:rFonts w:eastAsia="Times New Roman"/>
                <w:sz w:val="20"/>
                <w:szCs w:val="20"/>
              </w:rPr>
              <w:t>28.9x</w:t>
            </w:r>
          </w:p>
        </w:tc>
        <w:tc>
          <w:tcPr>
            <w:tcW w:w="0" w:type="auto"/>
            <w:shd w:val="clear" w:color="auto" w:fill="CCEEFF"/>
            <w:vAlign w:val="bottom"/>
            <w:hideMark/>
          </w:tcPr>
          <w:p w14:paraId="5E3D8DD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A777EF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54DDDD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7441F01" w14:textId="77777777" w:rsidR="00000000" w:rsidRDefault="002F725F">
            <w:pPr>
              <w:jc w:val="right"/>
              <w:rPr>
                <w:rFonts w:eastAsia="Times New Roman"/>
                <w:sz w:val="20"/>
                <w:szCs w:val="20"/>
              </w:rPr>
            </w:pPr>
            <w:r>
              <w:rPr>
                <w:rFonts w:eastAsia="Times New Roman"/>
                <w:sz w:val="20"/>
                <w:szCs w:val="20"/>
              </w:rPr>
              <w:t>16.7x</w:t>
            </w:r>
          </w:p>
        </w:tc>
        <w:tc>
          <w:tcPr>
            <w:tcW w:w="0" w:type="auto"/>
            <w:shd w:val="clear" w:color="auto" w:fill="CCEEFF"/>
            <w:vAlign w:val="bottom"/>
            <w:hideMark/>
          </w:tcPr>
          <w:p w14:paraId="7B662F0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A27B65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08B703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05BC4F2" w14:textId="77777777" w:rsidR="00000000" w:rsidRDefault="002F725F">
            <w:pPr>
              <w:jc w:val="right"/>
              <w:rPr>
                <w:rFonts w:eastAsia="Times New Roman"/>
                <w:sz w:val="20"/>
                <w:szCs w:val="20"/>
              </w:rPr>
            </w:pPr>
            <w:r>
              <w:rPr>
                <w:rFonts w:eastAsia="Times New Roman"/>
                <w:sz w:val="20"/>
                <w:szCs w:val="20"/>
              </w:rPr>
              <w:t>13.52x</w:t>
            </w:r>
          </w:p>
        </w:tc>
        <w:tc>
          <w:tcPr>
            <w:tcW w:w="0" w:type="auto"/>
            <w:shd w:val="clear" w:color="auto" w:fill="CCEEFF"/>
            <w:vAlign w:val="bottom"/>
            <w:hideMark/>
          </w:tcPr>
          <w:p w14:paraId="5B9F33C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5926A0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CF9EE2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B32FC33" w14:textId="77777777" w:rsidR="00000000" w:rsidRDefault="002F725F">
            <w:pPr>
              <w:jc w:val="right"/>
              <w:rPr>
                <w:rFonts w:eastAsia="Times New Roman"/>
                <w:sz w:val="20"/>
                <w:szCs w:val="20"/>
              </w:rPr>
            </w:pPr>
            <w:r>
              <w:rPr>
                <w:rFonts w:eastAsia="Times New Roman"/>
                <w:sz w:val="20"/>
                <w:szCs w:val="20"/>
              </w:rPr>
              <w:t>12.94x</w:t>
            </w:r>
          </w:p>
        </w:tc>
        <w:tc>
          <w:tcPr>
            <w:tcW w:w="0" w:type="auto"/>
            <w:shd w:val="clear" w:color="auto" w:fill="CCEEFF"/>
            <w:vAlign w:val="bottom"/>
            <w:hideMark/>
          </w:tcPr>
          <w:p w14:paraId="6E02382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630DAF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B4C91B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37DFEFA" w14:textId="77777777" w:rsidR="00000000" w:rsidRDefault="002F725F">
            <w:pPr>
              <w:jc w:val="right"/>
              <w:rPr>
                <w:rFonts w:eastAsia="Times New Roman"/>
                <w:sz w:val="20"/>
                <w:szCs w:val="20"/>
              </w:rPr>
            </w:pPr>
            <w:r>
              <w:rPr>
                <w:rFonts w:eastAsia="Times New Roman"/>
                <w:sz w:val="20"/>
                <w:szCs w:val="20"/>
              </w:rPr>
              <w:t>9.22x</w:t>
            </w:r>
          </w:p>
        </w:tc>
        <w:tc>
          <w:tcPr>
            <w:tcW w:w="0" w:type="auto"/>
            <w:shd w:val="clear" w:color="auto" w:fill="CCEEFF"/>
            <w:vAlign w:val="bottom"/>
            <w:hideMark/>
          </w:tcPr>
          <w:p w14:paraId="53ABA85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B66048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3C93AC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9E024D5" w14:textId="77777777" w:rsidR="00000000" w:rsidRDefault="002F725F">
            <w:pPr>
              <w:jc w:val="right"/>
              <w:rPr>
                <w:rFonts w:eastAsia="Times New Roman"/>
                <w:sz w:val="20"/>
                <w:szCs w:val="20"/>
              </w:rPr>
            </w:pPr>
            <w:r>
              <w:rPr>
                <w:rFonts w:eastAsia="Times New Roman"/>
                <w:sz w:val="20"/>
                <w:szCs w:val="20"/>
              </w:rPr>
              <w:t>6.44x</w:t>
            </w:r>
          </w:p>
        </w:tc>
        <w:tc>
          <w:tcPr>
            <w:tcW w:w="0" w:type="auto"/>
            <w:shd w:val="clear" w:color="auto" w:fill="CCEEFF"/>
            <w:vAlign w:val="bottom"/>
            <w:hideMark/>
          </w:tcPr>
          <w:p w14:paraId="16F1B8A1" w14:textId="77777777" w:rsidR="00000000" w:rsidRDefault="002F725F">
            <w:pPr>
              <w:rPr>
                <w:rFonts w:eastAsia="Times New Roman"/>
                <w:sz w:val="20"/>
                <w:szCs w:val="20"/>
              </w:rPr>
            </w:pPr>
            <w:r>
              <w:rPr>
                <w:rFonts w:eastAsia="Times New Roman"/>
                <w:sz w:val="20"/>
                <w:szCs w:val="20"/>
              </w:rPr>
              <w:t> </w:t>
            </w:r>
          </w:p>
        </w:tc>
      </w:tr>
      <w:tr w:rsidR="002F725F" w14:paraId="4A0CCE94" w14:textId="77777777">
        <w:trPr>
          <w:divId w:val="415980837"/>
        </w:trPr>
        <w:tc>
          <w:tcPr>
            <w:tcW w:w="0" w:type="auto"/>
            <w:shd w:val="clear" w:color="auto" w:fill="FFFFFF"/>
            <w:tcMar>
              <w:top w:w="0" w:type="dxa"/>
              <w:left w:w="180" w:type="dxa"/>
              <w:bottom w:w="0" w:type="dxa"/>
              <w:right w:w="0" w:type="dxa"/>
            </w:tcMar>
            <w:vAlign w:val="bottom"/>
            <w:hideMark/>
          </w:tcPr>
          <w:p w14:paraId="2E388368" w14:textId="77777777" w:rsidR="00000000" w:rsidRDefault="002F725F">
            <w:pPr>
              <w:ind w:hanging="180"/>
              <w:rPr>
                <w:rFonts w:eastAsia="Times New Roman"/>
                <w:sz w:val="20"/>
                <w:szCs w:val="20"/>
              </w:rPr>
            </w:pPr>
            <w:r>
              <w:rPr>
                <w:rFonts w:eastAsia="Times New Roman"/>
                <w:sz w:val="20"/>
                <w:szCs w:val="20"/>
              </w:rPr>
              <w:t>Clover Biopharmaceuticals, Ltd.</w:t>
            </w:r>
          </w:p>
        </w:tc>
        <w:tc>
          <w:tcPr>
            <w:tcW w:w="0" w:type="auto"/>
            <w:shd w:val="clear" w:color="auto" w:fill="FFFFFF"/>
            <w:vAlign w:val="bottom"/>
            <w:hideMark/>
          </w:tcPr>
          <w:p w14:paraId="4915F17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9DE37E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D137D8D"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FFFFFF"/>
            <w:vAlign w:val="bottom"/>
            <w:hideMark/>
          </w:tcPr>
          <w:p w14:paraId="3FC43B8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62C717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209269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41A3237"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3C054D2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26CF36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8C3BA4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7CCE352"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7A3991D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D9D934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1286D2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6F040E4"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39F64ED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93C143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0DFF74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B1DC684"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FFFFFF"/>
            <w:vAlign w:val="bottom"/>
            <w:hideMark/>
          </w:tcPr>
          <w:p w14:paraId="0055957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E54A69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087C1F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3288070"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33D4178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A96D9B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82B85F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8BE526D"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386D24A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E24A4B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ED0C0B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97E5FC8"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FFFFFF"/>
            <w:vAlign w:val="bottom"/>
            <w:hideMark/>
          </w:tcPr>
          <w:p w14:paraId="602D6F1E" w14:textId="77777777" w:rsidR="00000000" w:rsidRDefault="002F725F">
            <w:pPr>
              <w:rPr>
                <w:rFonts w:eastAsia="Times New Roman"/>
                <w:sz w:val="20"/>
                <w:szCs w:val="20"/>
              </w:rPr>
            </w:pPr>
            <w:r>
              <w:rPr>
                <w:rFonts w:eastAsia="Times New Roman"/>
                <w:sz w:val="20"/>
                <w:szCs w:val="20"/>
              </w:rPr>
              <w:t> </w:t>
            </w:r>
          </w:p>
        </w:tc>
      </w:tr>
      <w:tr w:rsidR="002F725F" w14:paraId="621A4640" w14:textId="77777777">
        <w:trPr>
          <w:divId w:val="415980837"/>
        </w:trPr>
        <w:tc>
          <w:tcPr>
            <w:tcW w:w="0" w:type="auto"/>
            <w:shd w:val="clear" w:color="auto" w:fill="CCEEFF"/>
            <w:tcMar>
              <w:top w:w="0" w:type="dxa"/>
              <w:left w:w="180" w:type="dxa"/>
              <w:bottom w:w="0" w:type="dxa"/>
              <w:right w:w="0" w:type="dxa"/>
            </w:tcMar>
            <w:vAlign w:val="bottom"/>
            <w:hideMark/>
          </w:tcPr>
          <w:p w14:paraId="685DE731" w14:textId="77777777" w:rsidR="00000000" w:rsidRDefault="002F725F">
            <w:pPr>
              <w:ind w:hanging="180"/>
              <w:rPr>
                <w:rFonts w:eastAsia="Times New Roman"/>
                <w:sz w:val="20"/>
                <w:szCs w:val="20"/>
              </w:rPr>
            </w:pPr>
            <w:r>
              <w:rPr>
                <w:rFonts w:eastAsia="Times New Roman"/>
                <w:sz w:val="20"/>
                <w:szCs w:val="20"/>
              </w:rPr>
              <w:t>Kamada Ltd.</w:t>
            </w:r>
          </w:p>
        </w:tc>
        <w:tc>
          <w:tcPr>
            <w:tcW w:w="0" w:type="auto"/>
            <w:shd w:val="clear" w:color="auto" w:fill="CCEEFF"/>
            <w:vAlign w:val="bottom"/>
            <w:hideMark/>
          </w:tcPr>
          <w:p w14:paraId="757B446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4FCEC9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60CC1A8" w14:textId="77777777" w:rsidR="00000000" w:rsidRDefault="002F725F">
            <w:pPr>
              <w:jc w:val="right"/>
              <w:rPr>
                <w:rFonts w:eastAsia="Times New Roman"/>
                <w:sz w:val="20"/>
                <w:szCs w:val="20"/>
              </w:rPr>
            </w:pPr>
            <w:r>
              <w:rPr>
                <w:rFonts w:eastAsia="Times New Roman"/>
                <w:sz w:val="20"/>
                <w:szCs w:val="20"/>
              </w:rPr>
              <w:t>8.7x</w:t>
            </w:r>
          </w:p>
        </w:tc>
        <w:tc>
          <w:tcPr>
            <w:tcW w:w="0" w:type="auto"/>
            <w:shd w:val="clear" w:color="auto" w:fill="CCEEFF"/>
            <w:vAlign w:val="bottom"/>
            <w:hideMark/>
          </w:tcPr>
          <w:p w14:paraId="726E265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6C1CF6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43F006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0005D85" w14:textId="77777777" w:rsidR="00000000" w:rsidRDefault="002F725F">
            <w:pPr>
              <w:jc w:val="right"/>
              <w:rPr>
                <w:rFonts w:eastAsia="Times New Roman"/>
                <w:sz w:val="20"/>
                <w:szCs w:val="20"/>
              </w:rPr>
            </w:pPr>
            <w:r>
              <w:rPr>
                <w:rFonts w:eastAsia="Times New Roman"/>
                <w:sz w:val="20"/>
                <w:szCs w:val="20"/>
              </w:rPr>
              <w:t>8.6x</w:t>
            </w:r>
          </w:p>
        </w:tc>
        <w:tc>
          <w:tcPr>
            <w:tcW w:w="0" w:type="auto"/>
            <w:shd w:val="clear" w:color="auto" w:fill="CCEEFF"/>
            <w:vAlign w:val="bottom"/>
            <w:hideMark/>
          </w:tcPr>
          <w:p w14:paraId="79107DD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8B7DE9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0E2557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5F67D11" w14:textId="77777777" w:rsidR="00000000" w:rsidRDefault="002F725F">
            <w:pPr>
              <w:jc w:val="right"/>
              <w:rPr>
                <w:rFonts w:eastAsia="Times New Roman"/>
                <w:sz w:val="20"/>
                <w:szCs w:val="20"/>
              </w:rPr>
            </w:pPr>
            <w:r>
              <w:rPr>
                <w:rFonts w:eastAsia="Times New Roman"/>
                <w:sz w:val="20"/>
                <w:szCs w:val="20"/>
              </w:rPr>
              <w:t>7.7x</w:t>
            </w:r>
          </w:p>
        </w:tc>
        <w:tc>
          <w:tcPr>
            <w:tcW w:w="0" w:type="auto"/>
            <w:shd w:val="clear" w:color="auto" w:fill="CCEEFF"/>
            <w:vAlign w:val="bottom"/>
            <w:hideMark/>
          </w:tcPr>
          <w:p w14:paraId="6C28DB2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66C492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3400D4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B4B279A" w14:textId="77777777" w:rsidR="00000000" w:rsidRDefault="002F725F">
            <w:pPr>
              <w:jc w:val="right"/>
              <w:rPr>
                <w:rFonts w:eastAsia="Times New Roman"/>
                <w:sz w:val="20"/>
                <w:szCs w:val="20"/>
              </w:rPr>
            </w:pPr>
            <w:r>
              <w:rPr>
                <w:rFonts w:eastAsia="Times New Roman"/>
                <w:sz w:val="20"/>
                <w:szCs w:val="20"/>
              </w:rPr>
              <w:t>5.7x</w:t>
            </w:r>
          </w:p>
        </w:tc>
        <w:tc>
          <w:tcPr>
            <w:tcW w:w="0" w:type="auto"/>
            <w:shd w:val="clear" w:color="auto" w:fill="CCEEFF"/>
            <w:vAlign w:val="bottom"/>
            <w:hideMark/>
          </w:tcPr>
          <w:p w14:paraId="4D3B169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EDF4C7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78468D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DB7A9A4" w14:textId="77777777" w:rsidR="00000000" w:rsidRDefault="002F725F">
            <w:pPr>
              <w:jc w:val="right"/>
              <w:rPr>
                <w:rFonts w:eastAsia="Times New Roman"/>
                <w:sz w:val="20"/>
                <w:szCs w:val="20"/>
              </w:rPr>
            </w:pPr>
            <w:r>
              <w:rPr>
                <w:rFonts w:eastAsia="Times New Roman"/>
                <w:sz w:val="20"/>
                <w:szCs w:val="20"/>
              </w:rPr>
              <w:t>2.05x</w:t>
            </w:r>
          </w:p>
        </w:tc>
        <w:tc>
          <w:tcPr>
            <w:tcW w:w="0" w:type="auto"/>
            <w:shd w:val="clear" w:color="auto" w:fill="CCEEFF"/>
            <w:vAlign w:val="bottom"/>
            <w:hideMark/>
          </w:tcPr>
          <w:p w14:paraId="09F4041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14DEEF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5D4BF2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DB57A0E" w14:textId="77777777" w:rsidR="00000000" w:rsidRDefault="002F725F">
            <w:pPr>
              <w:jc w:val="right"/>
              <w:rPr>
                <w:rFonts w:eastAsia="Times New Roman"/>
                <w:sz w:val="20"/>
                <w:szCs w:val="20"/>
              </w:rPr>
            </w:pPr>
            <w:r>
              <w:rPr>
                <w:rFonts w:eastAsia="Times New Roman"/>
                <w:sz w:val="20"/>
                <w:szCs w:val="20"/>
              </w:rPr>
              <w:t>1.92x</w:t>
            </w:r>
          </w:p>
        </w:tc>
        <w:tc>
          <w:tcPr>
            <w:tcW w:w="0" w:type="auto"/>
            <w:shd w:val="clear" w:color="auto" w:fill="CCEEFF"/>
            <w:vAlign w:val="bottom"/>
            <w:hideMark/>
          </w:tcPr>
          <w:p w14:paraId="16184AD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CFC1F8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F53515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A637C40" w14:textId="77777777" w:rsidR="00000000" w:rsidRDefault="002F725F">
            <w:pPr>
              <w:jc w:val="right"/>
              <w:rPr>
                <w:rFonts w:eastAsia="Times New Roman"/>
                <w:sz w:val="20"/>
                <w:szCs w:val="20"/>
              </w:rPr>
            </w:pPr>
            <w:r>
              <w:rPr>
                <w:rFonts w:eastAsia="Times New Roman"/>
                <w:sz w:val="20"/>
                <w:szCs w:val="20"/>
              </w:rPr>
              <w:t>1.77x</w:t>
            </w:r>
          </w:p>
        </w:tc>
        <w:tc>
          <w:tcPr>
            <w:tcW w:w="0" w:type="auto"/>
            <w:shd w:val="clear" w:color="auto" w:fill="CCEEFF"/>
            <w:vAlign w:val="bottom"/>
            <w:hideMark/>
          </w:tcPr>
          <w:p w14:paraId="45A2655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216760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2BA9F9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C8954C6" w14:textId="77777777" w:rsidR="00000000" w:rsidRDefault="002F725F">
            <w:pPr>
              <w:jc w:val="right"/>
              <w:rPr>
                <w:rFonts w:eastAsia="Times New Roman"/>
                <w:sz w:val="20"/>
                <w:szCs w:val="20"/>
              </w:rPr>
            </w:pPr>
            <w:r>
              <w:rPr>
                <w:rFonts w:eastAsia="Times New Roman"/>
                <w:sz w:val="20"/>
                <w:szCs w:val="20"/>
              </w:rPr>
              <w:t>1.62x</w:t>
            </w:r>
          </w:p>
        </w:tc>
        <w:tc>
          <w:tcPr>
            <w:tcW w:w="0" w:type="auto"/>
            <w:shd w:val="clear" w:color="auto" w:fill="CCEEFF"/>
            <w:vAlign w:val="bottom"/>
            <w:hideMark/>
          </w:tcPr>
          <w:p w14:paraId="7B861681" w14:textId="77777777" w:rsidR="00000000" w:rsidRDefault="002F725F">
            <w:pPr>
              <w:jc w:val="right"/>
              <w:rPr>
                <w:rFonts w:eastAsia="Times New Roman"/>
                <w:sz w:val="20"/>
                <w:szCs w:val="20"/>
              </w:rPr>
            </w:pPr>
          </w:p>
        </w:tc>
      </w:tr>
      <w:tr w:rsidR="002F725F" w14:paraId="5DAB900D" w14:textId="77777777">
        <w:trPr>
          <w:divId w:val="415980837"/>
        </w:trPr>
        <w:tc>
          <w:tcPr>
            <w:tcW w:w="0" w:type="auto"/>
            <w:shd w:val="clear" w:color="auto" w:fill="FFFFFF"/>
            <w:tcMar>
              <w:top w:w="0" w:type="dxa"/>
              <w:left w:w="180" w:type="dxa"/>
              <w:bottom w:w="0" w:type="dxa"/>
              <w:right w:w="0" w:type="dxa"/>
            </w:tcMar>
            <w:vAlign w:val="bottom"/>
            <w:hideMark/>
          </w:tcPr>
          <w:p w14:paraId="2505FAF7" w14:textId="77777777" w:rsidR="00000000" w:rsidRDefault="002F725F">
            <w:pPr>
              <w:ind w:hanging="180"/>
              <w:rPr>
                <w:rFonts w:eastAsia="Times New Roman"/>
                <w:sz w:val="20"/>
                <w:szCs w:val="20"/>
              </w:rPr>
            </w:pPr>
            <w:r>
              <w:rPr>
                <w:rFonts w:eastAsia="Times New Roman"/>
                <w:sz w:val="20"/>
                <w:szCs w:val="20"/>
              </w:rPr>
              <w:t>Sanofi</w:t>
            </w:r>
          </w:p>
        </w:tc>
        <w:tc>
          <w:tcPr>
            <w:tcW w:w="0" w:type="auto"/>
            <w:shd w:val="clear" w:color="auto" w:fill="FFFFFF"/>
            <w:vAlign w:val="bottom"/>
            <w:hideMark/>
          </w:tcPr>
          <w:p w14:paraId="717996E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09F904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46E1A8D" w14:textId="77777777" w:rsidR="00000000" w:rsidRDefault="002F725F">
            <w:pPr>
              <w:jc w:val="right"/>
              <w:rPr>
                <w:rFonts w:eastAsia="Times New Roman"/>
                <w:sz w:val="20"/>
                <w:szCs w:val="20"/>
              </w:rPr>
            </w:pPr>
            <w:r>
              <w:rPr>
                <w:rFonts w:eastAsia="Times New Roman"/>
                <w:sz w:val="20"/>
                <w:szCs w:val="20"/>
              </w:rPr>
              <w:t>8.5x</w:t>
            </w:r>
          </w:p>
        </w:tc>
        <w:tc>
          <w:tcPr>
            <w:tcW w:w="0" w:type="auto"/>
            <w:shd w:val="clear" w:color="auto" w:fill="FFFFFF"/>
            <w:vAlign w:val="bottom"/>
            <w:hideMark/>
          </w:tcPr>
          <w:p w14:paraId="6EFD869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F22046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70F0B3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72E91EE" w14:textId="77777777" w:rsidR="00000000" w:rsidRDefault="002F725F">
            <w:pPr>
              <w:jc w:val="right"/>
              <w:rPr>
                <w:rFonts w:eastAsia="Times New Roman"/>
                <w:sz w:val="20"/>
                <w:szCs w:val="20"/>
              </w:rPr>
            </w:pPr>
            <w:r>
              <w:rPr>
                <w:rFonts w:eastAsia="Times New Roman"/>
                <w:sz w:val="20"/>
                <w:szCs w:val="20"/>
              </w:rPr>
              <w:t>7.9x</w:t>
            </w:r>
          </w:p>
        </w:tc>
        <w:tc>
          <w:tcPr>
            <w:tcW w:w="0" w:type="auto"/>
            <w:shd w:val="clear" w:color="auto" w:fill="FFFFFF"/>
            <w:vAlign w:val="bottom"/>
            <w:hideMark/>
          </w:tcPr>
          <w:p w14:paraId="20A1137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E751C1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DC47AD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5A9A968" w14:textId="77777777" w:rsidR="00000000" w:rsidRDefault="002F725F">
            <w:pPr>
              <w:jc w:val="right"/>
              <w:rPr>
                <w:rFonts w:eastAsia="Times New Roman"/>
                <w:sz w:val="20"/>
                <w:szCs w:val="20"/>
              </w:rPr>
            </w:pPr>
            <w:r>
              <w:rPr>
                <w:rFonts w:eastAsia="Times New Roman"/>
                <w:sz w:val="20"/>
                <w:szCs w:val="20"/>
              </w:rPr>
              <w:t>7.3x</w:t>
            </w:r>
          </w:p>
        </w:tc>
        <w:tc>
          <w:tcPr>
            <w:tcW w:w="0" w:type="auto"/>
            <w:shd w:val="clear" w:color="auto" w:fill="FFFFFF"/>
            <w:vAlign w:val="bottom"/>
            <w:hideMark/>
          </w:tcPr>
          <w:p w14:paraId="58D4B4B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325208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25DAB4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E812468" w14:textId="77777777" w:rsidR="00000000" w:rsidRDefault="002F725F">
            <w:pPr>
              <w:jc w:val="right"/>
              <w:rPr>
                <w:rFonts w:eastAsia="Times New Roman"/>
                <w:sz w:val="20"/>
                <w:szCs w:val="20"/>
              </w:rPr>
            </w:pPr>
            <w:r>
              <w:rPr>
                <w:rFonts w:eastAsia="Times New Roman"/>
                <w:sz w:val="20"/>
                <w:szCs w:val="20"/>
              </w:rPr>
              <w:t>6.8x</w:t>
            </w:r>
          </w:p>
        </w:tc>
        <w:tc>
          <w:tcPr>
            <w:tcW w:w="0" w:type="auto"/>
            <w:shd w:val="clear" w:color="auto" w:fill="FFFFFF"/>
            <w:vAlign w:val="bottom"/>
            <w:hideMark/>
          </w:tcPr>
          <w:p w14:paraId="0B5E5A4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DB983D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102F41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95A15C7" w14:textId="77777777" w:rsidR="00000000" w:rsidRDefault="002F725F">
            <w:pPr>
              <w:jc w:val="right"/>
              <w:rPr>
                <w:rFonts w:eastAsia="Times New Roman"/>
                <w:sz w:val="20"/>
                <w:szCs w:val="20"/>
              </w:rPr>
            </w:pPr>
            <w:r>
              <w:rPr>
                <w:rFonts w:eastAsia="Times New Roman"/>
                <w:sz w:val="20"/>
                <w:szCs w:val="20"/>
              </w:rPr>
              <w:t>2.33x</w:t>
            </w:r>
          </w:p>
        </w:tc>
        <w:tc>
          <w:tcPr>
            <w:tcW w:w="0" w:type="auto"/>
            <w:shd w:val="clear" w:color="auto" w:fill="FFFFFF"/>
            <w:vAlign w:val="bottom"/>
            <w:hideMark/>
          </w:tcPr>
          <w:p w14:paraId="500258D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5164ED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3DBBD8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0022CE5" w14:textId="77777777" w:rsidR="00000000" w:rsidRDefault="002F725F">
            <w:pPr>
              <w:jc w:val="right"/>
              <w:rPr>
                <w:rFonts w:eastAsia="Times New Roman"/>
                <w:sz w:val="20"/>
                <w:szCs w:val="20"/>
              </w:rPr>
            </w:pPr>
            <w:r>
              <w:rPr>
                <w:rFonts w:eastAsia="Times New Roman"/>
                <w:sz w:val="20"/>
                <w:szCs w:val="20"/>
              </w:rPr>
              <w:t>2.43x</w:t>
            </w:r>
          </w:p>
        </w:tc>
        <w:tc>
          <w:tcPr>
            <w:tcW w:w="0" w:type="auto"/>
            <w:shd w:val="clear" w:color="auto" w:fill="FFFFFF"/>
            <w:vAlign w:val="bottom"/>
            <w:hideMark/>
          </w:tcPr>
          <w:p w14:paraId="4E81330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D8F1AE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60748A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07B5F33" w14:textId="77777777" w:rsidR="00000000" w:rsidRDefault="002F725F">
            <w:pPr>
              <w:jc w:val="right"/>
              <w:rPr>
                <w:rFonts w:eastAsia="Times New Roman"/>
                <w:sz w:val="20"/>
                <w:szCs w:val="20"/>
              </w:rPr>
            </w:pPr>
            <w:r>
              <w:rPr>
                <w:rFonts w:eastAsia="Times New Roman"/>
                <w:sz w:val="20"/>
                <w:szCs w:val="20"/>
              </w:rPr>
              <w:t>2.25x</w:t>
            </w:r>
          </w:p>
        </w:tc>
        <w:tc>
          <w:tcPr>
            <w:tcW w:w="0" w:type="auto"/>
            <w:shd w:val="clear" w:color="auto" w:fill="FFFFFF"/>
            <w:vAlign w:val="bottom"/>
            <w:hideMark/>
          </w:tcPr>
          <w:p w14:paraId="77FFFF4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2F0C87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A4670E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B65AC80" w14:textId="77777777" w:rsidR="00000000" w:rsidRDefault="002F725F">
            <w:pPr>
              <w:jc w:val="right"/>
              <w:rPr>
                <w:rFonts w:eastAsia="Times New Roman"/>
                <w:sz w:val="20"/>
                <w:szCs w:val="20"/>
              </w:rPr>
            </w:pPr>
            <w:r>
              <w:rPr>
                <w:rFonts w:eastAsia="Times New Roman"/>
                <w:sz w:val="20"/>
                <w:szCs w:val="20"/>
              </w:rPr>
              <w:t>2.13x</w:t>
            </w:r>
          </w:p>
        </w:tc>
        <w:tc>
          <w:tcPr>
            <w:tcW w:w="0" w:type="auto"/>
            <w:shd w:val="clear" w:color="auto" w:fill="FFFFFF"/>
            <w:vAlign w:val="bottom"/>
            <w:hideMark/>
          </w:tcPr>
          <w:p w14:paraId="669783E3" w14:textId="77777777" w:rsidR="00000000" w:rsidRDefault="002F725F">
            <w:pPr>
              <w:rPr>
                <w:rFonts w:eastAsia="Times New Roman"/>
                <w:sz w:val="20"/>
                <w:szCs w:val="20"/>
              </w:rPr>
            </w:pPr>
            <w:r>
              <w:rPr>
                <w:rFonts w:eastAsia="Times New Roman"/>
                <w:sz w:val="20"/>
                <w:szCs w:val="20"/>
              </w:rPr>
              <w:t> </w:t>
            </w:r>
          </w:p>
        </w:tc>
      </w:tr>
      <w:tr w:rsidR="002F725F" w14:paraId="6AFAC0C4" w14:textId="77777777">
        <w:trPr>
          <w:divId w:val="415980837"/>
        </w:trPr>
        <w:tc>
          <w:tcPr>
            <w:tcW w:w="0" w:type="auto"/>
            <w:shd w:val="clear" w:color="auto" w:fill="CCEEFF"/>
            <w:tcMar>
              <w:top w:w="0" w:type="dxa"/>
              <w:left w:w="180" w:type="dxa"/>
              <w:bottom w:w="30" w:type="dxa"/>
              <w:right w:w="0" w:type="dxa"/>
            </w:tcMar>
            <w:vAlign w:val="bottom"/>
            <w:hideMark/>
          </w:tcPr>
          <w:p w14:paraId="19C234D7" w14:textId="77777777" w:rsidR="00000000" w:rsidRDefault="002F725F">
            <w:pPr>
              <w:ind w:hanging="180"/>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4A71E81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EE14E8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48DCC1B"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7EDC23D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5E56D41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412E44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3CD1A1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0E6DCB9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2527B89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FE1722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6E59206"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301F9ED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481E3DF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B3C9AC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F0AA0E7"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05CBAB3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71751D9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4FD59A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664A12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0D870DF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112F8A9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7E4456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B476100"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3C611C0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747C5ED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24FC12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8B143F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3388416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0D42DA6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8C05E4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6EEB079"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6DF4FF80" w14:textId="77777777" w:rsidR="00000000" w:rsidRDefault="002F725F">
            <w:pPr>
              <w:rPr>
                <w:rFonts w:eastAsia="Times New Roman"/>
                <w:sz w:val="20"/>
                <w:szCs w:val="20"/>
              </w:rPr>
            </w:pPr>
            <w:r>
              <w:rPr>
                <w:rFonts w:eastAsia="Times New Roman"/>
                <w:sz w:val="20"/>
                <w:szCs w:val="20"/>
              </w:rPr>
              <w:t> </w:t>
            </w:r>
          </w:p>
        </w:tc>
      </w:tr>
      <w:tr w:rsidR="002F725F" w14:paraId="0DDCE685" w14:textId="77777777">
        <w:trPr>
          <w:divId w:val="415980837"/>
        </w:trPr>
        <w:tc>
          <w:tcPr>
            <w:tcW w:w="0" w:type="auto"/>
            <w:shd w:val="clear" w:color="auto" w:fill="FFFFFF"/>
            <w:tcMar>
              <w:top w:w="0" w:type="dxa"/>
              <w:left w:w="180" w:type="dxa"/>
              <w:bottom w:w="0" w:type="dxa"/>
              <w:right w:w="0" w:type="dxa"/>
            </w:tcMar>
            <w:vAlign w:val="bottom"/>
            <w:hideMark/>
          </w:tcPr>
          <w:p w14:paraId="30C2155E" w14:textId="77777777" w:rsidR="00000000" w:rsidRDefault="002F725F">
            <w:pPr>
              <w:ind w:hanging="180"/>
              <w:rPr>
                <w:rFonts w:eastAsia="Times New Roman"/>
                <w:b/>
                <w:bCs/>
                <w:sz w:val="20"/>
                <w:szCs w:val="20"/>
              </w:rPr>
            </w:pPr>
            <w:r>
              <w:rPr>
                <w:rFonts w:eastAsia="Times New Roman"/>
                <w:b/>
                <w:bCs/>
                <w:sz w:val="20"/>
                <w:szCs w:val="20"/>
              </w:rPr>
              <w:t>Mean</w:t>
            </w:r>
          </w:p>
        </w:tc>
        <w:tc>
          <w:tcPr>
            <w:tcW w:w="0" w:type="auto"/>
            <w:shd w:val="clear" w:color="auto" w:fill="FFFFFF"/>
            <w:vAlign w:val="bottom"/>
            <w:hideMark/>
          </w:tcPr>
          <w:p w14:paraId="20BA7BDC"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2D2E700E"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698D8759" w14:textId="77777777" w:rsidR="00000000" w:rsidRDefault="002F725F">
            <w:pPr>
              <w:jc w:val="right"/>
              <w:rPr>
                <w:rFonts w:eastAsia="Times New Roman"/>
                <w:b/>
                <w:bCs/>
                <w:sz w:val="20"/>
                <w:szCs w:val="20"/>
              </w:rPr>
            </w:pPr>
            <w:r>
              <w:rPr>
                <w:rFonts w:eastAsia="Times New Roman"/>
                <w:b/>
                <w:bCs/>
                <w:sz w:val="20"/>
                <w:szCs w:val="20"/>
              </w:rPr>
              <w:t>8.6x</w:t>
            </w:r>
          </w:p>
        </w:tc>
        <w:tc>
          <w:tcPr>
            <w:tcW w:w="0" w:type="auto"/>
            <w:shd w:val="clear" w:color="auto" w:fill="FFFFFF"/>
            <w:vAlign w:val="bottom"/>
            <w:hideMark/>
          </w:tcPr>
          <w:p w14:paraId="758E5F5C"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71ED3A3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34DE47B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4E70F557" w14:textId="77777777" w:rsidR="00000000" w:rsidRDefault="002F725F">
            <w:pPr>
              <w:jc w:val="right"/>
              <w:rPr>
                <w:rFonts w:eastAsia="Times New Roman"/>
                <w:b/>
                <w:bCs/>
                <w:sz w:val="20"/>
                <w:szCs w:val="20"/>
              </w:rPr>
            </w:pPr>
            <w:r>
              <w:rPr>
                <w:rFonts w:eastAsia="Times New Roman"/>
                <w:b/>
                <w:bCs/>
                <w:sz w:val="20"/>
                <w:szCs w:val="20"/>
              </w:rPr>
              <w:t>8.3x</w:t>
            </w:r>
          </w:p>
        </w:tc>
        <w:tc>
          <w:tcPr>
            <w:tcW w:w="0" w:type="auto"/>
            <w:shd w:val="clear" w:color="auto" w:fill="FFFFFF"/>
            <w:vAlign w:val="bottom"/>
            <w:hideMark/>
          </w:tcPr>
          <w:p w14:paraId="5E80F29B"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13E802A5"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46BA41B8"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7277F826" w14:textId="77777777" w:rsidR="00000000" w:rsidRDefault="002F725F">
            <w:pPr>
              <w:jc w:val="right"/>
              <w:rPr>
                <w:rFonts w:eastAsia="Times New Roman"/>
                <w:b/>
                <w:bCs/>
                <w:sz w:val="20"/>
                <w:szCs w:val="20"/>
              </w:rPr>
            </w:pPr>
            <w:r>
              <w:rPr>
                <w:rFonts w:eastAsia="Times New Roman"/>
                <w:b/>
                <w:bCs/>
                <w:sz w:val="20"/>
                <w:szCs w:val="20"/>
              </w:rPr>
              <w:t>14.7x</w:t>
            </w:r>
          </w:p>
        </w:tc>
        <w:tc>
          <w:tcPr>
            <w:tcW w:w="0" w:type="auto"/>
            <w:shd w:val="clear" w:color="auto" w:fill="FFFFFF"/>
            <w:vAlign w:val="bottom"/>
            <w:hideMark/>
          </w:tcPr>
          <w:p w14:paraId="7F77AE81"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2D6E8FDD"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0591D4A6"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4697A318" w14:textId="77777777" w:rsidR="00000000" w:rsidRDefault="002F725F">
            <w:pPr>
              <w:jc w:val="right"/>
              <w:rPr>
                <w:rFonts w:eastAsia="Times New Roman"/>
                <w:b/>
                <w:bCs/>
                <w:sz w:val="20"/>
                <w:szCs w:val="20"/>
              </w:rPr>
            </w:pPr>
            <w:r>
              <w:rPr>
                <w:rFonts w:eastAsia="Times New Roman"/>
                <w:b/>
                <w:bCs/>
                <w:sz w:val="20"/>
                <w:szCs w:val="20"/>
              </w:rPr>
              <w:t>9.7x</w:t>
            </w:r>
          </w:p>
        </w:tc>
        <w:tc>
          <w:tcPr>
            <w:tcW w:w="0" w:type="auto"/>
            <w:shd w:val="clear" w:color="auto" w:fill="FFFFFF"/>
            <w:vAlign w:val="bottom"/>
            <w:hideMark/>
          </w:tcPr>
          <w:p w14:paraId="4258B1CD"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5FA9D665"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1192C121"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4607B9B3" w14:textId="77777777" w:rsidR="00000000" w:rsidRDefault="002F725F">
            <w:pPr>
              <w:jc w:val="right"/>
              <w:rPr>
                <w:rFonts w:eastAsia="Times New Roman"/>
                <w:b/>
                <w:bCs/>
                <w:sz w:val="20"/>
                <w:szCs w:val="20"/>
              </w:rPr>
            </w:pPr>
            <w:r>
              <w:rPr>
                <w:rFonts w:eastAsia="Times New Roman"/>
                <w:b/>
                <w:bCs/>
                <w:sz w:val="20"/>
                <w:szCs w:val="20"/>
              </w:rPr>
              <w:t>5.67x</w:t>
            </w:r>
          </w:p>
        </w:tc>
        <w:tc>
          <w:tcPr>
            <w:tcW w:w="0" w:type="auto"/>
            <w:shd w:val="clear" w:color="auto" w:fill="FFFFFF"/>
            <w:vAlign w:val="bottom"/>
            <w:hideMark/>
          </w:tcPr>
          <w:p w14:paraId="316BD009"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1018B21A"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1E755834"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16C584AE" w14:textId="77777777" w:rsidR="00000000" w:rsidRDefault="002F725F">
            <w:pPr>
              <w:jc w:val="right"/>
              <w:rPr>
                <w:rFonts w:eastAsia="Times New Roman"/>
                <w:b/>
                <w:bCs/>
                <w:sz w:val="20"/>
                <w:szCs w:val="20"/>
              </w:rPr>
            </w:pPr>
            <w:r>
              <w:rPr>
                <w:rFonts w:eastAsia="Times New Roman"/>
                <w:b/>
                <w:bCs/>
                <w:sz w:val="20"/>
                <w:szCs w:val="20"/>
              </w:rPr>
              <w:t>5.76x</w:t>
            </w:r>
          </w:p>
        </w:tc>
        <w:tc>
          <w:tcPr>
            <w:tcW w:w="0" w:type="auto"/>
            <w:shd w:val="clear" w:color="auto" w:fill="FFFFFF"/>
            <w:vAlign w:val="bottom"/>
            <w:hideMark/>
          </w:tcPr>
          <w:p w14:paraId="327FCD1F"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6BECE3CB"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79EBD229"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66EA72FE" w14:textId="77777777" w:rsidR="00000000" w:rsidRDefault="002F725F">
            <w:pPr>
              <w:jc w:val="right"/>
              <w:rPr>
                <w:rFonts w:eastAsia="Times New Roman"/>
                <w:b/>
                <w:bCs/>
                <w:sz w:val="20"/>
                <w:szCs w:val="20"/>
              </w:rPr>
            </w:pPr>
            <w:r>
              <w:rPr>
                <w:rFonts w:eastAsia="Times New Roman"/>
                <w:b/>
                <w:bCs/>
                <w:sz w:val="20"/>
                <w:szCs w:val="20"/>
              </w:rPr>
              <w:t>4.41x</w:t>
            </w:r>
          </w:p>
        </w:tc>
        <w:tc>
          <w:tcPr>
            <w:tcW w:w="0" w:type="auto"/>
            <w:shd w:val="clear" w:color="auto" w:fill="FFFFFF"/>
            <w:vAlign w:val="bottom"/>
            <w:hideMark/>
          </w:tcPr>
          <w:p w14:paraId="4B4A5D1A"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7EE29EAF"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56EEA386"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1C042093" w14:textId="77777777" w:rsidR="00000000" w:rsidRDefault="002F725F">
            <w:pPr>
              <w:jc w:val="right"/>
              <w:rPr>
                <w:rFonts w:eastAsia="Times New Roman"/>
                <w:b/>
                <w:bCs/>
                <w:sz w:val="20"/>
                <w:szCs w:val="20"/>
              </w:rPr>
            </w:pPr>
            <w:r>
              <w:rPr>
                <w:rFonts w:eastAsia="Times New Roman"/>
                <w:b/>
                <w:bCs/>
                <w:sz w:val="20"/>
                <w:szCs w:val="20"/>
              </w:rPr>
              <w:t>3.40x</w:t>
            </w:r>
          </w:p>
        </w:tc>
        <w:tc>
          <w:tcPr>
            <w:tcW w:w="0" w:type="auto"/>
            <w:shd w:val="clear" w:color="auto" w:fill="FFFFFF"/>
            <w:vAlign w:val="bottom"/>
            <w:hideMark/>
          </w:tcPr>
          <w:p w14:paraId="65627986" w14:textId="77777777" w:rsidR="00000000" w:rsidRDefault="002F725F">
            <w:pPr>
              <w:jc w:val="right"/>
              <w:rPr>
                <w:rFonts w:eastAsia="Times New Roman"/>
                <w:b/>
                <w:bCs/>
                <w:sz w:val="20"/>
                <w:szCs w:val="20"/>
              </w:rPr>
            </w:pPr>
          </w:p>
        </w:tc>
      </w:tr>
      <w:tr w:rsidR="002F725F" w14:paraId="1BF3627A" w14:textId="77777777">
        <w:trPr>
          <w:divId w:val="415980837"/>
        </w:trPr>
        <w:tc>
          <w:tcPr>
            <w:tcW w:w="0" w:type="auto"/>
            <w:shd w:val="clear" w:color="auto" w:fill="CCEEFF"/>
            <w:tcMar>
              <w:top w:w="0" w:type="dxa"/>
              <w:left w:w="180" w:type="dxa"/>
              <w:bottom w:w="30" w:type="dxa"/>
              <w:right w:w="0" w:type="dxa"/>
            </w:tcMar>
            <w:vAlign w:val="bottom"/>
            <w:hideMark/>
          </w:tcPr>
          <w:p w14:paraId="6E8431D0" w14:textId="77777777" w:rsidR="00000000" w:rsidRDefault="002F725F">
            <w:pPr>
              <w:ind w:hanging="180"/>
              <w:rPr>
                <w:rFonts w:eastAsia="Times New Roman"/>
                <w:b/>
                <w:bCs/>
                <w:sz w:val="20"/>
                <w:szCs w:val="20"/>
              </w:rPr>
            </w:pPr>
            <w:r>
              <w:rPr>
                <w:rFonts w:eastAsia="Times New Roman"/>
                <w:b/>
                <w:bCs/>
                <w:sz w:val="20"/>
                <w:szCs w:val="20"/>
              </w:rPr>
              <w:t>Median</w:t>
            </w:r>
          </w:p>
        </w:tc>
        <w:tc>
          <w:tcPr>
            <w:tcW w:w="0" w:type="auto"/>
            <w:shd w:val="clear" w:color="auto" w:fill="CCEEFF"/>
            <w:tcMar>
              <w:top w:w="0" w:type="dxa"/>
              <w:left w:w="0" w:type="dxa"/>
              <w:bottom w:w="30" w:type="dxa"/>
              <w:right w:w="0" w:type="dxa"/>
            </w:tcMar>
            <w:vAlign w:val="bottom"/>
            <w:hideMark/>
          </w:tcPr>
          <w:p w14:paraId="6077ECED"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73C91D61"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057917EA" w14:textId="77777777" w:rsidR="00000000" w:rsidRDefault="002F725F">
            <w:pPr>
              <w:jc w:val="right"/>
              <w:rPr>
                <w:rFonts w:eastAsia="Times New Roman"/>
                <w:b/>
                <w:bCs/>
                <w:sz w:val="20"/>
                <w:szCs w:val="20"/>
              </w:rPr>
            </w:pPr>
            <w:r>
              <w:rPr>
                <w:rFonts w:eastAsia="Times New Roman"/>
                <w:b/>
                <w:bCs/>
                <w:sz w:val="20"/>
                <w:szCs w:val="20"/>
              </w:rPr>
              <w:t>8.6x</w:t>
            </w:r>
          </w:p>
        </w:tc>
        <w:tc>
          <w:tcPr>
            <w:tcW w:w="0" w:type="auto"/>
            <w:shd w:val="clear" w:color="auto" w:fill="CCEEFF"/>
            <w:tcMar>
              <w:top w:w="0" w:type="dxa"/>
              <w:left w:w="0" w:type="dxa"/>
              <w:bottom w:w="30" w:type="dxa"/>
              <w:right w:w="0" w:type="dxa"/>
            </w:tcMar>
            <w:vAlign w:val="bottom"/>
            <w:hideMark/>
          </w:tcPr>
          <w:p w14:paraId="11972149"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tcMar>
              <w:top w:w="0" w:type="dxa"/>
              <w:left w:w="0" w:type="dxa"/>
              <w:bottom w:w="30" w:type="dxa"/>
              <w:right w:w="0" w:type="dxa"/>
            </w:tcMar>
            <w:vAlign w:val="bottom"/>
            <w:hideMark/>
          </w:tcPr>
          <w:p w14:paraId="6DE4A69D"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77D8BE9B"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51153DF6" w14:textId="77777777" w:rsidR="00000000" w:rsidRDefault="002F725F">
            <w:pPr>
              <w:jc w:val="right"/>
              <w:rPr>
                <w:rFonts w:eastAsia="Times New Roman"/>
                <w:b/>
                <w:bCs/>
                <w:sz w:val="20"/>
                <w:szCs w:val="20"/>
              </w:rPr>
            </w:pPr>
            <w:r>
              <w:rPr>
                <w:rFonts w:eastAsia="Times New Roman"/>
                <w:b/>
                <w:bCs/>
                <w:sz w:val="20"/>
                <w:szCs w:val="20"/>
              </w:rPr>
              <w:t>8.3x</w:t>
            </w:r>
          </w:p>
        </w:tc>
        <w:tc>
          <w:tcPr>
            <w:tcW w:w="0" w:type="auto"/>
            <w:shd w:val="clear" w:color="auto" w:fill="CCEEFF"/>
            <w:tcMar>
              <w:top w:w="0" w:type="dxa"/>
              <w:left w:w="0" w:type="dxa"/>
              <w:bottom w:w="30" w:type="dxa"/>
              <w:right w:w="0" w:type="dxa"/>
            </w:tcMar>
            <w:vAlign w:val="bottom"/>
            <w:hideMark/>
          </w:tcPr>
          <w:p w14:paraId="36F6F7BC"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tcMar>
              <w:top w:w="0" w:type="dxa"/>
              <w:left w:w="0" w:type="dxa"/>
              <w:bottom w:w="30" w:type="dxa"/>
              <w:right w:w="0" w:type="dxa"/>
            </w:tcMar>
            <w:vAlign w:val="bottom"/>
            <w:hideMark/>
          </w:tcPr>
          <w:p w14:paraId="3B8ABA51"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541A9928"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1B72644E" w14:textId="77777777" w:rsidR="00000000" w:rsidRDefault="002F725F">
            <w:pPr>
              <w:jc w:val="right"/>
              <w:rPr>
                <w:rFonts w:eastAsia="Times New Roman"/>
                <w:b/>
                <w:bCs/>
                <w:sz w:val="20"/>
                <w:szCs w:val="20"/>
              </w:rPr>
            </w:pPr>
            <w:r>
              <w:rPr>
                <w:rFonts w:eastAsia="Times New Roman"/>
                <w:b/>
                <w:bCs/>
                <w:sz w:val="20"/>
                <w:szCs w:val="20"/>
              </w:rPr>
              <w:t>7.7x</w:t>
            </w:r>
          </w:p>
        </w:tc>
        <w:tc>
          <w:tcPr>
            <w:tcW w:w="0" w:type="auto"/>
            <w:shd w:val="clear" w:color="auto" w:fill="CCEEFF"/>
            <w:tcMar>
              <w:top w:w="0" w:type="dxa"/>
              <w:left w:w="0" w:type="dxa"/>
              <w:bottom w:w="30" w:type="dxa"/>
              <w:right w:w="0" w:type="dxa"/>
            </w:tcMar>
            <w:vAlign w:val="bottom"/>
            <w:hideMark/>
          </w:tcPr>
          <w:p w14:paraId="0E7ED6D6"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tcMar>
              <w:top w:w="0" w:type="dxa"/>
              <w:left w:w="0" w:type="dxa"/>
              <w:bottom w:w="30" w:type="dxa"/>
              <w:right w:w="0" w:type="dxa"/>
            </w:tcMar>
            <w:vAlign w:val="bottom"/>
            <w:hideMark/>
          </w:tcPr>
          <w:p w14:paraId="330482B2"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F16ADEC"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341B069C" w14:textId="77777777" w:rsidR="00000000" w:rsidRDefault="002F725F">
            <w:pPr>
              <w:jc w:val="right"/>
              <w:rPr>
                <w:rFonts w:eastAsia="Times New Roman"/>
                <w:b/>
                <w:bCs/>
                <w:sz w:val="20"/>
                <w:szCs w:val="20"/>
              </w:rPr>
            </w:pPr>
            <w:r>
              <w:rPr>
                <w:rFonts w:eastAsia="Times New Roman"/>
                <w:b/>
                <w:bCs/>
                <w:sz w:val="20"/>
                <w:szCs w:val="20"/>
              </w:rPr>
              <w:t>6.8x</w:t>
            </w:r>
          </w:p>
        </w:tc>
        <w:tc>
          <w:tcPr>
            <w:tcW w:w="0" w:type="auto"/>
            <w:shd w:val="clear" w:color="auto" w:fill="CCEEFF"/>
            <w:tcMar>
              <w:top w:w="0" w:type="dxa"/>
              <w:left w:w="0" w:type="dxa"/>
              <w:bottom w:w="30" w:type="dxa"/>
              <w:right w:w="0" w:type="dxa"/>
            </w:tcMar>
            <w:vAlign w:val="bottom"/>
            <w:hideMark/>
          </w:tcPr>
          <w:p w14:paraId="0BD95A47"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tcMar>
              <w:top w:w="0" w:type="dxa"/>
              <w:left w:w="0" w:type="dxa"/>
              <w:bottom w:w="30" w:type="dxa"/>
              <w:right w:w="0" w:type="dxa"/>
            </w:tcMar>
            <w:vAlign w:val="bottom"/>
            <w:hideMark/>
          </w:tcPr>
          <w:p w14:paraId="2C6913D6"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562ABB81"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06817A2" w14:textId="77777777" w:rsidR="00000000" w:rsidRDefault="002F725F">
            <w:pPr>
              <w:jc w:val="right"/>
              <w:rPr>
                <w:rFonts w:eastAsia="Times New Roman"/>
                <w:b/>
                <w:bCs/>
                <w:sz w:val="20"/>
                <w:szCs w:val="20"/>
              </w:rPr>
            </w:pPr>
            <w:r>
              <w:rPr>
                <w:rFonts w:eastAsia="Times New Roman"/>
                <w:b/>
                <w:bCs/>
                <w:sz w:val="20"/>
                <w:szCs w:val="20"/>
              </w:rPr>
              <w:t>3.54x</w:t>
            </w:r>
          </w:p>
        </w:tc>
        <w:tc>
          <w:tcPr>
            <w:tcW w:w="0" w:type="auto"/>
            <w:shd w:val="clear" w:color="auto" w:fill="CCEEFF"/>
            <w:tcMar>
              <w:top w:w="0" w:type="dxa"/>
              <w:left w:w="0" w:type="dxa"/>
              <w:bottom w:w="30" w:type="dxa"/>
              <w:right w:w="0" w:type="dxa"/>
            </w:tcMar>
            <w:vAlign w:val="bottom"/>
            <w:hideMark/>
          </w:tcPr>
          <w:p w14:paraId="745F7E89"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tcMar>
              <w:top w:w="0" w:type="dxa"/>
              <w:left w:w="0" w:type="dxa"/>
              <w:bottom w:w="30" w:type="dxa"/>
              <w:right w:w="0" w:type="dxa"/>
            </w:tcMar>
            <w:vAlign w:val="bottom"/>
            <w:hideMark/>
          </w:tcPr>
          <w:p w14:paraId="0E86421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FA10FB1"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70E3D5C2" w14:textId="77777777" w:rsidR="00000000" w:rsidRDefault="002F725F">
            <w:pPr>
              <w:jc w:val="right"/>
              <w:rPr>
                <w:rFonts w:eastAsia="Times New Roman"/>
                <w:b/>
                <w:bCs/>
                <w:sz w:val="20"/>
                <w:szCs w:val="20"/>
              </w:rPr>
            </w:pPr>
            <w:r>
              <w:rPr>
                <w:rFonts w:eastAsia="Times New Roman"/>
                <w:b/>
                <w:bCs/>
                <w:sz w:val="20"/>
                <w:szCs w:val="20"/>
              </w:rPr>
              <w:t>2.43x</w:t>
            </w:r>
          </w:p>
        </w:tc>
        <w:tc>
          <w:tcPr>
            <w:tcW w:w="0" w:type="auto"/>
            <w:shd w:val="clear" w:color="auto" w:fill="CCEEFF"/>
            <w:tcMar>
              <w:top w:w="0" w:type="dxa"/>
              <w:left w:w="0" w:type="dxa"/>
              <w:bottom w:w="30" w:type="dxa"/>
              <w:right w:w="0" w:type="dxa"/>
            </w:tcMar>
            <w:vAlign w:val="bottom"/>
            <w:hideMark/>
          </w:tcPr>
          <w:p w14:paraId="6F8C7939"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tcMar>
              <w:top w:w="0" w:type="dxa"/>
              <w:left w:w="0" w:type="dxa"/>
              <w:bottom w:w="30" w:type="dxa"/>
              <w:right w:w="0" w:type="dxa"/>
            </w:tcMar>
            <w:vAlign w:val="bottom"/>
            <w:hideMark/>
          </w:tcPr>
          <w:p w14:paraId="7B136262"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31B25259"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210DE6D7" w14:textId="77777777" w:rsidR="00000000" w:rsidRDefault="002F725F">
            <w:pPr>
              <w:jc w:val="right"/>
              <w:rPr>
                <w:rFonts w:eastAsia="Times New Roman"/>
                <w:b/>
                <w:bCs/>
                <w:sz w:val="20"/>
                <w:szCs w:val="20"/>
              </w:rPr>
            </w:pPr>
            <w:r>
              <w:rPr>
                <w:rFonts w:eastAsia="Times New Roman"/>
                <w:b/>
                <w:bCs/>
                <w:sz w:val="20"/>
                <w:szCs w:val="20"/>
              </w:rPr>
              <w:t>2.25x</w:t>
            </w:r>
          </w:p>
        </w:tc>
        <w:tc>
          <w:tcPr>
            <w:tcW w:w="0" w:type="auto"/>
            <w:shd w:val="clear" w:color="auto" w:fill="CCEEFF"/>
            <w:tcMar>
              <w:top w:w="0" w:type="dxa"/>
              <w:left w:w="0" w:type="dxa"/>
              <w:bottom w:w="30" w:type="dxa"/>
              <w:right w:w="0" w:type="dxa"/>
            </w:tcMar>
            <w:vAlign w:val="bottom"/>
            <w:hideMark/>
          </w:tcPr>
          <w:p w14:paraId="2D5D9D06"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tcMar>
              <w:top w:w="0" w:type="dxa"/>
              <w:left w:w="0" w:type="dxa"/>
              <w:bottom w:w="30" w:type="dxa"/>
              <w:right w:w="0" w:type="dxa"/>
            </w:tcMar>
            <w:vAlign w:val="bottom"/>
            <w:hideMark/>
          </w:tcPr>
          <w:p w14:paraId="7B5DBDA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5640AA25"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09CC3393" w14:textId="77777777" w:rsidR="00000000" w:rsidRDefault="002F725F">
            <w:pPr>
              <w:jc w:val="right"/>
              <w:rPr>
                <w:rFonts w:eastAsia="Times New Roman"/>
                <w:b/>
                <w:bCs/>
                <w:sz w:val="20"/>
                <w:szCs w:val="20"/>
              </w:rPr>
            </w:pPr>
            <w:r>
              <w:rPr>
                <w:rFonts w:eastAsia="Times New Roman"/>
                <w:b/>
                <w:bCs/>
                <w:sz w:val="20"/>
                <w:szCs w:val="20"/>
              </w:rPr>
              <w:t>2.13x</w:t>
            </w:r>
          </w:p>
        </w:tc>
        <w:tc>
          <w:tcPr>
            <w:tcW w:w="0" w:type="auto"/>
            <w:shd w:val="clear" w:color="auto" w:fill="CCEEFF"/>
            <w:tcMar>
              <w:top w:w="0" w:type="dxa"/>
              <w:left w:w="0" w:type="dxa"/>
              <w:bottom w:w="30" w:type="dxa"/>
              <w:right w:w="0" w:type="dxa"/>
            </w:tcMar>
            <w:vAlign w:val="bottom"/>
            <w:hideMark/>
          </w:tcPr>
          <w:p w14:paraId="79E3319E" w14:textId="77777777" w:rsidR="00000000" w:rsidRDefault="002F725F">
            <w:pPr>
              <w:jc w:val="right"/>
              <w:rPr>
                <w:rFonts w:eastAsia="Times New Roman"/>
                <w:b/>
                <w:bCs/>
                <w:sz w:val="20"/>
                <w:szCs w:val="20"/>
              </w:rPr>
            </w:pPr>
          </w:p>
        </w:tc>
      </w:tr>
    </w:tbl>
    <w:p w14:paraId="6315A155" w14:textId="77777777" w:rsidR="00000000" w:rsidRDefault="002F725F">
      <w:pPr>
        <w:pStyle w:val="NormalWeb"/>
        <w:shd w:val="clear" w:color="auto" w:fill="FFFFFF"/>
        <w:spacing w:before="0" w:beforeAutospacing="0" w:after="0" w:afterAutospacing="0"/>
        <w:ind w:firstLine="490"/>
        <w:jc w:val="both"/>
        <w:divId w:val="415980837"/>
        <w:rPr>
          <w:sz w:val="20"/>
          <w:szCs w:val="20"/>
        </w:rPr>
      </w:pPr>
      <w:r>
        <w:rPr>
          <w:sz w:val="20"/>
          <w:szCs w:val="20"/>
        </w:rPr>
        <w:t> </w:t>
      </w:r>
    </w:p>
    <w:p w14:paraId="4FDB30DD" w14:textId="77777777" w:rsidR="00000000" w:rsidRDefault="002F725F">
      <w:pPr>
        <w:pStyle w:val="NormalWeb"/>
        <w:spacing w:before="0" w:beforeAutospacing="0" w:after="0" w:afterAutospacing="0"/>
        <w:jc w:val="both"/>
        <w:divId w:val="415980837"/>
        <w:rPr>
          <w:sz w:val="20"/>
          <w:szCs w:val="20"/>
        </w:rPr>
      </w:pPr>
      <w:r>
        <w:rPr>
          <w:sz w:val="20"/>
          <w:szCs w:val="20"/>
        </w:rPr>
        <w:t>Notes:</w:t>
      </w:r>
    </w:p>
    <w:p w14:paraId="26EE793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5ACC7D0" w14:textId="77777777" w:rsidR="00000000" w:rsidRDefault="002F725F">
      <w:pPr>
        <w:pStyle w:val="NormalWeb"/>
        <w:spacing w:before="0" w:beforeAutospacing="0" w:after="0" w:afterAutospacing="0"/>
        <w:jc w:val="both"/>
        <w:divId w:val="415980837"/>
        <w:rPr>
          <w:sz w:val="20"/>
          <w:szCs w:val="20"/>
        </w:rPr>
      </w:pPr>
      <w:r>
        <w:rPr>
          <w:sz w:val="20"/>
          <w:szCs w:val="20"/>
        </w:rPr>
        <w:t xml:space="preserve">The Company’s EBITDA is adjusted to exclude </w:t>
      </w:r>
      <w:r>
        <w:rPr>
          <w:sz w:val="20"/>
          <w:szCs w:val="20"/>
        </w:rPr>
        <w:t>public company costs, transaction costs and non-recurring items as provided by the management of the Company.</w:t>
      </w:r>
    </w:p>
    <w:p w14:paraId="707A3D1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C85B275" w14:textId="77777777" w:rsidR="00000000" w:rsidRDefault="002F725F">
      <w:pPr>
        <w:pStyle w:val="NormalWeb"/>
        <w:spacing w:before="0" w:beforeAutospacing="0" w:after="0" w:afterAutospacing="0"/>
        <w:jc w:val="both"/>
        <w:divId w:val="415980837"/>
        <w:rPr>
          <w:sz w:val="20"/>
          <w:szCs w:val="20"/>
        </w:rPr>
      </w:pPr>
      <w:r>
        <w:rPr>
          <w:sz w:val="20"/>
          <w:szCs w:val="20"/>
        </w:rPr>
        <w:t>Enterprise Value = (Market Capitalization) + (Debt + Preferred Stock + Non-Controlling Interest) - (Cash &amp; Equivalents) - (Net Non-Operating Ass</w:t>
      </w:r>
      <w:r>
        <w:rPr>
          <w:sz w:val="20"/>
          <w:szCs w:val="20"/>
        </w:rPr>
        <w:t>ets)</w:t>
      </w:r>
    </w:p>
    <w:p w14:paraId="501C00F4"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D5D714C" w14:textId="77777777" w:rsidR="00000000" w:rsidRDefault="002F725F">
      <w:pPr>
        <w:pStyle w:val="NormalWeb"/>
        <w:spacing w:before="0" w:beforeAutospacing="0" w:after="0" w:afterAutospacing="0"/>
        <w:jc w:val="center"/>
        <w:divId w:val="233972101"/>
        <w:rPr>
          <w:sz w:val="20"/>
          <w:szCs w:val="20"/>
        </w:rPr>
      </w:pPr>
      <w:r>
        <w:rPr>
          <w:sz w:val="20"/>
          <w:szCs w:val="20"/>
        </w:rPr>
        <w:t>4</w:t>
      </w:r>
      <w:r>
        <w:rPr>
          <w:sz w:val="20"/>
          <w:szCs w:val="20"/>
        </w:rPr>
        <w:t>6</w:t>
      </w:r>
    </w:p>
    <w:p w14:paraId="64D05696" w14:textId="77777777" w:rsidR="00000000" w:rsidRDefault="002F725F">
      <w:pPr>
        <w:pStyle w:val="NormalWeb"/>
        <w:spacing w:before="0" w:beforeAutospacing="0" w:after="0" w:afterAutospacing="0"/>
        <w:divId w:val="1854145836"/>
        <w:rPr>
          <w:sz w:val="20"/>
          <w:szCs w:val="20"/>
        </w:rPr>
      </w:pPr>
      <w:r>
        <w:rPr>
          <w:sz w:val="20"/>
          <w:szCs w:val="20"/>
        </w:rPr>
        <w:t> </w:t>
      </w:r>
    </w:p>
    <w:p w14:paraId="27969A80"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7B1EA74" w14:textId="77777777" w:rsidR="00000000" w:rsidRDefault="002F725F">
      <w:pPr>
        <w:pStyle w:val="NormalWeb"/>
        <w:spacing w:before="0" w:beforeAutospacing="0" w:after="0" w:afterAutospacing="0"/>
        <w:jc w:val="both"/>
        <w:divId w:val="415980837"/>
        <w:rPr>
          <w:sz w:val="20"/>
          <w:szCs w:val="20"/>
        </w:rPr>
      </w:pPr>
      <w:r>
        <w:rPr>
          <w:sz w:val="20"/>
          <w:szCs w:val="20"/>
        </w:rPr>
        <w:t>LTM = Latest Twelve Months</w:t>
      </w:r>
    </w:p>
    <w:p w14:paraId="5F7C48B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DFDA55D" w14:textId="77777777" w:rsidR="00000000" w:rsidRDefault="002F725F">
      <w:pPr>
        <w:pStyle w:val="NormalWeb"/>
        <w:spacing w:before="0" w:beforeAutospacing="0" w:after="0" w:afterAutospacing="0"/>
        <w:jc w:val="both"/>
        <w:divId w:val="415980837"/>
        <w:rPr>
          <w:sz w:val="20"/>
          <w:szCs w:val="20"/>
        </w:rPr>
      </w:pPr>
      <w:r>
        <w:rPr>
          <w:sz w:val="20"/>
          <w:szCs w:val="20"/>
        </w:rPr>
        <w:t>CAGR = Compounded Annual Growth Rate</w:t>
      </w:r>
    </w:p>
    <w:p w14:paraId="46BDAC50"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588567F" w14:textId="77777777" w:rsidR="00000000" w:rsidRDefault="002F725F">
      <w:pPr>
        <w:pStyle w:val="NormalWeb"/>
        <w:spacing w:before="0" w:beforeAutospacing="0" w:after="0" w:afterAutospacing="0"/>
        <w:jc w:val="both"/>
        <w:divId w:val="415980837"/>
        <w:rPr>
          <w:sz w:val="20"/>
          <w:szCs w:val="20"/>
        </w:rPr>
      </w:pPr>
      <w:r>
        <w:rPr>
          <w:sz w:val="20"/>
          <w:szCs w:val="20"/>
        </w:rPr>
        <w:t>EBITDA = Earnings Before Interest, Taxes, Depreciation and Amortization</w:t>
      </w:r>
    </w:p>
    <w:p w14:paraId="0A6B336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D9F0A25" w14:textId="77777777" w:rsidR="00000000" w:rsidRDefault="002F725F">
      <w:pPr>
        <w:pStyle w:val="NormalWeb"/>
        <w:spacing w:before="0" w:beforeAutospacing="0" w:after="0" w:afterAutospacing="0"/>
        <w:jc w:val="both"/>
        <w:divId w:val="415980837"/>
        <w:rPr>
          <w:sz w:val="20"/>
          <w:szCs w:val="20"/>
        </w:rPr>
      </w:pPr>
      <w:r>
        <w:rPr>
          <w:sz w:val="20"/>
          <w:szCs w:val="20"/>
        </w:rPr>
        <w:t>NM = Not Meaningful</w:t>
      </w:r>
    </w:p>
    <w:p w14:paraId="69551B95"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11023C9" w14:textId="77777777" w:rsidR="00000000" w:rsidRDefault="002F725F">
      <w:pPr>
        <w:pStyle w:val="NormalWeb"/>
        <w:spacing w:before="0" w:beforeAutospacing="0" w:after="0" w:afterAutospacing="0"/>
        <w:jc w:val="both"/>
        <w:divId w:val="415980837"/>
        <w:rPr>
          <w:sz w:val="20"/>
          <w:szCs w:val="20"/>
        </w:rPr>
      </w:pPr>
      <w:r>
        <w:rPr>
          <w:sz w:val="20"/>
          <w:szCs w:val="20"/>
        </w:rPr>
        <w:t>NA = Not Available</w:t>
      </w:r>
    </w:p>
    <w:p w14:paraId="633984C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0A786F5" w14:textId="77777777" w:rsidR="00000000" w:rsidRDefault="002F725F">
      <w:pPr>
        <w:pStyle w:val="NormalWeb"/>
        <w:spacing w:before="0" w:beforeAutospacing="0" w:after="0" w:afterAutospacing="0"/>
        <w:jc w:val="both"/>
        <w:divId w:val="415980837"/>
        <w:rPr>
          <w:sz w:val="20"/>
          <w:szCs w:val="20"/>
        </w:rPr>
      </w:pPr>
      <w:r>
        <w:rPr>
          <w:sz w:val="20"/>
          <w:szCs w:val="20"/>
        </w:rPr>
        <w:t>Source: Capital IQ, Bloomberg, company Filings, annual and interim Reports.</w:t>
      </w:r>
    </w:p>
    <w:p w14:paraId="25F140F1" w14:textId="77777777" w:rsidR="00000000" w:rsidRDefault="002F725F">
      <w:pPr>
        <w:pStyle w:val="NormalWeb"/>
        <w:spacing w:before="0" w:beforeAutospacing="0" w:after="0" w:afterAutospacing="0"/>
        <w:ind w:firstLine="720"/>
        <w:jc w:val="both"/>
        <w:divId w:val="415980837"/>
        <w:rPr>
          <w:sz w:val="20"/>
          <w:szCs w:val="20"/>
        </w:rPr>
      </w:pPr>
      <w:r>
        <w:rPr>
          <w:i/>
          <w:iCs/>
          <w:sz w:val="20"/>
          <w:szCs w:val="20"/>
        </w:rPr>
        <w:t> </w:t>
      </w:r>
    </w:p>
    <w:p w14:paraId="33553285" w14:textId="77777777" w:rsidR="00000000" w:rsidRDefault="002F725F">
      <w:pPr>
        <w:pStyle w:val="NormalWeb"/>
        <w:spacing w:before="0" w:beforeAutospacing="0" w:after="0" w:afterAutospacing="0"/>
        <w:ind w:firstLine="720"/>
        <w:jc w:val="both"/>
        <w:divId w:val="415980837"/>
        <w:rPr>
          <w:sz w:val="20"/>
          <w:szCs w:val="20"/>
        </w:rPr>
      </w:pPr>
      <w:r>
        <w:rPr>
          <w:i/>
          <w:iCs/>
          <w:sz w:val="20"/>
          <w:szCs w:val="20"/>
        </w:rPr>
        <w:t>Selected M&amp;A Transactions Analysis for Prior Opinion.</w:t>
      </w:r>
      <w:r>
        <w:rPr>
          <w:sz w:val="20"/>
          <w:szCs w:val="20"/>
        </w:rPr>
        <w:t xml:space="preserve"> Duff &amp; Phelps compared the Company to the target companies involved in the selected merger and acquisition transactions list</w:t>
      </w:r>
      <w:r>
        <w:rPr>
          <w:sz w:val="20"/>
          <w:szCs w:val="20"/>
        </w:rPr>
        <w:t>ed in the table below. The selection of these transactions was based on, among other things, the target company’s industry, the relative size of the transaction compared to the Original Merger, and the availability of public information related to the tran</w:t>
      </w:r>
      <w:r>
        <w:rPr>
          <w:sz w:val="20"/>
          <w:szCs w:val="20"/>
        </w:rPr>
        <w:t>saction. The selected vaccine industry transactions indicated enterprise value to LTM revenue multiples ranging from 0.55x to 3.66x with a median of 2.28x and enterprise value to LTM EBITDA multiples ranging from 3.0x to 7.5x with a median of 4.5x.</w:t>
      </w:r>
    </w:p>
    <w:p w14:paraId="667FF16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55CFB7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w:t>
      </w:r>
      <w:r>
        <w:rPr>
          <w:sz w:val="20"/>
          <w:szCs w:val="20"/>
        </w:rPr>
        <w:t>ompany is not directly comparable to the target companies in the selected M&amp;A transactions analysis given certain characteristics of the transactions and the target companies, including business and industry comparability and lack of recent relevant transa</w:t>
      </w:r>
      <w:r>
        <w:rPr>
          <w:sz w:val="20"/>
          <w:szCs w:val="20"/>
        </w:rPr>
        <w:t>ctions. Therefore, although it reviewed the selected M&amp;A transactions analysis, Duff &amp; Phelps did not select valuation multiples for the Company based on the selected M&amp;A transactions analysis. </w:t>
      </w:r>
    </w:p>
    <w:p w14:paraId="6B29135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1174"/>
        <w:gridCol w:w="50"/>
        <w:gridCol w:w="1311"/>
        <w:gridCol w:w="50"/>
        <w:gridCol w:w="1311"/>
        <w:gridCol w:w="50"/>
        <w:gridCol w:w="114"/>
        <w:gridCol w:w="797"/>
        <w:gridCol w:w="50"/>
        <w:gridCol w:w="50"/>
        <w:gridCol w:w="92"/>
        <w:gridCol w:w="642"/>
        <w:gridCol w:w="50"/>
        <w:gridCol w:w="50"/>
        <w:gridCol w:w="96"/>
        <w:gridCol w:w="671"/>
        <w:gridCol w:w="67"/>
        <w:gridCol w:w="50"/>
        <w:gridCol w:w="96"/>
        <w:gridCol w:w="671"/>
        <w:gridCol w:w="167"/>
        <w:gridCol w:w="50"/>
        <w:gridCol w:w="92"/>
        <w:gridCol w:w="642"/>
        <w:gridCol w:w="100"/>
        <w:gridCol w:w="50"/>
        <w:gridCol w:w="96"/>
        <w:gridCol w:w="671"/>
        <w:gridCol w:w="50"/>
      </w:tblGrid>
      <w:tr w:rsidR="00000000" w14:paraId="22DBA6B7" w14:textId="77777777">
        <w:trPr>
          <w:divId w:val="415980837"/>
        </w:trPr>
        <w:tc>
          <w:tcPr>
            <w:tcW w:w="0" w:type="auto"/>
            <w:gridSpan w:val="28"/>
            <w:tcBorders>
              <w:bottom w:val="single" w:sz="12" w:space="0" w:color="000000"/>
            </w:tcBorders>
            <w:vAlign w:val="bottom"/>
            <w:hideMark/>
          </w:tcPr>
          <w:p w14:paraId="21D9145B" w14:textId="77777777" w:rsidR="00000000" w:rsidRDefault="002F725F">
            <w:pPr>
              <w:rPr>
                <w:rFonts w:eastAsia="Times New Roman"/>
                <w:b/>
                <w:bCs/>
                <w:sz w:val="20"/>
                <w:szCs w:val="20"/>
              </w:rPr>
            </w:pPr>
            <w:r>
              <w:rPr>
                <w:rFonts w:eastAsia="Times New Roman"/>
                <w:b/>
                <w:bCs/>
                <w:sz w:val="20"/>
                <w:szCs w:val="20"/>
              </w:rPr>
              <w:t>Selected M&amp;A Transaction Analysis</w:t>
            </w:r>
          </w:p>
        </w:tc>
        <w:tc>
          <w:tcPr>
            <w:tcW w:w="0" w:type="auto"/>
            <w:tcMar>
              <w:top w:w="0" w:type="dxa"/>
              <w:left w:w="0" w:type="dxa"/>
              <w:bottom w:w="30" w:type="dxa"/>
              <w:right w:w="0" w:type="dxa"/>
            </w:tcMar>
            <w:vAlign w:val="bottom"/>
            <w:hideMark/>
          </w:tcPr>
          <w:p w14:paraId="1FEEAFD1" w14:textId="77777777" w:rsidR="00000000" w:rsidRDefault="002F725F">
            <w:pPr>
              <w:rPr>
                <w:rFonts w:eastAsia="Times New Roman"/>
                <w:sz w:val="20"/>
                <w:szCs w:val="20"/>
              </w:rPr>
            </w:pPr>
            <w:r>
              <w:rPr>
                <w:rFonts w:eastAsia="Times New Roman"/>
                <w:sz w:val="20"/>
                <w:szCs w:val="20"/>
              </w:rPr>
              <w:t> </w:t>
            </w:r>
          </w:p>
        </w:tc>
      </w:tr>
      <w:tr w:rsidR="00000000" w14:paraId="2A246767" w14:textId="77777777">
        <w:trPr>
          <w:divId w:val="415980837"/>
        </w:trPr>
        <w:tc>
          <w:tcPr>
            <w:tcW w:w="0" w:type="auto"/>
            <w:gridSpan w:val="3"/>
            <w:vAlign w:val="bottom"/>
            <w:hideMark/>
          </w:tcPr>
          <w:p w14:paraId="5F978063" w14:textId="77777777" w:rsidR="00000000" w:rsidRDefault="002F725F">
            <w:pPr>
              <w:rPr>
                <w:rFonts w:eastAsia="Times New Roman"/>
                <w:i/>
                <w:iCs/>
                <w:sz w:val="20"/>
                <w:szCs w:val="20"/>
              </w:rPr>
            </w:pPr>
            <w:r>
              <w:rPr>
                <w:rFonts w:eastAsia="Times New Roman"/>
                <w:i/>
                <w:iCs/>
                <w:sz w:val="20"/>
                <w:szCs w:val="20"/>
              </w:rPr>
              <w:t>(US$ in millions)</w:t>
            </w:r>
          </w:p>
        </w:tc>
        <w:tc>
          <w:tcPr>
            <w:tcW w:w="0" w:type="auto"/>
            <w:vAlign w:val="bottom"/>
            <w:hideMark/>
          </w:tcPr>
          <w:p w14:paraId="522541DC"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7A5C8456"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4A4DDB44"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27E19BA4"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151CB78D"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09BA4EF4"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4B7398FE"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2CC12483"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08A28013"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5D17FB25"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7C0A94A7"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3CF5BF2F"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3AB432EF"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2E12D1E4"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230AF438"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7647BA65"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38C69B6B"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364532E9"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17BEE2B9"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110C9107" w14:textId="77777777" w:rsidR="00000000" w:rsidRDefault="002F725F">
            <w:pPr>
              <w:rPr>
                <w:rFonts w:eastAsia="Times New Roman"/>
                <w:sz w:val="20"/>
                <w:szCs w:val="20"/>
              </w:rPr>
            </w:pPr>
            <w:r>
              <w:rPr>
                <w:rFonts w:eastAsia="Times New Roman"/>
                <w:sz w:val="20"/>
                <w:szCs w:val="20"/>
              </w:rPr>
              <w:t> </w:t>
            </w:r>
          </w:p>
        </w:tc>
      </w:tr>
      <w:tr w:rsidR="00000000" w14:paraId="03B7F81D" w14:textId="77777777">
        <w:trPr>
          <w:divId w:val="415980837"/>
        </w:trPr>
        <w:tc>
          <w:tcPr>
            <w:tcW w:w="0" w:type="auto"/>
            <w:tcMar>
              <w:top w:w="0" w:type="dxa"/>
              <w:left w:w="0" w:type="dxa"/>
              <w:bottom w:w="30" w:type="dxa"/>
              <w:right w:w="0" w:type="dxa"/>
            </w:tcMar>
            <w:hideMark/>
          </w:tcPr>
          <w:p w14:paraId="519F9430" w14:textId="77777777" w:rsidR="00000000" w:rsidRDefault="002F725F">
            <w:pPr>
              <w:rPr>
                <w:rFonts w:eastAsia="Times New Roman"/>
                <w:sz w:val="20"/>
                <w:szCs w:val="20"/>
              </w:rPr>
            </w:pPr>
          </w:p>
        </w:tc>
        <w:tc>
          <w:tcPr>
            <w:tcW w:w="0" w:type="auto"/>
            <w:tcMar>
              <w:top w:w="0" w:type="dxa"/>
              <w:left w:w="0" w:type="dxa"/>
              <w:bottom w:w="30" w:type="dxa"/>
              <w:right w:w="0" w:type="dxa"/>
            </w:tcMar>
            <w:vAlign w:val="bottom"/>
            <w:hideMark/>
          </w:tcPr>
          <w:p w14:paraId="7204D0FF"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hideMark/>
          </w:tcPr>
          <w:p w14:paraId="3DD2C57E" w14:textId="77777777" w:rsidR="00000000" w:rsidRDefault="002F725F">
            <w:pPr>
              <w:jc w:val="center"/>
              <w:rPr>
                <w:rFonts w:eastAsia="Times New Roman"/>
                <w:b/>
                <w:bCs/>
                <w:sz w:val="20"/>
                <w:szCs w:val="20"/>
              </w:rPr>
            </w:pPr>
          </w:p>
        </w:tc>
        <w:tc>
          <w:tcPr>
            <w:tcW w:w="0" w:type="auto"/>
            <w:tcMar>
              <w:top w:w="0" w:type="dxa"/>
              <w:left w:w="0" w:type="dxa"/>
              <w:bottom w:w="30" w:type="dxa"/>
              <w:right w:w="0" w:type="dxa"/>
            </w:tcMar>
            <w:vAlign w:val="bottom"/>
            <w:hideMark/>
          </w:tcPr>
          <w:p w14:paraId="59EF3A2E"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4997D485" w14:textId="77777777" w:rsidR="00000000" w:rsidRDefault="002F725F">
            <w:pPr>
              <w:jc w:val="center"/>
              <w:rPr>
                <w:rFonts w:eastAsia="Times New Roman"/>
                <w:b/>
                <w:bCs/>
                <w:sz w:val="20"/>
                <w:szCs w:val="20"/>
              </w:rPr>
            </w:pPr>
          </w:p>
        </w:tc>
        <w:tc>
          <w:tcPr>
            <w:tcW w:w="0" w:type="auto"/>
            <w:tcMar>
              <w:top w:w="0" w:type="dxa"/>
              <w:left w:w="0" w:type="dxa"/>
              <w:bottom w:w="30" w:type="dxa"/>
              <w:right w:w="0" w:type="dxa"/>
            </w:tcMar>
            <w:vAlign w:val="bottom"/>
            <w:hideMark/>
          </w:tcPr>
          <w:p w14:paraId="60C0DC0A"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61C650C9" w14:textId="77777777" w:rsidR="00000000" w:rsidRDefault="002F725F">
            <w:pPr>
              <w:jc w:val="center"/>
              <w:rPr>
                <w:rFonts w:eastAsia="Times New Roman"/>
                <w:b/>
                <w:bCs/>
                <w:sz w:val="20"/>
                <w:szCs w:val="20"/>
              </w:rPr>
            </w:pPr>
            <w:r>
              <w:rPr>
                <w:rFonts w:eastAsia="Times New Roman"/>
                <w:b/>
                <w:bCs/>
                <w:sz w:val="20"/>
                <w:szCs w:val="20"/>
              </w:rPr>
              <w:t>Enterprise</w:t>
            </w:r>
          </w:p>
        </w:tc>
        <w:tc>
          <w:tcPr>
            <w:tcW w:w="0" w:type="auto"/>
            <w:tcMar>
              <w:top w:w="0" w:type="dxa"/>
              <w:left w:w="0" w:type="dxa"/>
              <w:bottom w:w="30" w:type="dxa"/>
              <w:right w:w="0" w:type="dxa"/>
            </w:tcMar>
            <w:vAlign w:val="bottom"/>
            <w:hideMark/>
          </w:tcPr>
          <w:p w14:paraId="1016111B"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99AE35E"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06116D96" w14:textId="77777777" w:rsidR="00000000" w:rsidRDefault="002F725F">
            <w:pPr>
              <w:jc w:val="center"/>
              <w:rPr>
                <w:rFonts w:eastAsia="Times New Roman"/>
                <w:b/>
                <w:bCs/>
                <w:sz w:val="20"/>
                <w:szCs w:val="20"/>
              </w:rPr>
            </w:pPr>
            <w:r>
              <w:rPr>
                <w:rFonts w:eastAsia="Times New Roman"/>
                <w:b/>
                <w:bCs/>
                <w:sz w:val="20"/>
                <w:szCs w:val="20"/>
              </w:rPr>
              <w:t>LTM</w:t>
            </w:r>
          </w:p>
        </w:tc>
        <w:tc>
          <w:tcPr>
            <w:tcW w:w="0" w:type="auto"/>
            <w:tcMar>
              <w:top w:w="0" w:type="dxa"/>
              <w:left w:w="0" w:type="dxa"/>
              <w:bottom w:w="30" w:type="dxa"/>
              <w:right w:w="0" w:type="dxa"/>
            </w:tcMar>
            <w:vAlign w:val="bottom"/>
            <w:hideMark/>
          </w:tcPr>
          <w:p w14:paraId="65A5BE33"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227E98E6"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6DBC7862" w14:textId="77777777" w:rsidR="00000000" w:rsidRDefault="002F725F">
            <w:pPr>
              <w:jc w:val="center"/>
              <w:rPr>
                <w:rFonts w:eastAsia="Times New Roman"/>
                <w:b/>
                <w:bCs/>
                <w:sz w:val="20"/>
                <w:szCs w:val="20"/>
              </w:rPr>
            </w:pPr>
            <w:r>
              <w:rPr>
                <w:rFonts w:eastAsia="Times New Roman"/>
                <w:b/>
                <w:bCs/>
                <w:sz w:val="20"/>
                <w:szCs w:val="20"/>
              </w:rPr>
              <w:t>LTM</w:t>
            </w:r>
          </w:p>
        </w:tc>
        <w:tc>
          <w:tcPr>
            <w:tcW w:w="0" w:type="auto"/>
            <w:tcMar>
              <w:top w:w="0" w:type="dxa"/>
              <w:left w:w="0" w:type="dxa"/>
              <w:bottom w:w="30" w:type="dxa"/>
              <w:right w:w="0" w:type="dxa"/>
            </w:tcMar>
            <w:vAlign w:val="bottom"/>
            <w:hideMark/>
          </w:tcPr>
          <w:p w14:paraId="726336B8"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63371911"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53C9947D" w14:textId="77777777" w:rsidR="00000000" w:rsidRDefault="002F725F">
            <w:pPr>
              <w:jc w:val="center"/>
              <w:rPr>
                <w:rFonts w:eastAsia="Times New Roman"/>
                <w:b/>
                <w:bCs/>
                <w:sz w:val="20"/>
                <w:szCs w:val="20"/>
              </w:rPr>
            </w:pPr>
            <w:r>
              <w:rPr>
                <w:rFonts w:eastAsia="Times New Roman"/>
                <w:b/>
                <w:bCs/>
                <w:sz w:val="20"/>
                <w:szCs w:val="20"/>
              </w:rPr>
              <w:t>EBITDA</w:t>
            </w:r>
          </w:p>
        </w:tc>
        <w:tc>
          <w:tcPr>
            <w:tcW w:w="0" w:type="auto"/>
            <w:tcMar>
              <w:top w:w="0" w:type="dxa"/>
              <w:left w:w="0" w:type="dxa"/>
              <w:bottom w:w="30" w:type="dxa"/>
              <w:right w:w="0" w:type="dxa"/>
            </w:tcMar>
            <w:vAlign w:val="bottom"/>
            <w:hideMark/>
          </w:tcPr>
          <w:p w14:paraId="77526E27"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058B9D7"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56DE47B1" w14:textId="77777777" w:rsidR="00000000" w:rsidRDefault="002F725F">
            <w:pPr>
              <w:jc w:val="center"/>
              <w:rPr>
                <w:rFonts w:eastAsia="Times New Roman"/>
                <w:b/>
                <w:bCs/>
                <w:sz w:val="20"/>
                <w:szCs w:val="20"/>
              </w:rPr>
            </w:pPr>
            <w:r>
              <w:rPr>
                <w:rFonts w:eastAsia="Times New Roman"/>
                <w:b/>
                <w:bCs/>
                <w:sz w:val="20"/>
                <w:szCs w:val="20"/>
              </w:rPr>
              <w:t>EV /</w:t>
            </w:r>
          </w:p>
        </w:tc>
        <w:tc>
          <w:tcPr>
            <w:tcW w:w="0" w:type="auto"/>
            <w:tcMar>
              <w:top w:w="0" w:type="dxa"/>
              <w:left w:w="0" w:type="dxa"/>
              <w:bottom w:w="30" w:type="dxa"/>
              <w:right w:w="0" w:type="dxa"/>
            </w:tcMar>
            <w:vAlign w:val="bottom"/>
            <w:hideMark/>
          </w:tcPr>
          <w:p w14:paraId="2871424B"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1C090DCA"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2262D05B" w14:textId="77777777" w:rsidR="00000000" w:rsidRDefault="002F725F">
            <w:pPr>
              <w:jc w:val="center"/>
              <w:rPr>
                <w:rFonts w:eastAsia="Times New Roman"/>
                <w:b/>
                <w:bCs/>
                <w:sz w:val="20"/>
                <w:szCs w:val="20"/>
              </w:rPr>
            </w:pPr>
            <w:r>
              <w:rPr>
                <w:rFonts w:eastAsia="Times New Roman"/>
                <w:b/>
                <w:bCs/>
                <w:sz w:val="20"/>
                <w:szCs w:val="20"/>
              </w:rPr>
              <w:t>EV /</w:t>
            </w:r>
          </w:p>
        </w:tc>
        <w:tc>
          <w:tcPr>
            <w:tcW w:w="0" w:type="auto"/>
            <w:tcMar>
              <w:top w:w="0" w:type="dxa"/>
              <w:left w:w="0" w:type="dxa"/>
              <w:bottom w:w="30" w:type="dxa"/>
              <w:right w:w="0" w:type="dxa"/>
            </w:tcMar>
            <w:vAlign w:val="bottom"/>
            <w:hideMark/>
          </w:tcPr>
          <w:p w14:paraId="43E001F5" w14:textId="77777777" w:rsidR="00000000" w:rsidRDefault="002F725F">
            <w:pPr>
              <w:jc w:val="center"/>
              <w:rPr>
                <w:rFonts w:eastAsia="Times New Roman"/>
                <w:b/>
                <w:bCs/>
                <w:sz w:val="20"/>
                <w:szCs w:val="20"/>
              </w:rPr>
            </w:pPr>
            <w:r>
              <w:rPr>
                <w:rFonts w:eastAsia="Times New Roman"/>
                <w:b/>
                <w:bCs/>
                <w:sz w:val="20"/>
                <w:szCs w:val="20"/>
              </w:rPr>
              <w:t> </w:t>
            </w:r>
          </w:p>
        </w:tc>
      </w:tr>
      <w:tr w:rsidR="00000000" w14:paraId="549BFBBA" w14:textId="77777777">
        <w:trPr>
          <w:divId w:val="415980837"/>
        </w:trPr>
        <w:tc>
          <w:tcPr>
            <w:tcW w:w="0" w:type="auto"/>
            <w:tcBorders>
              <w:bottom w:val="single" w:sz="12" w:space="0" w:color="000000"/>
            </w:tcBorders>
            <w:vAlign w:val="bottom"/>
            <w:hideMark/>
          </w:tcPr>
          <w:p w14:paraId="43B6176C" w14:textId="77777777" w:rsidR="00000000" w:rsidRDefault="002F725F">
            <w:pPr>
              <w:rPr>
                <w:rFonts w:eastAsia="Times New Roman"/>
                <w:sz w:val="20"/>
                <w:szCs w:val="20"/>
              </w:rPr>
            </w:pPr>
            <w:r>
              <w:rPr>
                <w:rFonts w:eastAsia="Times New Roman"/>
                <w:b/>
                <w:bCs/>
                <w:sz w:val="20"/>
                <w:szCs w:val="20"/>
              </w:rPr>
              <w:t>Announced</w:t>
            </w:r>
          </w:p>
        </w:tc>
        <w:tc>
          <w:tcPr>
            <w:tcW w:w="0" w:type="auto"/>
            <w:tcMar>
              <w:top w:w="0" w:type="dxa"/>
              <w:left w:w="0" w:type="dxa"/>
              <w:bottom w:w="30" w:type="dxa"/>
              <w:right w:w="0" w:type="dxa"/>
            </w:tcMar>
            <w:vAlign w:val="bottom"/>
            <w:hideMark/>
          </w:tcPr>
          <w:p w14:paraId="3BAD6E7D" w14:textId="77777777" w:rsidR="00000000" w:rsidRDefault="002F725F">
            <w:pPr>
              <w:jc w:val="center"/>
              <w:rPr>
                <w:rFonts w:eastAsia="Times New Roman"/>
                <w:sz w:val="20"/>
                <w:szCs w:val="20"/>
              </w:rPr>
            </w:pPr>
            <w:r>
              <w:rPr>
                <w:rFonts w:eastAsia="Times New Roman"/>
                <w:b/>
                <w:bCs/>
                <w:sz w:val="20"/>
                <w:szCs w:val="20"/>
              </w:rPr>
              <w:t> </w:t>
            </w:r>
          </w:p>
        </w:tc>
        <w:tc>
          <w:tcPr>
            <w:tcW w:w="0" w:type="auto"/>
            <w:tcBorders>
              <w:bottom w:val="single" w:sz="12" w:space="0" w:color="000000"/>
            </w:tcBorders>
            <w:vAlign w:val="bottom"/>
            <w:hideMark/>
          </w:tcPr>
          <w:p w14:paraId="07748C9A" w14:textId="77777777" w:rsidR="00000000" w:rsidRDefault="002F725F">
            <w:pPr>
              <w:jc w:val="center"/>
              <w:rPr>
                <w:rFonts w:eastAsia="Times New Roman"/>
                <w:sz w:val="20"/>
                <w:szCs w:val="20"/>
              </w:rPr>
            </w:pPr>
            <w:r>
              <w:rPr>
                <w:rFonts w:eastAsia="Times New Roman"/>
                <w:b/>
                <w:bCs/>
                <w:sz w:val="20"/>
                <w:szCs w:val="20"/>
              </w:rPr>
              <w:t>Target Name</w:t>
            </w:r>
          </w:p>
        </w:tc>
        <w:tc>
          <w:tcPr>
            <w:tcW w:w="0" w:type="auto"/>
            <w:tcMar>
              <w:top w:w="0" w:type="dxa"/>
              <w:left w:w="0" w:type="dxa"/>
              <w:bottom w:w="30" w:type="dxa"/>
              <w:right w:w="0" w:type="dxa"/>
            </w:tcMar>
            <w:vAlign w:val="bottom"/>
            <w:hideMark/>
          </w:tcPr>
          <w:p w14:paraId="1D42A599" w14:textId="77777777" w:rsidR="00000000" w:rsidRDefault="002F725F">
            <w:pPr>
              <w:jc w:val="center"/>
              <w:rPr>
                <w:rFonts w:eastAsia="Times New Roman"/>
                <w:sz w:val="20"/>
                <w:szCs w:val="20"/>
              </w:rPr>
            </w:pPr>
            <w:r>
              <w:rPr>
                <w:rFonts w:eastAsia="Times New Roman"/>
                <w:b/>
                <w:bCs/>
                <w:sz w:val="20"/>
                <w:szCs w:val="20"/>
              </w:rPr>
              <w:t> </w:t>
            </w:r>
          </w:p>
        </w:tc>
        <w:tc>
          <w:tcPr>
            <w:tcW w:w="0" w:type="auto"/>
            <w:tcBorders>
              <w:bottom w:val="single" w:sz="12" w:space="0" w:color="000000"/>
            </w:tcBorders>
            <w:vAlign w:val="bottom"/>
            <w:hideMark/>
          </w:tcPr>
          <w:p w14:paraId="20D79428" w14:textId="77777777" w:rsidR="00000000" w:rsidRDefault="002F725F">
            <w:pPr>
              <w:jc w:val="center"/>
              <w:rPr>
                <w:rFonts w:eastAsia="Times New Roman"/>
                <w:sz w:val="20"/>
                <w:szCs w:val="20"/>
              </w:rPr>
            </w:pPr>
            <w:r>
              <w:rPr>
                <w:rFonts w:eastAsia="Times New Roman"/>
                <w:b/>
                <w:bCs/>
                <w:sz w:val="20"/>
                <w:szCs w:val="20"/>
              </w:rPr>
              <w:t>Acquirer Name</w:t>
            </w:r>
          </w:p>
        </w:tc>
        <w:tc>
          <w:tcPr>
            <w:tcW w:w="0" w:type="auto"/>
            <w:tcMar>
              <w:top w:w="0" w:type="dxa"/>
              <w:left w:w="0" w:type="dxa"/>
              <w:bottom w:w="30" w:type="dxa"/>
              <w:right w:w="0" w:type="dxa"/>
            </w:tcMar>
            <w:vAlign w:val="bottom"/>
            <w:hideMark/>
          </w:tcPr>
          <w:p w14:paraId="095B9781"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9CFE298" w14:textId="77777777" w:rsidR="00000000" w:rsidRDefault="002F725F">
            <w:pPr>
              <w:jc w:val="center"/>
              <w:rPr>
                <w:rFonts w:eastAsia="Times New Roman"/>
                <w:b/>
                <w:bCs/>
                <w:sz w:val="20"/>
                <w:szCs w:val="20"/>
              </w:rPr>
            </w:pPr>
            <w:r>
              <w:rPr>
                <w:rFonts w:eastAsia="Times New Roman"/>
                <w:b/>
                <w:bCs/>
                <w:sz w:val="20"/>
                <w:szCs w:val="20"/>
              </w:rPr>
              <w:t>Value</w:t>
            </w:r>
          </w:p>
        </w:tc>
        <w:tc>
          <w:tcPr>
            <w:tcW w:w="0" w:type="auto"/>
            <w:tcMar>
              <w:top w:w="0" w:type="dxa"/>
              <w:left w:w="0" w:type="dxa"/>
              <w:bottom w:w="30" w:type="dxa"/>
              <w:right w:w="0" w:type="dxa"/>
            </w:tcMar>
            <w:vAlign w:val="bottom"/>
            <w:hideMark/>
          </w:tcPr>
          <w:p w14:paraId="57349392"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170E2447"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4928246" w14:textId="77777777" w:rsidR="00000000" w:rsidRDefault="002F725F">
            <w:pPr>
              <w:jc w:val="center"/>
              <w:rPr>
                <w:rFonts w:eastAsia="Times New Roman"/>
                <w:b/>
                <w:bCs/>
                <w:sz w:val="20"/>
                <w:szCs w:val="20"/>
              </w:rPr>
            </w:pPr>
            <w:r>
              <w:rPr>
                <w:rFonts w:eastAsia="Times New Roman"/>
                <w:b/>
                <w:bCs/>
                <w:sz w:val="20"/>
                <w:szCs w:val="20"/>
              </w:rPr>
              <w:t>Revenue</w:t>
            </w:r>
          </w:p>
        </w:tc>
        <w:tc>
          <w:tcPr>
            <w:tcW w:w="0" w:type="auto"/>
            <w:tcMar>
              <w:top w:w="0" w:type="dxa"/>
              <w:left w:w="0" w:type="dxa"/>
              <w:bottom w:w="30" w:type="dxa"/>
              <w:right w:w="0" w:type="dxa"/>
            </w:tcMar>
            <w:vAlign w:val="bottom"/>
            <w:hideMark/>
          </w:tcPr>
          <w:p w14:paraId="539C8009"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5E8B37C"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3B3A6A33" w14:textId="77777777" w:rsidR="00000000" w:rsidRDefault="002F725F">
            <w:pPr>
              <w:jc w:val="center"/>
              <w:rPr>
                <w:rFonts w:eastAsia="Times New Roman"/>
                <w:b/>
                <w:bCs/>
                <w:sz w:val="20"/>
                <w:szCs w:val="20"/>
              </w:rPr>
            </w:pPr>
            <w:r>
              <w:rPr>
                <w:rFonts w:eastAsia="Times New Roman"/>
                <w:b/>
                <w:bCs/>
                <w:sz w:val="20"/>
                <w:szCs w:val="20"/>
              </w:rPr>
              <w:t>EBITDA</w:t>
            </w:r>
          </w:p>
        </w:tc>
        <w:tc>
          <w:tcPr>
            <w:tcW w:w="0" w:type="auto"/>
            <w:tcMar>
              <w:top w:w="0" w:type="dxa"/>
              <w:left w:w="0" w:type="dxa"/>
              <w:bottom w:w="30" w:type="dxa"/>
              <w:right w:w="0" w:type="dxa"/>
            </w:tcMar>
            <w:vAlign w:val="bottom"/>
            <w:hideMark/>
          </w:tcPr>
          <w:p w14:paraId="4B08EB50"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0382C2A"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76030166" w14:textId="77777777" w:rsidR="00000000" w:rsidRDefault="002F725F">
            <w:pPr>
              <w:jc w:val="center"/>
              <w:rPr>
                <w:rFonts w:eastAsia="Times New Roman"/>
                <w:b/>
                <w:bCs/>
                <w:sz w:val="20"/>
                <w:szCs w:val="20"/>
              </w:rPr>
            </w:pPr>
            <w:r>
              <w:rPr>
                <w:rFonts w:eastAsia="Times New Roman"/>
                <w:b/>
                <w:bCs/>
                <w:sz w:val="20"/>
                <w:szCs w:val="20"/>
              </w:rPr>
              <w:t>Margin</w:t>
            </w:r>
          </w:p>
        </w:tc>
        <w:tc>
          <w:tcPr>
            <w:tcW w:w="0" w:type="auto"/>
            <w:tcMar>
              <w:top w:w="0" w:type="dxa"/>
              <w:left w:w="0" w:type="dxa"/>
              <w:bottom w:w="30" w:type="dxa"/>
              <w:right w:w="0" w:type="dxa"/>
            </w:tcMar>
            <w:vAlign w:val="bottom"/>
            <w:hideMark/>
          </w:tcPr>
          <w:p w14:paraId="6C59A475"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460706D4"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69DC344" w14:textId="77777777" w:rsidR="00000000" w:rsidRDefault="002F725F">
            <w:pPr>
              <w:jc w:val="center"/>
              <w:rPr>
                <w:rFonts w:eastAsia="Times New Roman"/>
                <w:b/>
                <w:bCs/>
                <w:sz w:val="20"/>
                <w:szCs w:val="20"/>
              </w:rPr>
            </w:pPr>
            <w:r>
              <w:rPr>
                <w:rFonts w:eastAsia="Times New Roman"/>
                <w:b/>
                <w:bCs/>
                <w:sz w:val="20"/>
                <w:szCs w:val="20"/>
              </w:rPr>
              <w:t>Revenue</w:t>
            </w:r>
          </w:p>
        </w:tc>
        <w:tc>
          <w:tcPr>
            <w:tcW w:w="0" w:type="auto"/>
            <w:tcMar>
              <w:top w:w="0" w:type="dxa"/>
              <w:left w:w="0" w:type="dxa"/>
              <w:bottom w:w="30" w:type="dxa"/>
              <w:right w:w="0" w:type="dxa"/>
            </w:tcMar>
            <w:vAlign w:val="bottom"/>
            <w:hideMark/>
          </w:tcPr>
          <w:p w14:paraId="3D58CFC9"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132821D2"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05A639ED" w14:textId="77777777" w:rsidR="00000000" w:rsidRDefault="002F725F">
            <w:pPr>
              <w:jc w:val="center"/>
              <w:rPr>
                <w:rFonts w:eastAsia="Times New Roman"/>
                <w:b/>
                <w:bCs/>
                <w:sz w:val="20"/>
                <w:szCs w:val="20"/>
              </w:rPr>
            </w:pPr>
            <w:r>
              <w:rPr>
                <w:rFonts w:eastAsia="Times New Roman"/>
                <w:b/>
                <w:bCs/>
                <w:sz w:val="20"/>
                <w:szCs w:val="20"/>
              </w:rPr>
              <w:t>EBITDA</w:t>
            </w:r>
          </w:p>
        </w:tc>
        <w:tc>
          <w:tcPr>
            <w:tcW w:w="0" w:type="auto"/>
            <w:tcMar>
              <w:top w:w="0" w:type="dxa"/>
              <w:left w:w="0" w:type="dxa"/>
              <w:bottom w:w="30" w:type="dxa"/>
              <w:right w:w="0" w:type="dxa"/>
            </w:tcMar>
            <w:vAlign w:val="bottom"/>
            <w:hideMark/>
          </w:tcPr>
          <w:p w14:paraId="5508FB42" w14:textId="77777777" w:rsidR="00000000" w:rsidRDefault="002F725F">
            <w:pPr>
              <w:jc w:val="center"/>
              <w:rPr>
                <w:rFonts w:eastAsia="Times New Roman"/>
                <w:b/>
                <w:bCs/>
                <w:sz w:val="20"/>
                <w:szCs w:val="20"/>
              </w:rPr>
            </w:pPr>
            <w:r>
              <w:rPr>
                <w:rFonts w:eastAsia="Times New Roman"/>
                <w:b/>
                <w:bCs/>
                <w:sz w:val="20"/>
                <w:szCs w:val="20"/>
              </w:rPr>
              <w:t> </w:t>
            </w:r>
          </w:p>
        </w:tc>
      </w:tr>
      <w:tr w:rsidR="002F725F" w14:paraId="373CFF07" w14:textId="77777777">
        <w:trPr>
          <w:divId w:val="415980837"/>
        </w:trPr>
        <w:tc>
          <w:tcPr>
            <w:tcW w:w="900" w:type="pct"/>
            <w:shd w:val="clear" w:color="auto" w:fill="CCEEFF"/>
            <w:hideMark/>
          </w:tcPr>
          <w:p w14:paraId="7F14E5DC" w14:textId="77777777" w:rsidR="00000000" w:rsidRDefault="002F725F">
            <w:pPr>
              <w:rPr>
                <w:rFonts w:eastAsia="Times New Roman"/>
                <w:sz w:val="20"/>
                <w:szCs w:val="20"/>
              </w:rPr>
            </w:pPr>
            <w:r>
              <w:rPr>
                <w:rFonts w:eastAsia="Times New Roman"/>
                <w:sz w:val="20"/>
                <w:szCs w:val="20"/>
              </w:rPr>
              <w:t>7/28/2025</w:t>
            </w:r>
          </w:p>
        </w:tc>
        <w:tc>
          <w:tcPr>
            <w:tcW w:w="50" w:type="pct"/>
            <w:shd w:val="clear" w:color="auto" w:fill="CCEEFF"/>
            <w:vAlign w:val="bottom"/>
            <w:hideMark/>
          </w:tcPr>
          <w:p w14:paraId="5FC31A36" w14:textId="77777777" w:rsidR="00000000" w:rsidRDefault="002F725F">
            <w:pPr>
              <w:rPr>
                <w:rFonts w:eastAsia="Times New Roman"/>
                <w:sz w:val="20"/>
                <w:szCs w:val="20"/>
              </w:rPr>
            </w:pPr>
            <w:r>
              <w:rPr>
                <w:rFonts w:eastAsia="Times New Roman"/>
                <w:sz w:val="20"/>
                <w:szCs w:val="20"/>
              </w:rPr>
              <w:t> </w:t>
            </w:r>
          </w:p>
        </w:tc>
        <w:tc>
          <w:tcPr>
            <w:tcW w:w="500" w:type="pct"/>
            <w:shd w:val="clear" w:color="auto" w:fill="CCEEFF"/>
            <w:hideMark/>
          </w:tcPr>
          <w:p w14:paraId="5AD17C08" w14:textId="77777777" w:rsidR="00000000" w:rsidRDefault="002F725F">
            <w:pPr>
              <w:rPr>
                <w:rFonts w:eastAsia="Times New Roman"/>
                <w:sz w:val="20"/>
                <w:szCs w:val="20"/>
              </w:rPr>
            </w:pPr>
            <w:r>
              <w:rPr>
                <w:rFonts w:eastAsia="Times New Roman"/>
                <w:sz w:val="20"/>
                <w:szCs w:val="20"/>
              </w:rPr>
              <w:t>Bavarian Nordic A/S</w:t>
            </w:r>
          </w:p>
        </w:tc>
        <w:tc>
          <w:tcPr>
            <w:tcW w:w="50" w:type="pct"/>
            <w:shd w:val="clear" w:color="auto" w:fill="CCEEFF"/>
            <w:vAlign w:val="bottom"/>
            <w:hideMark/>
          </w:tcPr>
          <w:p w14:paraId="319026C2" w14:textId="77777777" w:rsidR="00000000" w:rsidRDefault="002F725F">
            <w:pPr>
              <w:rPr>
                <w:rFonts w:eastAsia="Times New Roman"/>
                <w:sz w:val="20"/>
                <w:szCs w:val="20"/>
              </w:rPr>
            </w:pPr>
            <w:r>
              <w:rPr>
                <w:rFonts w:eastAsia="Times New Roman"/>
                <w:sz w:val="20"/>
                <w:szCs w:val="20"/>
              </w:rPr>
              <w:t> </w:t>
            </w:r>
          </w:p>
        </w:tc>
        <w:tc>
          <w:tcPr>
            <w:tcW w:w="500" w:type="pct"/>
            <w:shd w:val="clear" w:color="auto" w:fill="CCEEFF"/>
            <w:vAlign w:val="bottom"/>
            <w:hideMark/>
          </w:tcPr>
          <w:p w14:paraId="022BB0E1" w14:textId="77777777" w:rsidR="00000000" w:rsidRDefault="002F725F">
            <w:pPr>
              <w:rPr>
                <w:rFonts w:eastAsia="Times New Roman"/>
                <w:sz w:val="20"/>
                <w:szCs w:val="20"/>
              </w:rPr>
            </w:pPr>
            <w:r>
              <w:rPr>
                <w:rFonts w:eastAsia="Times New Roman"/>
                <w:sz w:val="20"/>
                <w:szCs w:val="20"/>
              </w:rPr>
              <w:t xml:space="preserve">Permira Advisers Ltd.; </w:t>
            </w:r>
            <w:r>
              <w:rPr>
                <w:rFonts w:eastAsia="Times New Roman"/>
                <w:sz w:val="20"/>
                <w:szCs w:val="20"/>
              </w:rPr>
              <w:lastRenderedPageBreak/>
              <w:t>Nordic Capital Epsilon Sca Sicav-raif</w:t>
            </w:r>
          </w:p>
        </w:tc>
        <w:tc>
          <w:tcPr>
            <w:tcW w:w="50" w:type="pct"/>
            <w:shd w:val="clear" w:color="auto" w:fill="CCEEFF"/>
            <w:vAlign w:val="bottom"/>
            <w:hideMark/>
          </w:tcPr>
          <w:p w14:paraId="612D5764" w14:textId="77777777" w:rsidR="00000000" w:rsidRDefault="002F725F">
            <w:pPr>
              <w:rPr>
                <w:rFonts w:eastAsia="Times New Roman"/>
                <w:sz w:val="20"/>
                <w:szCs w:val="20"/>
              </w:rPr>
            </w:pPr>
            <w:r>
              <w:rPr>
                <w:rFonts w:eastAsia="Times New Roman"/>
                <w:sz w:val="20"/>
                <w:szCs w:val="20"/>
              </w:rPr>
              <w:lastRenderedPageBreak/>
              <w:t> </w:t>
            </w:r>
          </w:p>
        </w:tc>
        <w:tc>
          <w:tcPr>
            <w:tcW w:w="50" w:type="pct"/>
            <w:shd w:val="clear" w:color="auto" w:fill="CCEEFF"/>
            <w:vAlign w:val="bottom"/>
            <w:hideMark/>
          </w:tcPr>
          <w:p w14:paraId="237E8541"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47CAC4A3" w14:textId="77777777" w:rsidR="00000000" w:rsidRDefault="002F725F">
            <w:pPr>
              <w:jc w:val="right"/>
              <w:rPr>
                <w:rFonts w:eastAsia="Times New Roman"/>
                <w:sz w:val="20"/>
                <w:szCs w:val="20"/>
              </w:rPr>
            </w:pPr>
            <w:r>
              <w:rPr>
                <w:rFonts w:eastAsia="Times New Roman"/>
                <w:sz w:val="20"/>
                <w:szCs w:val="20"/>
              </w:rPr>
              <w:t>$2,587</w:t>
            </w:r>
          </w:p>
        </w:tc>
        <w:tc>
          <w:tcPr>
            <w:tcW w:w="50" w:type="pct"/>
            <w:shd w:val="clear" w:color="auto" w:fill="CCEEFF"/>
            <w:vAlign w:val="bottom"/>
            <w:hideMark/>
          </w:tcPr>
          <w:p w14:paraId="48E679A1"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4CD4FC37"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21DCA4F2"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28B09F06" w14:textId="77777777" w:rsidR="00000000" w:rsidRDefault="002F725F">
            <w:pPr>
              <w:jc w:val="right"/>
              <w:rPr>
                <w:rFonts w:eastAsia="Times New Roman"/>
                <w:sz w:val="20"/>
                <w:szCs w:val="20"/>
              </w:rPr>
            </w:pPr>
            <w:r>
              <w:rPr>
                <w:rFonts w:eastAsia="Times New Roman"/>
                <w:sz w:val="20"/>
                <w:szCs w:val="20"/>
              </w:rPr>
              <w:t>$1,016</w:t>
            </w:r>
          </w:p>
        </w:tc>
        <w:tc>
          <w:tcPr>
            <w:tcW w:w="50" w:type="pct"/>
            <w:shd w:val="clear" w:color="auto" w:fill="CCEEFF"/>
            <w:vAlign w:val="bottom"/>
            <w:hideMark/>
          </w:tcPr>
          <w:p w14:paraId="1AD16B1F"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6F0731BE"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020C29AF"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27A7C22B" w14:textId="77777777" w:rsidR="00000000" w:rsidRDefault="002F725F">
            <w:pPr>
              <w:jc w:val="right"/>
              <w:rPr>
                <w:rFonts w:eastAsia="Times New Roman"/>
                <w:sz w:val="20"/>
                <w:szCs w:val="20"/>
              </w:rPr>
            </w:pPr>
            <w:r>
              <w:rPr>
                <w:rFonts w:eastAsia="Times New Roman"/>
                <w:sz w:val="20"/>
                <w:szCs w:val="20"/>
              </w:rPr>
              <w:t>$345</w:t>
            </w:r>
          </w:p>
        </w:tc>
        <w:tc>
          <w:tcPr>
            <w:tcW w:w="50" w:type="pct"/>
            <w:shd w:val="clear" w:color="auto" w:fill="CCEEFF"/>
            <w:vAlign w:val="bottom"/>
            <w:hideMark/>
          </w:tcPr>
          <w:p w14:paraId="69D0A9D0"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050F7844"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3D858B2A"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4738A884" w14:textId="77777777" w:rsidR="00000000" w:rsidRDefault="002F725F">
            <w:pPr>
              <w:jc w:val="right"/>
              <w:rPr>
                <w:rFonts w:eastAsia="Times New Roman"/>
                <w:sz w:val="20"/>
                <w:szCs w:val="20"/>
              </w:rPr>
            </w:pPr>
            <w:r>
              <w:rPr>
                <w:rFonts w:eastAsia="Times New Roman"/>
                <w:sz w:val="20"/>
                <w:szCs w:val="20"/>
              </w:rPr>
              <w:t>34.0</w:t>
            </w:r>
          </w:p>
        </w:tc>
        <w:tc>
          <w:tcPr>
            <w:tcW w:w="50" w:type="pct"/>
            <w:shd w:val="clear" w:color="auto" w:fill="CCEEFF"/>
            <w:vAlign w:val="bottom"/>
            <w:hideMark/>
          </w:tcPr>
          <w:p w14:paraId="63A5BD1F" w14:textId="77777777" w:rsidR="00000000" w:rsidRDefault="002F725F">
            <w:pPr>
              <w:rPr>
                <w:rFonts w:eastAsia="Times New Roman"/>
                <w:sz w:val="20"/>
                <w:szCs w:val="20"/>
              </w:rPr>
            </w:pPr>
            <w:r>
              <w:rPr>
                <w:rFonts w:eastAsia="Times New Roman"/>
                <w:sz w:val="20"/>
                <w:szCs w:val="20"/>
              </w:rPr>
              <w:t>%</w:t>
            </w:r>
          </w:p>
        </w:tc>
        <w:tc>
          <w:tcPr>
            <w:tcW w:w="50" w:type="pct"/>
            <w:shd w:val="clear" w:color="auto" w:fill="CCEEFF"/>
            <w:vAlign w:val="bottom"/>
            <w:hideMark/>
          </w:tcPr>
          <w:p w14:paraId="6855410D"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29AD740E"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7E49F8E0" w14:textId="77777777" w:rsidR="00000000" w:rsidRDefault="002F725F">
            <w:pPr>
              <w:jc w:val="right"/>
              <w:rPr>
                <w:rFonts w:eastAsia="Times New Roman"/>
                <w:sz w:val="20"/>
                <w:szCs w:val="20"/>
              </w:rPr>
            </w:pPr>
            <w:r>
              <w:rPr>
                <w:rFonts w:eastAsia="Times New Roman"/>
                <w:sz w:val="20"/>
                <w:szCs w:val="20"/>
              </w:rPr>
              <w:t>2.55</w:t>
            </w:r>
          </w:p>
        </w:tc>
        <w:tc>
          <w:tcPr>
            <w:tcW w:w="50" w:type="pct"/>
            <w:shd w:val="clear" w:color="auto" w:fill="CCEEFF"/>
            <w:vAlign w:val="bottom"/>
            <w:hideMark/>
          </w:tcPr>
          <w:p w14:paraId="76DDA7A0" w14:textId="77777777" w:rsidR="00000000" w:rsidRDefault="002F725F">
            <w:pPr>
              <w:rPr>
                <w:rFonts w:eastAsia="Times New Roman"/>
                <w:sz w:val="20"/>
                <w:szCs w:val="20"/>
              </w:rPr>
            </w:pPr>
            <w:r>
              <w:rPr>
                <w:rFonts w:eastAsia="Times New Roman"/>
                <w:sz w:val="20"/>
                <w:szCs w:val="20"/>
              </w:rPr>
              <w:t>x</w:t>
            </w:r>
          </w:p>
        </w:tc>
        <w:tc>
          <w:tcPr>
            <w:tcW w:w="50" w:type="pct"/>
            <w:shd w:val="clear" w:color="auto" w:fill="CCEEFF"/>
            <w:vAlign w:val="bottom"/>
            <w:hideMark/>
          </w:tcPr>
          <w:p w14:paraId="3074A7E0"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065914DF" w14:textId="77777777" w:rsidR="00000000" w:rsidRDefault="002F725F">
            <w:pPr>
              <w:rPr>
                <w:rFonts w:eastAsia="Times New Roman"/>
                <w:sz w:val="20"/>
                <w:szCs w:val="20"/>
              </w:rPr>
            </w:pPr>
            <w:r>
              <w:rPr>
                <w:rFonts w:eastAsia="Times New Roman"/>
                <w:sz w:val="20"/>
                <w:szCs w:val="20"/>
              </w:rPr>
              <w:t> </w:t>
            </w:r>
          </w:p>
        </w:tc>
        <w:tc>
          <w:tcPr>
            <w:tcW w:w="350" w:type="pct"/>
            <w:shd w:val="clear" w:color="auto" w:fill="CCEEFF"/>
            <w:vAlign w:val="bottom"/>
            <w:hideMark/>
          </w:tcPr>
          <w:p w14:paraId="22824FFB" w14:textId="77777777" w:rsidR="00000000" w:rsidRDefault="002F725F">
            <w:pPr>
              <w:jc w:val="right"/>
              <w:rPr>
                <w:rFonts w:eastAsia="Times New Roman"/>
                <w:sz w:val="20"/>
                <w:szCs w:val="20"/>
              </w:rPr>
            </w:pPr>
            <w:r>
              <w:rPr>
                <w:rFonts w:eastAsia="Times New Roman"/>
                <w:sz w:val="20"/>
                <w:szCs w:val="20"/>
              </w:rPr>
              <w:t>7.5x</w:t>
            </w:r>
          </w:p>
        </w:tc>
        <w:tc>
          <w:tcPr>
            <w:tcW w:w="50" w:type="pct"/>
            <w:shd w:val="clear" w:color="auto" w:fill="CCEEFF"/>
            <w:vAlign w:val="bottom"/>
            <w:hideMark/>
          </w:tcPr>
          <w:p w14:paraId="7C432706" w14:textId="77777777" w:rsidR="00000000" w:rsidRDefault="002F725F">
            <w:pPr>
              <w:rPr>
                <w:rFonts w:eastAsia="Times New Roman"/>
                <w:sz w:val="20"/>
                <w:szCs w:val="20"/>
              </w:rPr>
            </w:pPr>
            <w:r>
              <w:rPr>
                <w:rFonts w:eastAsia="Times New Roman"/>
                <w:sz w:val="20"/>
                <w:szCs w:val="20"/>
              </w:rPr>
              <w:t> </w:t>
            </w:r>
          </w:p>
        </w:tc>
      </w:tr>
      <w:tr w:rsidR="002F725F" w14:paraId="33E54E3F" w14:textId="77777777">
        <w:trPr>
          <w:divId w:val="415980837"/>
        </w:trPr>
        <w:tc>
          <w:tcPr>
            <w:tcW w:w="0" w:type="auto"/>
            <w:shd w:val="clear" w:color="auto" w:fill="FFFFFF"/>
            <w:hideMark/>
          </w:tcPr>
          <w:p w14:paraId="3A106E1C" w14:textId="77777777" w:rsidR="00000000" w:rsidRDefault="002F725F">
            <w:pPr>
              <w:rPr>
                <w:rFonts w:eastAsia="Times New Roman"/>
                <w:sz w:val="20"/>
                <w:szCs w:val="20"/>
              </w:rPr>
            </w:pPr>
            <w:r>
              <w:rPr>
                <w:rFonts w:eastAsia="Times New Roman"/>
                <w:sz w:val="20"/>
                <w:szCs w:val="20"/>
              </w:rPr>
              <w:t>6/12/2025</w:t>
            </w:r>
          </w:p>
        </w:tc>
        <w:tc>
          <w:tcPr>
            <w:tcW w:w="0" w:type="auto"/>
            <w:shd w:val="clear" w:color="auto" w:fill="FFFFFF"/>
            <w:vAlign w:val="bottom"/>
            <w:hideMark/>
          </w:tcPr>
          <w:p w14:paraId="235CF55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403D349E" w14:textId="77777777" w:rsidR="00000000" w:rsidRDefault="002F725F">
            <w:pPr>
              <w:rPr>
                <w:rFonts w:eastAsia="Times New Roman"/>
                <w:sz w:val="20"/>
                <w:szCs w:val="20"/>
              </w:rPr>
            </w:pPr>
            <w:r>
              <w:rPr>
                <w:rFonts w:eastAsia="Times New Roman"/>
                <w:sz w:val="20"/>
                <w:szCs w:val="20"/>
              </w:rPr>
              <w:t>CureVac N.V.</w:t>
            </w:r>
          </w:p>
        </w:tc>
        <w:tc>
          <w:tcPr>
            <w:tcW w:w="0" w:type="auto"/>
            <w:shd w:val="clear" w:color="auto" w:fill="FFFFFF"/>
            <w:vAlign w:val="bottom"/>
            <w:hideMark/>
          </w:tcPr>
          <w:p w14:paraId="071870B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FA8AB64" w14:textId="77777777" w:rsidR="00000000" w:rsidRDefault="002F725F">
            <w:pPr>
              <w:rPr>
                <w:rFonts w:eastAsia="Times New Roman"/>
                <w:sz w:val="20"/>
                <w:szCs w:val="20"/>
              </w:rPr>
            </w:pPr>
            <w:r>
              <w:rPr>
                <w:rFonts w:eastAsia="Times New Roman"/>
                <w:sz w:val="20"/>
                <w:szCs w:val="20"/>
              </w:rPr>
              <w:t>BioNTech SE</w:t>
            </w:r>
          </w:p>
        </w:tc>
        <w:tc>
          <w:tcPr>
            <w:tcW w:w="0" w:type="auto"/>
            <w:shd w:val="clear" w:color="auto" w:fill="FFFFFF"/>
            <w:vAlign w:val="bottom"/>
            <w:hideMark/>
          </w:tcPr>
          <w:p w14:paraId="14C3FAC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D78DA9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066D06F" w14:textId="77777777" w:rsidR="00000000" w:rsidRDefault="002F725F">
            <w:pPr>
              <w:jc w:val="right"/>
              <w:rPr>
                <w:rFonts w:eastAsia="Times New Roman"/>
                <w:sz w:val="20"/>
                <w:szCs w:val="20"/>
              </w:rPr>
            </w:pPr>
            <w:r>
              <w:rPr>
                <w:rFonts w:eastAsia="Times New Roman"/>
                <w:sz w:val="20"/>
                <w:szCs w:val="20"/>
              </w:rPr>
              <w:t>$795</w:t>
            </w:r>
          </w:p>
        </w:tc>
        <w:tc>
          <w:tcPr>
            <w:tcW w:w="0" w:type="auto"/>
            <w:shd w:val="clear" w:color="auto" w:fill="FFFFFF"/>
            <w:vAlign w:val="bottom"/>
            <w:hideMark/>
          </w:tcPr>
          <w:p w14:paraId="63571CA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FF2DC7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3011BC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C943508" w14:textId="77777777" w:rsidR="00000000" w:rsidRDefault="002F725F">
            <w:pPr>
              <w:jc w:val="right"/>
              <w:rPr>
                <w:rFonts w:eastAsia="Times New Roman"/>
                <w:sz w:val="20"/>
                <w:szCs w:val="20"/>
              </w:rPr>
            </w:pPr>
            <w:r>
              <w:rPr>
                <w:rFonts w:eastAsia="Times New Roman"/>
                <w:sz w:val="20"/>
                <w:szCs w:val="20"/>
              </w:rPr>
              <w:t>$566</w:t>
            </w:r>
          </w:p>
        </w:tc>
        <w:tc>
          <w:tcPr>
            <w:tcW w:w="0" w:type="auto"/>
            <w:shd w:val="clear" w:color="auto" w:fill="FFFFFF"/>
            <w:vAlign w:val="bottom"/>
            <w:hideMark/>
          </w:tcPr>
          <w:p w14:paraId="7CC3382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84E8F4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8DC7A7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D537DAD" w14:textId="77777777" w:rsidR="00000000" w:rsidRDefault="002F725F">
            <w:pPr>
              <w:jc w:val="right"/>
              <w:rPr>
                <w:rFonts w:eastAsia="Times New Roman"/>
                <w:sz w:val="20"/>
                <w:szCs w:val="20"/>
              </w:rPr>
            </w:pPr>
            <w:r>
              <w:rPr>
                <w:rFonts w:eastAsia="Times New Roman"/>
                <w:sz w:val="20"/>
                <w:szCs w:val="20"/>
              </w:rPr>
              <w:t>$266</w:t>
            </w:r>
          </w:p>
        </w:tc>
        <w:tc>
          <w:tcPr>
            <w:tcW w:w="0" w:type="auto"/>
            <w:shd w:val="clear" w:color="auto" w:fill="FFFFFF"/>
            <w:vAlign w:val="bottom"/>
            <w:hideMark/>
          </w:tcPr>
          <w:p w14:paraId="77092A2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5A28E2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835522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09D7B08" w14:textId="77777777" w:rsidR="00000000" w:rsidRDefault="002F725F">
            <w:pPr>
              <w:jc w:val="right"/>
              <w:rPr>
                <w:rFonts w:eastAsia="Times New Roman"/>
                <w:sz w:val="20"/>
                <w:szCs w:val="20"/>
              </w:rPr>
            </w:pPr>
            <w:r>
              <w:rPr>
                <w:rFonts w:eastAsia="Times New Roman"/>
                <w:sz w:val="20"/>
                <w:szCs w:val="20"/>
              </w:rPr>
              <w:t>47.0</w:t>
            </w:r>
          </w:p>
        </w:tc>
        <w:tc>
          <w:tcPr>
            <w:tcW w:w="0" w:type="auto"/>
            <w:shd w:val="clear" w:color="auto" w:fill="FFFFFF"/>
            <w:vAlign w:val="bottom"/>
            <w:hideMark/>
          </w:tcPr>
          <w:p w14:paraId="6485CC14"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7BF303F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4EB04E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726D46D" w14:textId="77777777" w:rsidR="00000000" w:rsidRDefault="002F725F">
            <w:pPr>
              <w:jc w:val="right"/>
              <w:rPr>
                <w:rFonts w:eastAsia="Times New Roman"/>
                <w:sz w:val="20"/>
                <w:szCs w:val="20"/>
              </w:rPr>
            </w:pPr>
            <w:r>
              <w:rPr>
                <w:rFonts w:eastAsia="Times New Roman"/>
                <w:sz w:val="20"/>
                <w:szCs w:val="20"/>
              </w:rPr>
              <w:t>1.40</w:t>
            </w:r>
          </w:p>
        </w:tc>
        <w:tc>
          <w:tcPr>
            <w:tcW w:w="0" w:type="auto"/>
            <w:shd w:val="clear" w:color="auto" w:fill="FFFFFF"/>
            <w:vAlign w:val="bottom"/>
            <w:hideMark/>
          </w:tcPr>
          <w:p w14:paraId="67B02546" w14:textId="77777777" w:rsidR="00000000" w:rsidRDefault="002F725F">
            <w:pPr>
              <w:rPr>
                <w:rFonts w:eastAsia="Times New Roman"/>
                <w:sz w:val="20"/>
                <w:szCs w:val="20"/>
              </w:rPr>
            </w:pPr>
            <w:r>
              <w:rPr>
                <w:rFonts w:eastAsia="Times New Roman"/>
                <w:sz w:val="20"/>
                <w:szCs w:val="20"/>
              </w:rPr>
              <w:t>x</w:t>
            </w:r>
          </w:p>
        </w:tc>
        <w:tc>
          <w:tcPr>
            <w:tcW w:w="0" w:type="auto"/>
            <w:shd w:val="clear" w:color="auto" w:fill="FFFFFF"/>
            <w:vAlign w:val="bottom"/>
            <w:hideMark/>
          </w:tcPr>
          <w:p w14:paraId="6B92D9C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BBA727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AC68677" w14:textId="77777777" w:rsidR="00000000" w:rsidRDefault="002F725F">
            <w:pPr>
              <w:jc w:val="right"/>
              <w:rPr>
                <w:rFonts w:eastAsia="Times New Roman"/>
                <w:sz w:val="20"/>
                <w:szCs w:val="20"/>
              </w:rPr>
            </w:pPr>
            <w:r>
              <w:rPr>
                <w:rFonts w:eastAsia="Times New Roman"/>
                <w:sz w:val="20"/>
                <w:szCs w:val="20"/>
              </w:rPr>
              <w:t>3.0x</w:t>
            </w:r>
          </w:p>
        </w:tc>
        <w:tc>
          <w:tcPr>
            <w:tcW w:w="0" w:type="auto"/>
            <w:shd w:val="clear" w:color="auto" w:fill="FFFFFF"/>
            <w:vAlign w:val="bottom"/>
            <w:hideMark/>
          </w:tcPr>
          <w:p w14:paraId="6D215C78" w14:textId="77777777" w:rsidR="00000000" w:rsidRDefault="002F725F">
            <w:pPr>
              <w:rPr>
                <w:rFonts w:eastAsia="Times New Roman"/>
                <w:sz w:val="20"/>
                <w:szCs w:val="20"/>
              </w:rPr>
            </w:pPr>
            <w:r>
              <w:rPr>
                <w:rFonts w:eastAsia="Times New Roman"/>
                <w:sz w:val="20"/>
                <w:szCs w:val="20"/>
              </w:rPr>
              <w:t> </w:t>
            </w:r>
          </w:p>
        </w:tc>
      </w:tr>
      <w:tr w:rsidR="002F725F" w14:paraId="0D23786C" w14:textId="77777777">
        <w:trPr>
          <w:divId w:val="415980837"/>
        </w:trPr>
        <w:tc>
          <w:tcPr>
            <w:tcW w:w="0" w:type="auto"/>
            <w:shd w:val="clear" w:color="auto" w:fill="CCEEFF"/>
            <w:hideMark/>
          </w:tcPr>
          <w:p w14:paraId="7EF79B07" w14:textId="77777777" w:rsidR="00000000" w:rsidRDefault="002F725F">
            <w:pPr>
              <w:rPr>
                <w:rFonts w:eastAsia="Times New Roman"/>
                <w:sz w:val="20"/>
                <w:szCs w:val="20"/>
              </w:rPr>
            </w:pPr>
            <w:r>
              <w:rPr>
                <w:rFonts w:eastAsia="Times New Roman"/>
                <w:sz w:val="20"/>
                <w:szCs w:val="20"/>
              </w:rPr>
              <w:t>2/7/2025</w:t>
            </w:r>
          </w:p>
        </w:tc>
        <w:tc>
          <w:tcPr>
            <w:tcW w:w="0" w:type="auto"/>
            <w:shd w:val="clear" w:color="auto" w:fill="CCEEFF"/>
            <w:vAlign w:val="bottom"/>
            <w:hideMark/>
          </w:tcPr>
          <w:p w14:paraId="7C035B1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27C9A160" w14:textId="77777777" w:rsidR="00000000" w:rsidRDefault="002F725F">
            <w:pPr>
              <w:rPr>
                <w:rFonts w:eastAsia="Times New Roman"/>
                <w:sz w:val="20"/>
                <w:szCs w:val="20"/>
              </w:rPr>
            </w:pPr>
            <w:r>
              <w:rPr>
                <w:rFonts w:eastAsia="Times New Roman"/>
                <w:sz w:val="20"/>
                <w:szCs w:val="20"/>
              </w:rPr>
              <w:t>Mitsubishi Tanabe Pharma Corporation</w:t>
            </w:r>
          </w:p>
        </w:tc>
        <w:tc>
          <w:tcPr>
            <w:tcW w:w="0" w:type="auto"/>
            <w:shd w:val="clear" w:color="auto" w:fill="CCEEFF"/>
            <w:vAlign w:val="bottom"/>
            <w:hideMark/>
          </w:tcPr>
          <w:p w14:paraId="7D409FA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3392029" w14:textId="77777777" w:rsidR="00000000" w:rsidRDefault="002F725F">
            <w:pPr>
              <w:rPr>
                <w:rFonts w:eastAsia="Times New Roman"/>
                <w:sz w:val="20"/>
                <w:szCs w:val="20"/>
              </w:rPr>
            </w:pPr>
            <w:r>
              <w:rPr>
                <w:rFonts w:eastAsia="Times New Roman"/>
                <w:sz w:val="20"/>
                <w:szCs w:val="20"/>
              </w:rPr>
              <w:t>Bain Capital Private Equity, LP</w:t>
            </w:r>
          </w:p>
        </w:tc>
        <w:tc>
          <w:tcPr>
            <w:tcW w:w="0" w:type="auto"/>
            <w:shd w:val="clear" w:color="auto" w:fill="CCEEFF"/>
            <w:vAlign w:val="bottom"/>
            <w:hideMark/>
          </w:tcPr>
          <w:p w14:paraId="319386C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3A58D5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12C9D7A" w14:textId="77777777" w:rsidR="00000000" w:rsidRDefault="002F725F">
            <w:pPr>
              <w:jc w:val="right"/>
              <w:rPr>
                <w:rFonts w:eastAsia="Times New Roman"/>
                <w:sz w:val="20"/>
                <w:szCs w:val="20"/>
              </w:rPr>
            </w:pPr>
            <w:r>
              <w:rPr>
                <w:rFonts w:eastAsia="Times New Roman"/>
                <w:sz w:val="20"/>
                <w:szCs w:val="20"/>
              </w:rPr>
              <w:t>$3,373</w:t>
            </w:r>
          </w:p>
        </w:tc>
        <w:tc>
          <w:tcPr>
            <w:tcW w:w="0" w:type="auto"/>
            <w:shd w:val="clear" w:color="auto" w:fill="CCEEFF"/>
            <w:vAlign w:val="bottom"/>
            <w:hideMark/>
          </w:tcPr>
          <w:p w14:paraId="27A1F46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B29541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B8C627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3AB5353" w14:textId="77777777" w:rsidR="00000000" w:rsidRDefault="002F725F">
            <w:pPr>
              <w:jc w:val="right"/>
              <w:rPr>
                <w:rFonts w:eastAsia="Times New Roman"/>
                <w:sz w:val="20"/>
                <w:szCs w:val="20"/>
              </w:rPr>
            </w:pPr>
            <w:r>
              <w:rPr>
                <w:rFonts w:eastAsia="Times New Roman"/>
                <w:sz w:val="20"/>
                <w:szCs w:val="20"/>
              </w:rPr>
              <w:t>$3,437</w:t>
            </w:r>
          </w:p>
        </w:tc>
        <w:tc>
          <w:tcPr>
            <w:tcW w:w="0" w:type="auto"/>
            <w:shd w:val="clear" w:color="auto" w:fill="CCEEFF"/>
            <w:vAlign w:val="bottom"/>
            <w:hideMark/>
          </w:tcPr>
          <w:p w14:paraId="3EA88DB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350806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25B366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043DE39" w14:textId="77777777" w:rsidR="00000000" w:rsidRDefault="002F725F">
            <w:pPr>
              <w:jc w:val="right"/>
              <w:rPr>
                <w:rFonts w:eastAsia="Times New Roman"/>
                <w:sz w:val="20"/>
                <w:szCs w:val="20"/>
              </w:rPr>
            </w:pPr>
            <w:r>
              <w:rPr>
                <w:rFonts w:eastAsia="Times New Roman"/>
                <w:sz w:val="20"/>
                <w:szCs w:val="20"/>
              </w:rPr>
              <w:t>($362</w:t>
            </w:r>
          </w:p>
        </w:tc>
        <w:tc>
          <w:tcPr>
            <w:tcW w:w="0" w:type="auto"/>
            <w:shd w:val="clear" w:color="auto" w:fill="CCEEFF"/>
            <w:vAlign w:val="bottom"/>
            <w:hideMark/>
          </w:tcPr>
          <w:p w14:paraId="66B0F663"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2DE9315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615EC3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21389CA" w14:textId="77777777" w:rsidR="00000000" w:rsidRDefault="002F725F">
            <w:pPr>
              <w:jc w:val="right"/>
              <w:rPr>
                <w:rFonts w:eastAsia="Times New Roman"/>
                <w:sz w:val="20"/>
                <w:szCs w:val="20"/>
              </w:rPr>
            </w:pPr>
            <w:r>
              <w:rPr>
                <w:rFonts w:eastAsia="Times New Roman"/>
                <w:sz w:val="20"/>
                <w:szCs w:val="20"/>
              </w:rPr>
              <w:t>-10.5</w:t>
            </w:r>
          </w:p>
        </w:tc>
        <w:tc>
          <w:tcPr>
            <w:tcW w:w="0" w:type="auto"/>
            <w:shd w:val="clear" w:color="auto" w:fill="CCEEFF"/>
            <w:vAlign w:val="bottom"/>
            <w:hideMark/>
          </w:tcPr>
          <w:p w14:paraId="7299F0BB"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16B53AE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1A2A62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7CE3E3B" w14:textId="77777777" w:rsidR="00000000" w:rsidRDefault="002F725F">
            <w:pPr>
              <w:jc w:val="right"/>
              <w:rPr>
                <w:rFonts w:eastAsia="Times New Roman"/>
                <w:sz w:val="20"/>
                <w:szCs w:val="20"/>
              </w:rPr>
            </w:pPr>
            <w:r>
              <w:rPr>
                <w:rFonts w:eastAsia="Times New Roman"/>
                <w:sz w:val="20"/>
                <w:szCs w:val="20"/>
              </w:rPr>
              <w:t>0.98</w:t>
            </w:r>
          </w:p>
        </w:tc>
        <w:tc>
          <w:tcPr>
            <w:tcW w:w="0" w:type="auto"/>
            <w:shd w:val="clear" w:color="auto" w:fill="CCEEFF"/>
            <w:vAlign w:val="bottom"/>
            <w:hideMark/>
          </w:tcPr>
          <w:p w14:paraId="5E361926" w14:textId="77777777" w:rsidR="00000000" w:rsidRDefault="002F725F">
            <w:pPr>
              <w:rPr>
                <w:rFonts w:eastAsia="Times New Roman"/>
                <w:sz w:val="20"/>
                <w:szCs w:val="20"/>
              </w:rPr>
            </w:pPr>
            <w:r>
              <w:rPr>
                <w:rFonts w:eastAsia="Times New Roman"/>
                <w:sz w:val="20"/>
                <w:szCs w:val="20"/>
              </w:rPr>
              <w:t>x</w:t>
            </w:r>
          </w:p>
        </w:tc>
        <w:tc>
          <w:tcPr>
            <w:tcW w:w="0" w:type="auto"/>
            <w:shd w:val="clear" w:color="auto" w:fill="CCEEFF"/>
            <w:vAlign w:val="bottom"/>
            <w:hideMark/>
          </w:tcPr>
          <w:p w14:paraId="5C6FBE1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5DC58C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1470E75" w14:textId="77777777" w:rsidR="00000000" w:rsidRDefault="002F725F">
            <w:pPr>
              <w:jc w:val="right"/>
              <w:rPr>
                <w:rFonts w:eastAsia="Times New Roman"/>
                <w:sz w:val="20"/>
                <w:szCs w:val="20"/>
              </w:rPr>
            </w:pPr>
            <w:r>
              <w:rPr>
                <w:rFonts w:eastAsia="Times New Roman"/>
                <w:sz w:val="20"/>
                <w:szCs w:val="20"/>
              </w:rPr>
              <w:t>NM </w:t>
            </w:r>
          </w:p>
        </w:tc>
        <w:tc>
          <w:tcPr>
            <w:tcW w:w="0" w:type="auto"/>
            <w:shd w:val="clear" w:color="auto" w:fill="CCEEFF"/>
            <w:vAlign w:val="bottom"/>
            <w:hideMark/>
          </w:tcPr>
          <w:p w14:paraId="0E026683" w14:textId="77777777" w:rsidR="00000000" w:rsidRDefault="002F725F">
            <w:pPr>
              <w:rPr>
                <w:rFonts w:eastAsia="Times New Roman"/>
                <w:sz w:val="20"/>
                <w:szCs w:val="20"/>
              </w:rPr>
            </w:pPr>
            <w:r>
              <w:rPr>
                <w:rFonts w:eastAsia="Times New Roman"/>
                <w:sz w:val="20"/>
                <w:szCs w:val="20"/>
              </w:rPr>
              <w:t> </w:t>
            </w:r>
          </w:p>
        </w:tc>
      </w:tr>
      <w:tr w:rsidR="002F725F" w14:paraId="307119BE" w14:textId="77777777">
        <w:trPr>
          <w:divId w:val="415980837"/>
        </w:trPr>
        <w:tc>
          <w:tcPr>
            <w:tcW w:w="0" w:type="auto"/>
            <w:shd w:val="clear" w:color="auto" w:fill="FFFFFF"/>
            <w:hideMark/>
          </w:tcPr>
          <w:p w14:paraId="24CF8FFE" w14:textId="77777777" w:rsidR="00000000" w:rsidRDefault="002F725F">
            <w:pPr>
              <w:rPr>
                <w:rFonts w:eastAsia="Times New Roman"/>
                <w:sz w:val="20"/>
                <w:szCs w:val="20"/>
              </w:rPr>
            </w:pPr>
            <w:r>
              <w:rPr>
                <w:rFonts w:eastAsia="Times New Roman"/>
                <w:sz w:val="20"/>
                <w:szCs w:val="20"/>
              </w:rPr>
              <w:t>3/13/2025</w:t>
            </w:r>
          </w:p>
        </w:tc>
        <w:tc>
          <w:tcPr>
            <w:tcW w:w="0" w:type="auto"/>
            <w:shd w:val="clear" w:color="auto" w:fill="FFFFFF"/>
            <w:vAlign w:val="bottom"/>
            <w:hideMark/>
          </w:tcPr>
          <w:p w14:paraId="49D3C50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5C3BBCB8" w14:textId="77777777" w:rsidR="00000000" w:rsidRDefault="002F725F">
            <w:pPr>
              <w:rPr>
                <w:rFonts w:eastAsia="Times New Roman"/>
                <w:sz w:val="20"/>
                <w:szCs w:val="20"/>
              </w:rPr>
            </w:pPr>
            <w:r>
              <w:rPr>
                <w:rFonts w:eastAsia="Times New Roman"/>
                <w:sz w:val="20"/>
                <w:szCs w:val="20"/>
              </w:rPr>
              <w:t>Endo, Inc. (nka:Endo LP)</w:t>
            </w:r>
          </w:p>
        </w:tc>
        <w:tc>
          <w:tcPr>
            <w:tcW w:w="0" w:type="auto"/>
            <w:shd w:val="clear" w:color="auto" w:fill="FFFFFF"/>
            <w:vAlign w:val="bottom"/>
            <w:hideMark/>
          </w:tcPr>
          <w:p w14:paraId="7AC3CAB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445A414" w14:textId="77777777" w:rsidR="00000000" w:rsidRDefault="002F725F">
            <w:pPr>
              <w:rPr>
                <w:rFonts w:eastAsia="Times New Roman"/>
                <w:sz w:val="20"/>
                <w:szCs w:val="20"/>
              </w:rPr>
            </w:pPr>
            <w:r>
              <w:rPr>
                <w:rFonts w:eastAsia="Times New Roman"/>
                <w:sz w:val="20"/>
                <w:szCs w:val="20"/>
              </w:rPr>
              <w:t>Mallinckrodt PLC</w:t>
            </w:r>
          </w:p>
        </w:tc>
        <w:tc>
          <w:tcPr>
            <w:tcW w:w="0" w:type="auto"/>
            <w:shd w:val="clear" w:color="auto" w:fill="FFFFFF"/>
            <w:vAlign w:val="bottom"/>
            <w:hideMark/>
          </w:tcPr>
          <w:p w14:paraId="3EB4710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B5FEFC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A7DA864" w14:textId="77777777" w:rsidR="00000000" w:rsidRDefault="002F725F">
            <w:pPr>
              <w:jc w:val="right"/>
              <w:rPr>
                <w:rFonts w:eastAsia="Times New Roman"/>
                <w:sz w:val="20"/>
                <w:szCs w:val="20"/>
              </w:rPr>
            </w:pPr>
            <w:r>
              <w:rPr>
                <w:rFonts w:eastAsia="Times New Roman"/>
                <w:sz w:val="20"/>
                <w:szCs w:val="20"/>
              </w:rPr>
              <w:t>$4,010</w:t>
            </w:r>
          </w:p>
        </w:tc>
        <w:tc>
          <w:tcPr>
            <w:tcW w:w="0" w:type="auto"/>
            <w:shd w:val="clear" w:color="auto" w:fill="FFFFFF"/>
            <w:vAlign w:val="bottom"/>
            <w:hideMark/>
          </w:tcPr>
          <w:p w14:paraId="61B1BFA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B12FDE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2A4622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755A811" w14:textId="77777777" w:rsidR="00000000" w:rsidRDefault="002F725F">
            <w:pPr>
              <w:jc w:val="right"/>
              <w:rPr>
                <w:rFonts w:eastAsia="Times New Roman"/>
                <w:sz w:val="20"/>
                <w:szCs w:val="20"/>
              </w:rPr>
            </w:pPr>
            <w:r>
              <w:rPr>
                <w:rFonts w:eastAsia="Times New Roman"/>
                <w:sz w:val="20"/>
                <w:szCs w:val="20"/>
              </w:rPr>
              <w:t>$1,760</w:t>
            </w:r>
          </w:p>
        </w:tc>
        <w:tc>
          <w:tcPr>
            <w:tcW w:w="0" w:type="auto"/>
            <w:shd w:val="clear" w:color="auto" w:fill="FFFFFF"/>
            <w:vAlign w:val="bottom"/>
            <w:hideMark/>
          </w:tcPr>
          <w:p w14:paraId="4C1D555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C60ABA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3A6CBF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0EC6EF7" w14:textId="77777777" w:rsidR="00000000" w:rsidRDefault="002F725F">
            <w:pPr>
              <w:jc w:val="right"/>
              <w:rPr>
                <w:rFonts w:eastAsia="Times New Roman"/>
                <w:sz w:val="20"/>
                <w:szCs w:val="20"/>
              </w:rPr>
            </w:pPr>
            <w:r>
              <w:rPr>
                <w:rFonts w:eastAsia="Times New Roman"/>
                <w:sz w:val="20"/>
                <w:szCs w:val="20"/>
              </w:rPr>
              <w:t>($13</w:t>
            </w:r>
          </w:p>
        </w:tc>
        <w:tc>
          <w:tcPr>
            <w:tcW w:w="0" w:type="auto"/>
            <w:shd w:val="clear" w:color="auto" w:fill="FFFFFF"/>
            <w:vAlign w:val="bottom"/>
            <w:hideMark/>
          </w:tcPr>
          <w:p w14:paraId="3969F391"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30B1C2A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E84D39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8B507D1" w14:textId="77777777" w:rsidR="00000000" w:rsidRDefault="002F725F">
            <w:pPr>
              <w:jc w:val="right"/>
              <w:rPr>
                <w:rFonts w:eastAsia="Times New Roman"/>
                <w:sz w:val="20"/>
                <w:szCs w:val="20"/>
              </w:rPr>
            </w:pPr>
            <w:r>
              <w:rPr>
                <w:rFonts w:eastAsia="Times New Roman"/>
                <w:sz w:val="20"/>
                <w:szCs w:val="20"/>
              </w:rPr>
              <w:t>-0.8</w:t>
            </w:r>
          </w:p>
        </w:tc>
        <w:tc>
          <w:tcPr>
            <w:tcW w:w="0" w:type="auto"/>
            <w:shd w:val="clear" w:color="auto" w:fill="FFFFFF"/>
            <w:vAlign w:val="bottom"/>
            <w:hideMark/>
          </w:tcPr>
          <w:p w14:paraId="13F9A1DD"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6AC352F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252594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C3784DC" w14:textId="77777777" w:rsidR="00000000" w:rsidRDefault="002F725F">
            <w:pPr>
              <w:jc w:val="right"/>
              <w:rPr>
                <w:rFonts w:eastAsia="Times New Roman"/>
                <w:sz w:val="20"/>
                <w:szCs w:val="20"/>
              </w:rPr>
            </w:pPr>
            <w:r>
              <w:rPr>
                <w:rFonts w:eastAsia="Times New Roman"/>
                <w:sz w:val="20"/>
                <w:szCs w:val="20"/>
              </w:rPr>
              <w:t>2.28</w:t>
            </w:r>
          </w:p>
        </w:tc>
        <w:tc>
          <w:tcPr>
            <w:tcW w:w="0" w:type="auto"/>
            <w:shd w:val="clear" w:color="auto" w:fill="FFFFFF"/>
            <w:vAlign w:val="bottom"/>
            <w:hideMark/>
          </w:tcPr>
          <w:p w14:paraId="48F0A8C3" w14:textId="77777777" w:rsidR="00000000" w:rsidRDefault="002F725F">
            <w:pPr>
              <w:rPr>
                <w:rFonts w:eastAsia="Times New Roman"/>
                <w:sz w:val="20"/>
                <w:szCs w:val="20"/>
              </w:rPr>
            </w:pPr>
            <w:r>
              <w:rPr>
                <w:rFonts w:eastAsia="Times New Roman"/>
                <w:sz w:val="20"/>
                <w:szCs w:val="20"/>
              </w:rPr>
              <w:t>x</w:t>
            </w:r>
          </w:p>
        </w:tc>
        <w:tc>
          <w:tcPr>
            <w:tcW w:w="0" w:type="auto"/>
            <w:shd w:val="clear" w:color="auto" w:fill="FFFFFF"/>
            <w:vAlign w:val="bottom"/>
            <w:hideMark/>
          </w:tcPr>
          <w:p w14:paraId="53872D8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3EBB64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4BD31F1" w14:textId="77777777" w:rsidR="00000000" w:rsidRDefault="002F725F">
            <w:pPr>
              <w:jc w:val="right"/>
              <w:rPr>
                <w:rFonts w:eastAsia="Times New Roman"/>
                <w:sz w:val="20"/>
                <w:szCs w:val="20"/>
              </w:rPr>
            </w:pPr>
            <w:r>
              <w:rPr>
                <w:rFonts w:eastAsia="Times New Roman"/>
                <w:sz w:val="20"/>
                <w:szCs w:val="20"/>
              </w:rPr>
              <w:t>NM </w:t>
            </w:r>
          </w:p>
        </w:tc>
        <w:tc>
          <w:tcPr>
            <w:tcW w:w="0" w:type="auto"/>
            <w:shd w:val="clear" w:color="auto" w:fill="FFFFFF"/>
            <w:vAlign w:val="bottom"/>
            <w:hideMark/>
          </w:tcPr>
          <w:p w14:paraId="6931A418" w14:textId="77777777" w:rsidR="00000000" w:rsidRDefault="002F725F">
            <w:pPr>
              <w:rPr>
                <w:rFonts w:eastAsia="Times New Roman"/>
                <w:sz w:val="20"/>
                <w:szCs w:val="20"/>
              </w:rPr>
            </w:pPr>
            <w:r>
              <w:rPr>
                <w:rFonts w:eastAsia="Times New Roman"/>
                <w:sz w:val="20"/>
                <w:szCs w:val="20"/>
              </w:rPr>
              <w:t> </w:t>
            </w:r>
          </w:p>
        </w:tc>
      </w:tr>
      <w:tr w:rsidR="002F725F" w14:paraId="1890FF48" w14:textId="77777777">
        <w:trPr>
          <w:divId w:val="415980837"/>
        </w:trPr>
        <w:tc>
          <w:tcPr>
            <w:tcW w:w="0" w:type="auto"/>
            <w:shd w:val="clear" w:color="auto" w:fill="CCEEFF"/>
            <w:hideMark/>
          </w:tcPr>
          <w:p w14:paraId="7DF54C83" w14:textId="77777777" w:rsidR="00000000" w:rsidRDefault="002F725F">
            <w:pPr>
              <w:rPr>
                <w:rFonts w:eastAsia="Times New Roman"/>
                <w:sz w:val="20"/>
                <w:szCs w:val="20"/>
              </w:rPr>
            </w:pPr>
            <w:r>
              <w:rPr>
                <w:rFonts w:eastAsia="Times New Roman"/>
                <w:sz w:val="20"/>
                <w:szCs w:val="20"/>
              </w:rPr>
              <w:t>3/29/2023</w:t>
            </w:r>
          </w:p>
        </w:tc>
        <w:tc>
          <w:tcPr>
            <w:tcW w:w="0" w:type="auto"/>
            <w:shd w:val="clear" w:color="auto" w:fill="CCEEFF"/>
            <w:vAlign w:val="bottom"/>
            <w:hideMark/>
          </w:tcPr>
          <w:p w14:paraId="46852A2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7DAF485F" w14:textId="77777777" w:rsidR="00000000" w:rsidRDefault="002F725F">
            <w:pPr>
              <w:rPr>
                <w:rFonts w:eastAsia="Times New Roman"/>
                <w:sz w:val="20"/>
                <w:szCs w:val="20"/>
              </w:rPr>
            </w:pPr>
            <w:r>
              <w:rPr>
                <w:rFonts w:eastAsia="Times New Roman"/>
                <w:sz w:val="20"/>
                <w:szCs w:val="20"/>
              </w:rPr>
              <w:t>GreenLight Biosciences, Inc.</w:t>
            </w:r>
          </w:p>
        </w:tc>
        <w:tc>
          <w:tcPr>
            <w:tcW w:w="0" w:type="auto"/>
            <w:shd w:val="clear" w:color="auto" w:fill="CCEEFF"/>
            <w:vAlign w:val="bottom"/>
            <w:hideMark/>
          </w:tcPr>
          <w:p w14:paraId="487870C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F8B5D55" w14:textId="77777777" w:rsidR="00000000" w:rsidRDefault="002F725F">
            <w:pPr>
              <w:rPr>
                <w:rFonts w:eastAsia="Times New Roman"/>
                <w:sz w:val="20"/>
                <w:szCs w:val="20"/>
              </w:rPr>
            </w:pPr>
            <w:r>
              <w:rPr>
                <w:rFonts w:eastAsia="Times New Roman"/>
                <w:sz w:val="20"/>
                <w:szCs w:val="20"/>
              </w:rPr>
              <w:t>Fall Line Capital, LLC; Fall Line Endurance Fund, Lp</w:t>
            </w:r>
          </w:p>
        </w:tc>
        <w:tc>
          <w:tcPr>
            <w:tcW w:w="0" w:type="auto"/>
            <w:shd w:val="clear" w:color="auto" w:fill="CCEEFF"/>
            <w:vAlign w:val="bottom"/>
            <w:hideMark/>
          </w:tcPr>
          <w:p w14:paraId="308853F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9099BD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0AB9B83" w14:textId="77777777" w:rsidR="00000000" w:rsidRDefault="002F725F">
            <w:pPr>
              <w:jc w:val="right"/>
              <w:rPr>
                <w:rFonts w:eastAsia="Times New Roman"/>
                <w:sz w:val="20"/>
                <w:szCs w:val="20"/>
              </w:rPr>
            </w:pPr>
            <w:r>
              <w:rPr>
                <w:rFonts w:eastAsia="Times New Roman"/>
                <w:sz w:val="20"/>
                <w:szCs w:val="20"/>
              </w:rPr>
              <w:t>$38</w:t>
            </w:r>
          </w:p>
        </w:tc>
        <w:tc>
          <w:tcPr>
            <w:tcW w:w="0" w:type="auto"/>
            <w:shd w:val="clear" w:color="auto" w:fill="CCEEFF"/>
            <w:vAlign w:val="bottom"/>
            <w:hideMark/>
          </w:tcPr>
          <w:p w14:paraId="5279AA5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08966F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240B58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77FD52E" w14:textId="77777777" w:rsidR="00000000" w:rsidRDefault="002F725F">
            <w:pPr>
              <w:jc w:val="right"/>
              <w:rPr>
                <w:rFonts w:eastAsia="Times New Roman"/>
                <w:sz w:val="20"/>
                <w:szCs w:val="20"/>
              </w:rPr>
            </w:pPr>
            <w:r>
              <w:rPr>
                <w:rFonts w:eastAsia="Times New Roman"/>
                <w:sz w:val="20"/>
                <w:szCs w:val="20"/>
              </w:rPr>
              <w:t>$10</w:t>
            </w:r>
          </w:p>
        </w:tc>
        <w:tc>
          <w:tcPr>
            <w:tcW w:w="0" w:type="auto"/>
            <w:shd w:val="clear" w:color="auto" w:fill="CCEEFF"/>
            <w:vAlign w:val="bottom"/>
            <w:hideMark/>
          </w:tcPr>
          <w:p w14:paraId="1E220BD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B2D37E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0C6A25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F4E9C07" w14:textId="77777777" w:rsidR="00000000" w:rsidRDefault="002F725F">
            <w:pPr>
              <w:jc w:val="right"/>
              <w:rPr>
                <w:rFonts w:eastAsia="Times New Roman"/>
                <w:sz w:val="20"/>
                <w:szCs w:val="20"/>
              </w:rPr>
            </w:pPr>
            <w:r>
              <w:rPr>
                <w:rFonts w:eastAsia="Times New Roman"/>
                <w:sz w:val="20"/>
                <w:szCs w:val="20"/>
              </w:rPr>
              <w:t>($146</w:t>
            </w:r>
          </w:p>
        </w:tc>
        <w:tc>
          <w:tcPr>
            <w:tcW w:w="0" w:type="auto"/>
            <w:shd w:val="clear" w:color="auto" w:fill="CCEEFF"/>
            <w:vAlign w:val="bottom"/>
            <w:hideMark/>
          </w:tcPr>
          <w:p w14:paraId="15C489C5"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2FE5FA2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4BA446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8DEA033"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CCEEFF"/>
            <w:vAlign w:val="bottom"/>
            <w:hideMark/>
          </w:tcPr>
          <w:p w14:paraId="2FB47F4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A83637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D8CA20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731BF49" w14:textId="77777777" w:rsidR="00000000" w:rsidRDefault="002F725F">
            <w:pPr>
              <w:jc w:val="right"/>
              <w:rPr>
                <w:rFonts w:eastAsia="Times New Roman"/>
                <w:sz w:val="20"/>
                <w:szCs w:val="20"/>
              </w:rPr>
            </w:pPr>
            <w:r>
              <w:rPr>
                <w:rFonts w:eastAsia="Times New Roman"/>
                <w:sz w:val="20"/>
                <w:szCs w:val="20"/>
              </w:rPr>
              <w:t>3.66</w:t>
            </w:r>
          </w:p>
        </w:tc>
        <w:tc>
          <w:tcPr>
            <w:tcW w:w="0" w:type="auto"/>
            <w:shd w:val="clear" w:color="auto" w:fill="CCEEFF"/>
            <w:vAlign w:val="bottom"/>
            <w:hideMark/>
          </w:tcPr>
          <w:p w14:paraId="4A84494E" w14:textId="77777777" w:rsidR="00000000" w:rsidRDefault="002F725F">
            <w:pPr>
              <w:rPr>
                <w:rFonts w:eastAsia="Times New Roman"/>
                <w:sz w:val="20"/>
                <w:szCs w:val="20"/>
              </w:rPr>
            </w:pPr>
            <w:r>
              <w:rPr>
                <w:rFonts w:eastAsia="Times New Roman"/>
                <w:sz w:val="20"/>
                <w:szCs w:val="20"/>
              </w:rPr>
              <w:t>x</w:t>
            </w:r>
          </w:p>
        </w:tc>
        <w:tc>
          <w:tcPr>
            <w:tcW w:w="0" w:type="auto"/>
            <w:shd w:val="clear" w:color="auto" w:fill="CCEEFF"/>
            <w:vAlign w:val="bottom"/>
            <w:hideMark/>
          </w:tcPr>
          <w:p w14:paraId="4FFD23D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D555F5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F36DA08" w14:textId="77777777" w:rsidR="00000000" w:rsidRDefault="002F725F">
            <w:pPr>
              <w:jc w:val="right"/>
              <w:rPr>
                <w:rFonts w:eastAsia="Times New Roman"/>
                <w:sz w:val="20"/>
                <w:szCs w:val="20"/>
              </w:rPr>
            </w:pPr>
            <w:r>
              <w:rPr>
                <w:rFonts w:eastAsia="Times New Roman"/>
                <w:sz w:val="20"/>
                <w:szCs w:val="20"/>
              </w:rPr>
              <w:t>NM </w:t>
            </w:r>
          </w:p>
        </w:tc>
        <w:tc>
          <w:tcPr>
            <w:tcW w:w="0" w:type="auto"/>
            <w:shd w:val="clear" w:color="auto" w:fill="CCEEFF"/>
            <w:vAlign w:val="bottom"/>
            <w:hideMark/>
          </w:tcPr>
          <w:p w14:paraId="46572771" w14:textId="77777777" w:rsidR="00000000" w:rsidRDefault="002F725F">
            <w:pPr>
              <w:rPr>
                <w:rFonts w:eastAsia="Times New Roman"/>
                <w:sz w:val="20"/>
                <w:szCs w:val="20"/>
              </w:rPr>
            </w:pPr>
            <w:r>
              <w:rPr>
                <w:rFonts w:eastAsia="Times New Roman"/>
                <w:sz w:val="20"/>
                <w:szCs w:val="20"/>
              </w:rPr>
              <w:t> </w:t>
            </w:r>
          </w:p>
        </w:tc>
      </w:tr>
      <w:tr w:rsidR="002F725F" w14:paraId="2EB55E7C" w14:textId="77777777">
        <w:trPr>
          <w:divId w:val="415980837"/>
        </w:trPr>
        <w:tc>
          <w:tcPr>
            <w:tcW w:w="0" w:type="auto"/>
            <w:shd w:val="clear" w:color="auto" w:fill="FFFFFF"/>
            <w:hideMark/>
          </w:tcPr>
          <w:p w14:paraId="0D9E2FD9" w14:textId="77777777" w:rsidR="00000000" w:rsidRDefault="002F725F">
            <w:pPr>
              <w:rPr>
                <w:rFonts w:eastAsia="Times New Roman"/>
                <w:sz w:val="20"/>
                <w:szCs w:val="20"/>
              </w:rPr>
            </w:pPr>
            <w:r>
              <w:rPr>
                <w:rFonts w:eastAsia="Times New Roman"/>
                <w:sz w:val="20"/>
                <w:szCs w:val="20"/>
              </w:rPr>
              <w:t>12/20/2021</w:t>
            </w:r>
          </w:p>
        </w:tc>
        <w:tc>
          <w:tcPr>
            <w:tcW w:w="0" w:type="auto"/>
            <w:shd w:val="clear" w:color="auto" w:fill="FFFFFF"/>
            <w:vAlign w:val="bottom"/>
            <w:hideMark/>
          </w:tcPr>
          <w:p w14:paraId="089E3E4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39C7BDE0" w14:textId="77777777" w:rsidR="00000000" w:rsidRDefault="002F725F">
            <w:pPr>
              <w:rPr>
                <w:rFonts w:eastAsia="Times New Roman"/>
                <w:sz w:val="20"/>
                <w:szCs w:val="20"/>
              </w:rPr>
            </w:pPr>
            <w:r>
              <w:rPr>
                <w:rFonts w:eastAsia="Times New Roman"/>
                <w:sz w:val="20"/>
                <w:szCs w:val="20"/>
              </w:rPr>
              <w:t>sanofi-aventis Pakistan Limited (nka:Hoechst Pakistan Limited)</w:t>
            </w:r>
          </w:p>
        </w:tc>
        <w:tc>
          <w:tcPr>
            <w:tcW w:w="0" w:type="auto"/>
            <w:shd w:val="clear" w:color="auto" w:fill="FFFFFF"/>
            <w:vAlign w:val="bottom"/>
            <w:hideMark/>
          </w:tcPr>
          <w:p w14:paraId="3ECC07E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458E8DD" w14:textId="77777777" w:rsidR="00000000" w:rsidRDefault="002F725F">
            <w:pPr>
              <w:rPr>
                <w:rFonts w:eastAsia="Times New Roman"/>
                <w:sz w:val="20"/>
                <w:szCs w:val="20"/>
              </w:rPr>
            </w:pPr>
            <w:r>
              <w:rPr>
                <w:rFonts w:eastAsia="Times New Roman"/>
                <w:sz w:val="20"/>
                <w:szCs w:val="20"/>
              </w:rPr>
              <w:t>Packages Limited; Ali Gohar &amp; Co. (Pvt) Ltd; IGI Investments (Private) Limited</w:t>
            </w:r>
          </w:p>
        </w:tc>
        <w:tc>
          <w:tcPr>
            <w:tcW w:w="0" w:type="auto"/>
            <w:shd w:val="clear" w:color="auto" w:fill="FFFFFF"/>
            <w:vAlign w:val="bottom"/>
            <w:hideMark/>
          </w:tcPr>
          <w:p w14:paraId="51EA30F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066376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C68F817" w14:textId="77777777" w:rsidR="00000000" w:rsidRDefault="002F725F">
            <w:pPr>
              <w:jc w:val="right"/>
              <w:rPr>
                <w:rFonts w:eastAsia="Times New Roman"/>
                <w:sz w:val="20"/>
                <w:szCs w:val="20"/>
              </w:rPr>
            </w:pPr>
            <w:r>
              <w:rPr>
                <w:rFonts w:eastAsia="Times New Roman"/>
                <w:sz w:val="20"/>
                <w:szCs w:val="20"/>
              </w:rPr>
              <w:t>$43</w:t>
            </w:r>
          </w:p>
        </w:tc>
        <w:tc>
          <w:tcPr>
            <w:tcW w:w="0" w:type="auto"/>
            <w:shd w:val="clear" w:color="auto" w:fill="FFFFFF"/>
            <w:vAlign w:val="bottom"/>
            <w:hideMark/>
          </w:tcPr>
          <w:p w14:paraId="3202334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975984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F60078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20DAC2C" w14:textId="77777777" w:rsidR="00000000" w:rsidRDefault="002F725F">
            <w:pPr>
              <w:jc w:val="right"/>
              <w:rPr>
                <w:rFonts w:eastAsia="Times New Roman"/>
                <w:sz w:val="20"/>
                <w:szCs w:val="20"/>
              </w:rPr>
            </w:pPr>
            <w:r>
              <w:rPr>
                <w:rFonts w:eastAsia="Times New Roman"/>
                <w:sz w:val="20"/>
                <w:szCs w:val="20"/>
              </w:rPr>
              <w:t>$79</w:t>
            </w:r>
          </w:p>
        </w:tc>
        <w:tc>
          <w:tcPr>
            <w:tcW w:w="0" w:type="auto"/>
            <w:shd w:val="clear" w:color="auto" w:fill="FFFFFF"/>
            <w:vAlign w:val="bottom"/>
            <w:hideMark/>
          </w:tcPr>
          <w:p w14:paraId="5192DD9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A4AC56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1834C4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511BCB8" w14:textId="77777777" w:rsidR="00000000" w:rsidRDefault="002F725F">
            <w:pPr>
              <w:jc w:val="right"/>
              <w:rPr>
                <w:rFonts w:eastAsia="Times New Roman"/>
                <w:sz w:val="20"/>
                <w:szCs w:val="20"/>
              </w:rPr>
            </w:pPr>
            <w:r>
              <w:rPr>
                <w:rFonts w:eastAsia="Times New Roman"/>
                <w:sz w:val="20"/>
                <w:szCs w:val="20"/>
              </w:rPr>
              <w:t>$10</w:t>
            </w:r>
          </w:p>
        </w:tc>
        <w:tc>
          <w:tcPr>
            <w:tcW w:w="0" w:type="auto"/>
            <w:shd w:val="clear" w:color="auto" w:fill="FFFFFF"/>
            <w:vAlign w:val="bottom"/>
            <w:hideMark/>
          </w:tcPr>
          <w:p w14:paraId="2481CDF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2C73E8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0B63A3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9E4889A" w14:textId="77777777" w:rsidR="00000000" w:rsidRDefault="002F725F">
            <w:pPr>
              <w:jc w:val="right"/>
              <w:rPr>
                <w:rFonts w:eastAsia="Times New Roman"/>
                <w:sz w:val="20"/>
                <w:szCs w:val="20"/>
              </w:rPr>
            </w:pPr>
            <w:r>
              <w:rPr>
                <w:rFonts w:eastAsia="Times New Roman"/>
                <w:sz w:val="20"/>
                <w:szCs w:val="20"/>
              </w:rPr>
              <w:t>12.3</w:t>
            </w:r>
          </w:p>
        </w:tc>
        <w:tc>
          <w:tcPr>
            <w:tcW w:w="0" w:type="auto"/>
            <w:shd w:val="clear" w:color="auto" w:fill="FFFFFF"/>
            <w:vAlign w:val="bottom"/>
            <w:hideMark/>
          </w:tcPr>
          <w:p w14:paraId="4F596B5D"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3478AC8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47F4D1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2BC94CF" w14:textId="77777777" w:rsidR="00000000" w:rsidRDefault="002F725F">
            <w:pPr>
              <w:jc w:val="right"/>
              <w:rPr>
                <w:rFonts w:eastAsia="Times New Roman"/>
                <w:sz w:val="20"/>
                <w:szCs w:val="20"/>
              </w:rPr>
            </w:pPr>
            <w:r>
              <w:rPr>
                <w:rFonts w:eastAsia="Times New Roman"/>
                <w:sz w:val="20"/>
                <w:szCs w:val="20"/>
              </w:rPr>
              <w:t>0.55</w:t>
            </w:r>
          </w:p>
        </w:tc>
        <w:tc>
          <w:tcPr>
            <w:tcW w:w="0" w:type="auto"/>
            <w:shd w:val="clear" w:color="auto" w:fill="FFFFFF"/>
            <w:vAlign w:val="bottom"/>
            <w:hideMark/>
          </w:tcPr>
          <w:p w14:paraId="47A5D145" w14:textId="77777777" w:rsidR="00000000" w:rsidRDefault="002F725F">
            <w:pPr>
              <w:rPr>
                <w:rFonts w:eastAsia="Times New Roman"/>
                <w:sz w:val="20"/>
                <w:szCs w:val="20"/>
              </w:rPr>
            </w:pPr>
            <w:r>
              <w:rPr>
                <w:rFonts w:eastAsia="Times New Roman"/>
                <w:sz w:val="20"/>
                <w:szCs w:val="20"/>
              </w:rPr>
              <w:t>x</w:t>
            </w:r>
          </w:p>
        </w:tc>
        <w:tc>
          <w:tcPr>
            <w:tcW w:w="0" w:type="auto"/>
            <w:shd w:val="clear" w:color="auto" w:fill="FFFFFF"/>
            <w:vAlign w:val="bottom"/>
            <w:hideMark/>
          </w:tcPr>
          <w:p w14:paraId="3F5A188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E6B284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FF487E6" w14:textId="77777777" w:rsidR="00000000" w:rsidRDefault="002F725F">
            <w:pPr>
              <w:jc w:val="right"/>
              <w:rPr>
                <w:rFonts w:eastAsia="Times New Roman"/>
                <w:sz w:val="20"/>
                <w:szCs w:val="20"/>
              </w:rPr>
            </w:pPr>
            <w:r>
              <w:rPr>
                <w:rFonts w:eastAsia="Times New Roman"/>
                <w:sz w:val="20"/>
                <w:szCs w:val="20"/>
              </w:rPr>
              <w:t>4.5x</w:t>
            </w:r>
          </w:p>
        </w:tc>
        <w:tc>
          <w:tcPr>
            <w:tcW w:w="0" w:type="auto"/>
            <w:shd w:val="clear" w:color="auto" w:fill="FFFFFF"/>
            <w:vAlign w:val="bottom"/>
            <w:hideMark/>
          </w:tcPr>
          <w:p w14:paraId="130E829C" w14:textId="77777777" w:rsidR="00000000" w:rsidRDefault="002F725F">
            <w:pPr>
              <w:rPr>
                <w:rFonts w:eastAsia="Times New Roman"/>
                <w:sz w:val="20"/>
                <w:szCs w:val="20"/>
              </w:rPr>
            </w:pPr>
            <w:r>
              <w:rPr>
                <w:rFonts w:eastAsia="Times New Roman"/>
                <w:sz w:val="20"/>
                <w:szCs w:val="20"/>
              </w:rPr>
              <w:t> </w:t>
            </w:r>
          </w:p>
        </w:tc>
      </w:tr>
      <w:tr w:rsidR="002F725F" w14:paraId="2DDD521E" w14:textId="77777777">
        <w:trPr>
          <w:divId w:val="415980837"/>
        </w:trPr>
        <w:tc>
          <w:tcPr>
            <w:tcW w:w="0" w:type="auto"/>
            <w:shd w:val="clear" w:color="auto" w:fill="CCEEFF"/>
            <w:hideMark/>
          </w:tcPr>
          <w:p w14:paraId="7EF67D48" w14:textId="77777777" w:rsidR="00000000" w:rsidRDefault="002F725F">
            <w:pPr>
              <w:rPr>
                <w:rFonts w:eastAsia="Times New Roman"/>
                <w:sz w:val="20"/>
                <w:szCs w:val="20"/>
              </w:rPr>
            </w:pPr>
            <w:r>
              <w:rPr>
                <w:rFonts w:eastAsia="Times New Roman"/>
                <w:sz w:val="20"/>
                <w:szCs w:val="20"/>
              </w:rPr>
              <w:t>1/21/2021</w:t>
            </w:r>
          </w:p>
        </w:tc>
        <w:tc>
          <w:tcPr>
            <w:tcW w:w="0" w:type="auto"/>
            <w:shd w:val="clear" w:color="auto" w:fill="CCEEFF"/>
            <w:vAlign w:val="bottom"/>
            <w:hideMark/>
          </w:tcPr>
          <w:p w14:paraId="513122E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6513BE9E" w14:textId="77777777" w:rsidR="00000000" w:rsidRDefault="002F725F">
            <w:pPr>
              <w:rPr>
                <w:rFonts w:eastAsia="Times New Roman"/>
                <w:sz w:val="20"/>
                <w:szCs w:val="20"/>
              </w:rPr>
            </w:pPr>
            <w:r>
              <w:rPr>
                <w:rFonts w:eastAsia="Times New Roman"/>
                <w:sz w:val="20"/>
                <w:szCs w:val="20"/>
              </w:rPr>
              <w:t>Sanofi Bangladesh Limited (nka:Synovia Pharmaceuticals PLC.)</w:t>
            </w:r>
          </w:p>
        </w:tc>
        <w:tc>
          <w:tcPr>
            <w:tcW w:w="0" w:type="auto"/>
            <w:shd w:val="clear" w:color="auto" w:fill="CCEEFF"/>
            <w:vAlign w:val="bottom"/>
            <w:hideMark/>
          </w:tcPr>
          <w:p w14:paraId="4184AC0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9C899AF" w14:textId="77777777" w:rsidR="00000000" w:rsidRDefault="002F725F">
            <w:pPr>
              <w:rPr>
                <w:rFonts w:eastAsia="Times New Roman"/>
                <w:sz w:val="20"/>
                <w:szCs w:val="20"/>
              </w:rPr>
            </w:pPr>
            <w:r>
              <w:rPr>
                <w:rFonts w:eastAsia="Times New Roman"/>
                <w:sz w:val="20"/>
                <w:szCs w:val="20"/>
              </w:rPr>
              <w:t>Beximco Pharmaceuticals Limited</w:t>
            </w:r>
          </w:p>
        </w:tc>
        <w:tc>
          <w:tcPr>
            <w:tcW w:w="0" w:type="auto"/>
            <w:shd w:val="clear" w:color="auto" w:fill="CCEEFF"/>
            <w:vAlign w:val="bottom"/>
            <w:hideMark/>
          </w:tcPr>
          <w:p w14:paraId="3FBC7BD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CE7692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4B8ED29" w14:textId="77777777" w:rsidR="00000000" w:rsidRDefault="002F725F">
            <w:pPr>
              <w:jc w:val="right"/>
              <w:rPr>
                <w:rFonts w:eastAsia="Times New Roman"/>
                <w:sz w:val="20"/>
                <w:szCs w:val="20"/>
              </w:rPr>
            </w:pPr>
            <w:r>
              <w:rPr>
                <w:rFonts w:eastAsia="Times New Roman"/>
                <w:sz w:val="20"/>
                <w:szCs w:val="20"/>
              </w:rPr>
              <w:t>$101</w:t>
            </w:r>
          </w:p>
        </w:tc>
        <w:tc>
          <w:tcPr>
            <w:tcW w:w="0" w:type="auto"/>
            <w:shd w:val="clear" w:color="auto" w:fill="CCEEFF"/>
            <w:vAlign w:val="bottom"/>
            <w:hideMark/>
          </w:tcPr>
          <w:p w14:paraId="156EED0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B87E2A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71035C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3ECFEB3" w14:textId="77777777" w:rsidR="00000000" w:rsidRDefault="002F725F">
            <w:pPr>
              <w:jc w:val="right"/>
              <w:rPr>
                <w:rFonts w:eastAsia="Times New Roman"/>
                <w:sz w:val="20"/>
                <w:szCs w:val="20"/>
              </w:rPr>
            </w:pPr>
            <w:r>
              <w:rPr>
                <w:rFonts w:eastAsia="Times New Roman"/>
                <w:sz w:val="20"/>
                <w:szCs w:val="20"/>
              </w:rPr>
              <w:t>$35</w:t>
            </w:r>
          </w:p>
        </w:tc>
        <w:tc>
          <w:tcPr>
            <w:tcW w:w="0" w:type="auto"/>
            <w:shd w:val="clear" w:color="auto" w:fill="CCEEFF"/>
            <w:vAlign w:val="bottom"/>
            <w:hideMark/>
          </w:tcPr>
          <w:p w14:paraId="05F3CAD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4BA056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F6D419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D791DBC"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6A7688C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069AE6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1539DA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FD3BE0D"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492EBCE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111F55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8FEA58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C214DD0" w14:textId="77777777" w:rsidR="00000000" w:rsidRDefault="002F725F">
            <w:pPr>
              <w:jc w:val="right"/>
              <w:rPr>
                <w:rFonts w:eastAsia="Times New Roman"/>
                <w:sz w:val="20"/>
                <w:szCs w:val="20"/>
              </w:rPr>
            </w:pPr>
            <w:r>
              <w:rPr>
                <w:rFonts w:eastAsia="Times New Roman"/>
                <w:sz w:val="20"/>
                <w:szCs w:val="20"/>
              </w:rPr>
              <w:t>2.84</w:t>
            </w:r>
          </w:p>
        </w:tc>
        <w:tc>
          <w:tcPr>
            <w:tcW w:w="0" w:type="auto"/>
            <w:shd w:val="clear" w:color="auto" w:fill="CCEEFF"/>
            <w:vAlign w:val="bottom"/>
            <w:hideMark/>
          </w:tcPr>
          <w:p w14:paraId="54B3049F" w14:textId="77777777" w:rsidR="00000000" w:rsidRDefault="002F725F">
            <w:pPr>
              <w:rPr>
                <w:rFonts w:eastAsia="Times New Roman"/>
                <w:sz w:val="20"/>
                <w:szCs w:val="20"/>
              </w:rPr>
            </w:pPr>
            <w:r>
              <w:rPr>
                <w:rFonts w:eastAsia="Times New Roman"/>
                <w:sz w:val="20"/>
                <w:szCs w:val="20"/>
              </w:rPr>
              <w:t>x</w:t>
            </w:r>
          </w:p>
        </w:tc>
        <w:tc>
          <w:tcPr>
            <w:tcW w:w="0" w:type="auto"/>
            <w:shd w:val="clear" w:color="auto" w:fill="CCEEFF"/>
            <w:vAlign w:val="bottom"/>
            <w:hideMark/>
          </w:tcPr>
          <w:p w14:paraId="72C51C8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EE36B6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59C805F" w14:textId="77777777" w:rsidR="00000000" w:rsidRDefault="002F725F">
            <w:pPr>
              <w:jc w:val="right"/>
              <w:rPr>
                <w:rFonts w:eastAsia="Times New Roman"/>
                <w:sz w:val="20"/>
                <w:szCs w:val="20"/>
              </w:rPr>
            </w:pPr>
            <w:r>
              <w:rPr>
                <w:rFonts w:eastAsia="Times New Roman"/>
                <w:sz w:val="20"/>
                <w:szCs w:val="20"/>
              </w:rPr>
              <w:t>NA </w:t>
            </w:r>
          </w:p>
        </w:tc>
        <w:tc>
          <w:tcPr>
            <w:tcW w:w="0" w:type="auto"/>
            <w:shd w:val="clear" w:color="auto" w:fill="CCEEFF"/>
            <w:vAlign w:val="bottom"/>
            <w:hideMark/>
          </w:tcPr>
          <w:p w14:paraId="1FF5A590" w14:textId="77777777" w:rsidR="00000000" w:rsidRDefault="002F725F">
            <w:pPr>
              <w:rPr>
                <w:rFonts w:eastAsia="Times New Roman"/>
                <w:sz w:val="20"/>
                <w:szCs w:val="20"/>
              </w:rPr>
            </w:pPr>
            <w:r>
              <w:rPr>
                <w:rFonts w:eastAsia="Times New Roman"/>
                <w:sz w:val="20"/>
                <w:szCs w:val="20"/>
              </w:rPr>
              <w:t> </w:t>
            </w:r>
          </w:p>
        </w:tc>
      </w:tr>
      <w:tr w:rsidR="002F725F" w14:paraId="5EF38BE7" w14:textId="77777777">
        <w:trPr>
          <w:divId w:val="415980837"/>
        </w:trPr>
        <w:tc>
          <w:tcPr>
            <w:tcW w:w="0" w:type="auto"/>
            <w:shd w:val="clear" w:color="auto" w:fill="FFFFFF"/>
            <w:hideMark/>
          </w:tcPr>
          <w:p w14:paraId="1EA40358" w14:textId="77777777" w:rsidR="00000000" w:rsidRDefault="002F725F">
            <w:pPr>
              <w:rPr>
                <w:rFonts w:eastAsia="Times New Roman"/>
                <w:b/>
                <w:bCs/>
                <w:sz w:val="20"/>
                <w:szCs w:val="20"/>
              </w:rPr>
            </w:pPr>
            <w:r>
              <w:rPr>
                <w:rFonts w:eastAsia="Times New Roman"/>
                <w:b/>
                <w:bCs/>
                <w:sz w:val="20"/>
                <w:szCs w:val="20"/>
              </w:rPr>
              <w:t>Mean</w:t>
            </w:r>
          </w:p>
        </w:tc>
        <w:tc>
          <w:tcPr>
            <w:tcW w:w="0" w:type="auto"/>
            <w:shd w:val="clear" w:color="auto" w:fill="FFFFFF"/>
            <w:vAlign w:val="bottom"/>
            <w:hideMark/>
          </w:tcPr>
          <w:p w14:paraId="1521148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311D0C1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2654C5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32E366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EE9682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B4E7BF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CF7532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473CF7F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902D7C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D1C43C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06137BB"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3CA3E63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6C47BD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ACEC99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A1920A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51060B9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FF896A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EB8278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9D091E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0179FF1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03B193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642943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33BF8DD" w14:textId="77777777" w:rsidR="00000000" w:rsidRDefault="002F725F">
            <w:pPr>
              <w:jc w:val="right"/>
              <w:rPr>
                <w:rFonts w:eastAsia="Times New Roman"/>
                <w:sz w:val="20"/>
                <w:szCs w:val="20"/>
              </w:rPr>
            </w:pPr>
            <w:r>
              <w:rPr>
                <w:rFonts w:eastAsia="Times New Roman"/>
                <w:sz w:val="20"/>
                <w:szCs w:val="20"/>
              </w:rPr>
              <w:t>2.04</w:t>
            </w:r>
          </w:p>
        </w:tc>
        <w:tc>
          <w:tcPr>
            <w:tcW w:w="0" w:type="auto"/>
            <w:shd w:val="clear" w:color="auto" w:fill="FFFFFF"/>
            <w:vAlign w:val="bottom"/>
            <w:hideMark/>
          </w:tcPr>
          <w:p w14:paraId="1EC700B1" w14:textId="77777777" w:rsidR="00000000" w:rsidRDefault="002F725F">
            <w:pPr>
              <w:rPr>
                <w:rFonts w:eastAsia="Times New Roman"/>
                <w:sz w:val="20"/>
                <w:szCs w:val="20"/>
              </w:rPr>
            </w:pPr>
            <w:r>
              <w:rPr>
                <w:rFonts w:eastAsia="Times New Roman"/>
                <w:sz w:val="20"/>
                <w:szCs w:val="20"/>
              </w:rPr>
              <w:t>x</w:t>
            </w:r>
          </w:p>
        </w:tc>
        <w:tc>
          <w:tcPr>
            <w:tcW w:w="0" w:type="auto"/>
            <w:shd w:val="clear" w:color="auto" w:fill="FFFFFF"/>
            <w:vAlign w:val="bottom"/>
            <w:hideMark/>
          </w:tcPr>
          <w:p w14:paraId="537247F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23EA08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7A10275" w14:textId="77777777" w:rsidR="00000000" w:rsidRDefault="002F725F">
            <w:pPr>
              <w:jc w:val="right"/>
              <w:rPr>
                <w:rFonts w:eastAsia="Times New Roman"/>
                <w:sz w:val="20"/>
                <w:szCs w:val="20"/>
              </w:rPr>
            </w:pPr>
            <w:r>
              <w:rPr>
                <w:rFonts w:eastAsia="Times New Roman"/>
                <w:sz w:val="20"/>
                <w:szCs w:val="20"/>
              </w:rPr>
              <w:t>5.0x</w:t>
            </w:r>
          </w:p>
        </w:tc>
        <w:tc>
          <w:tcPr>
            <w:tcW w:w="0" w:type="auto"/>
            <w:shd w:val="clear" w:color="auto" w:fill="FFFFFF"/>
            <w:vAlign w:val="bottom"/>
            <w:hideMark/>
          </w:tcPr>
          <w:p w14:paraId="16E80AD0" w14:textId="77777777" w:rsidR="00000000" w:rsidRDefault="002F725F">
            <w:pPr>
              <w:rPr>
                <w:rFonts w:eastAsia="Times New Roman"/>
                <w:sz w:val="20"/>
                <w:szCs w:val="20"/>
              </w:rPr>
            </w:pPr>
            <w:r>
              <w:rPr>
                <w:rFonts w:eastAsia="Times New Roman"/>
                <w:sz w:val="20"/>
                <w:szCs w:val="20"/>
              </w:rPr>
              <w:t> </w:t>
            </w:r>
          </w:p>
        </w:tc>
      </w:tr>
      <w:tr w:rsidR="002F725F" w14:paraId="16FDED33" w14:textId="77777777">
        <w:trPr>
          <w:divId w:val="415980837"/>
        </w:trPr>
        <w:tc>
          <w:tcPr>
            <w:tcW w:w="0" w:type="auto"/>
            <w:shd w:val="clear" w:color="auto" w:fill="CCEEFF"/>
            <w:tcMar>
              <w:top w:w="0" w:type="dxa"/>
              <w:left w:w="0" w:type="dxa"/>
              <w:bottom w:w="30" w:type="dxa"/>
              <w:right w:w="0" w:type="dxa"/>
            </w:tcMar>
            <w:hideMark/>
          </w:tcPr>
          <w:p w14:paraId="404AFB8D" w14:textId="77777777" w:rsidR="00000000" w:rsidRDefault="002F725F">
            <w:pPr>
              <w:rPr>
                <w:rFonts w:eastAsia="Times New Roman"/>
                <w:sz w:val="20"/>
                <w:szCs w:val="20"/>
              </w:rPr>
            </w:pPr>
            <w:r>
              <w:rPr>
                <w:rFonts w:eastAsia="Times New Roman"/>
                <w:b/>
                <w:bCs/>
                <w:sz w:val="20"/>
                <w:szCs w:val="20"/>
              </w:rPr>
              <w:t>Median</w:t>
            </w:r>
          </w:p>
        </w:tc>
        <w:tc>
          <w:tcPr>
            <w:tcW w:w="0" w:type="auto"/>
            <w:shd w:val="clear" w:color="auto" w:fill="CCEEFF"/>
            <w:tcMar>
              <w:top w:w="0" w:type="dxa"/>
              <w:left w:w="0" w:type="dxa"/>
              <w:bottom w:w="30" w:type="dxa"/>
              <w:right w:w="0" w:type="dxa"/>
            </w:tcMar>
            <w:vAlign w:val="bottom"/>
            <w:hideMark/>
          </w:tcPr>
          <w:p w14:paraId="17A139E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hideMark/>
          </w:tcPr>
          <w:p w14:paraId="1F35FE3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7565AA5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5845A8B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036598B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6B9FAAF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676DEE49"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7F5B67C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70A8D71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184F939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3FDE282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48B641C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1305FCD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67C232A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201EFDE0"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5FFE4AD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398A43D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085892B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4901AF54"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60B0077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5C1BA49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2B871E5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79A29F87" w14:textId="77777777" w:rsidR="00000000" w:rsidRDefault="002F725F">
            <w:pPr>
              <w:jc w:val="right"/>
              <w:rPr>
                <w:rFonts w:eastAsia="Times New Roman"/>
                <w:sz w:val="20"/>
                <w:szCs w:val="20"/>
              </w:rPr>
            </w:pPr>
            <w:r>
              <w:rPr>
                <w:rFonts w:eastAsia="Times New Roman"/>
                <w:sz w:val="20"/>
                <w:szCs w:val="20"/>
              </w:rPr>
              <w:t>2.28</w:t>
            </w:r>
          </w:p>
        </w:tc>
        <w:tc>
          <w:tcPr>
            <w:tcW w:w="0" w:type="auto"/>
            <w:shd w:val="clear" w:color="auto" w:fill="CCEEFF"/>
            <w:tcMar>
              <w:top w:w="0" w:type="dxa"/>
              <w:left w:w="0" w:type="dxa"/>
              <w:bottom w:w="30" w:type="dxa"/>
              <w:right w:w="0" w:type="dxa"/>
            </w:tcMar>
            <w:vAlign w:val="bottom"/>
            <w:hideMark/>
          </w:tcPr>
          <w:p w14:paraId="6ECEEE48" w14:textId="77777777" w:rsidR="00000000" w:rsidRDefault="002F725F">
            <w:pPr>
              <w:rPr>
                <w:rFonts w:eastAsia="Times New Roman"/>
                <w:sz w:val="20"/>
                <w:szCs w:val="20"/>
              </w:rPr>
            </w:pPr>
            <w:r>
              <w:rPr>
                <w:rFonts w:eastAsia="Times New Roman"/>
                <w:sz w:val="20"/>
                <w:szCs w:val="20"/>
              </w:rPr>
              <w:t>x</w:t>
            </w:r>
          </w:p>
        </w:tc>
        <w:tc>
          <w:tcPr>
            <w:tcW w:w="0" w:type="auto"/>
            <w:shd w:val="clear" w:color="auto" w:fill="CCEEFF"/>
            <w:tcMar>
              <w:top w:w="0" w:type="dxa"/>
              <w:left w:w="0" w:type="dxa"/>
              <w:bottom w:w="30" w:type="dxa"/>
              <w:right w:w="0" w:type="dxa"/>
            </w:tcMar>
            <w:vAlign w:val="bottom"/>
            <w:hideMark/>
          </w:tcPr>
          <w:p w14:paraId="1398444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537F547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56D7634B" w14:textId="77777777" w:rsidR="00000000" w:rsidRDefault="002F725F">
            <w:pPr>
              <w:jc w:val="right"/>
              <w:rPr>
                <w:rFonts w:eastAsia="Times New Roman"/>
                <w:sz w:val="20"/>
                <w:szCs w:val="20"/>
              </w:rPr>
            </w:pPr>
            <w:r>
              <w:rPr>
                <w:rFonts w:eastAsia="Times New Roman"/>
                <w:sz w:val="20"/>
                <w:szCs w:val="20"/>
              </w:rPr>
              <w:t>4.5x</w:t>
            </w:r>
          </w:p>
        </w:tc>
        <w:tc>
          <w:tcPr>
            <w:tcW w:w="0" w:type="auto"/>
            <w:shd w:val="clear" w:color="auto" w:fill="CCEEFF"/>
            <w:tcMar>
              <w:top w:w="0" w:type="dxa"/>
              <w:left w:w="0" w:type="dxa"/>
              <w:bottom w:w="30" w:type="dxa"/>
              <w:right w:w="0" w:type="dxa"/>
            </w:tcMar>
            <w:vAlign w:val="bottom"/>
            <w:hideMark/>
          </w:tcPr>
          <w:p w14:paraId="200911D5" w14:textId="77777777" w:rsidR="00000000" w:rsidRDefault="002F725F">
            <w:pPr>
              <w:rPr>
                <w:rFonts w:eastAsia="Times New Roman"/>
                <w:sz w:val="20"/>
                <w:szCs w:val="20"/>
              </w:rPr>
            </w:pPr>
            <w:r>
              <w:rPr>
                <w:rFonts w:eastAsia="Times New Roman"/>
                <w:sz w:val="20"/>
                <w:szCs w:val="20"/>
              </w:rPr>
              <w:t> </w:t>
            </w:r>
          </w:p>
        </w:tc>
      </w:tr>
    </w:tbl>
    <w:p w14:paraId="268188AF" w14:textId="77777777" w:rsidR="00000000" w:rsidRDefault="002F725F">
      <w:pPr>
        <w:pStyle w:val="NormalWeb"/>
        <w:shd w:val="clear" w:color="auto" w:fill="FFFFFF"/>
        <w:spacing w:before="0" w:beforeAutospacing="0" w:after="0" w:afterAutospacing="0"/>
        <w:divId w:val="415980837"/>
        <w:rPr>
          <w:sz w:val="20"/>
          <w:szCs w:val="20"/>
        </w:rPr>
      </w:pPr>
      <w:r>
        <w:rPr>
          <w:sz w:val="20"/>
          <w:szCs w:val="20"/>
        </w:rPr>
        <w:t> </w:t>
      </w:r>
    </w:p>
    <w:p w14:paraId="52655C2B" w14:textId="77777777" w:rsidR="00000000" w:rsidRDefault="002F725F">
      <w:pPr>
        <w:divId w:val="1185555673"/>
        <w:rPr>
          <w:rFonts w:eastAsia="Times New Roman"/>
          <w:sz w:val="2"/>
          <w:szCs w:val="2"/>
        </w:rPr>
      </w:pPr>
      <w:r>
        <w:rPr>
          <w:rFonts w:eastAsia="Times New Roman"/>
          <w:sz w:val="2"/>
          <w:szCs w:val="2"/>
        </w:rPr>
        <w:t> </w:t>
      </w:r>
    </w:p>
    <w:p w14:paraId="158DB91D" w14:textId="77777777" w:rsidR="00000000" w:rsidRDefault="002F725F">
      <w:pPr>
        <w:pStyle w:val="NormalWeb"/>
        <w:shd w:val="clear" w:color="auto" w:fill="FFFFFF"/>
        <w:spacing w:before="0" w:beforeAutospacing="0" w:after="0" w:afterAutospacing="0"/>
        <w:divId w:val="415980837"/>
        <w:rPr>
          <w:sz w:val="20"/>
          <w:szCs w:val="20"/>
        </w:rPr>
      </w:pPr>
      <w:r>
        <w:rPr>
          <w:sz w:val="20"/>
          <w:szCs w:val="20"/>
        </w:rPr>
        <w:t>Notes:</w:t>
      </w:r>
    </w:p>
    <w:p w14:paraId="790338B1" w14:textId="77777777" w:rsidR="00000000" w:rsidRDefault="002F725F">
      <w:pPr>
        <w:pStyle w:val="NormalWeb"/>
        <w:shd w:val="clear" w:color="auto" w:fill="FFFFFF"/>
        <w:spacing w:before="0" w:beforeAutospacing="0" w:after="0" w:afterAutospacing="0"/>
        <w:divId w:val="415980837"/>
        <w:rPr>
          <w:sz w:val="20"/>
          <w:szCs w:val="20"/>
        </w:rPr>
      </w:pPr>
      <w:r>
        <w:rPr>
          <w:sz w:val="20"/>
          <w:szCs w:val="20"/>
        </w:rPr>
        <w:t> </w:t>
      </w:r>
    </w:p>
    <w:p w14:paraId="0BA2D01F" w14:textId="77777777" w:rsidR="00000000" w:rsidRDefault="002F725F">
      <w:pPr>
        <w:pStyle w:val="NormalWeb"/>
        <w:shd w:val="clear" w:color="auto" w:fill="FFFFFF"/>
        <w:spacing w:before="0" w:beforeAutospacing="0" w:after="0" w:afterAutospacing="0"/>
        <w:divId w:val="415980837"/>
        <w:rPr>
          <w:sz w:val="20"/>
          <w:szCs w:val="20"/>
        </w:rPr>
      </w:pPr>
      <w:r>
        <w:rPr>
          <w:sz w:val="20"/>
          <w:szCs w:val="20"/>
        </w:rPr>
        <w:t>LTM = Latest Twelve Months</w:t>
      </w:r>
    </w:p>
    <w:p w14:paraId="0016E572" w14:textId="77777777" w:rsidR="00000000" w:rsidRDefault="002F725F">
      <w:pPr>
        <w:pStyle w:val="NormalWeb"/>
        <w:shd w:val="clear" w:color="auto" w:fill="FFFFFF"/>
        <w:spacing w:before="0" w:beforeAutospacing="0" w:after="0" w:afterAutospacing="0"/>
        <w:divId w:val="415980837"/>
        <w:rPr>
          <w:sz w:val="20"/>
          <w:szCs w:val="20"/>
        </w:rPr>
      </w:pPr>
      <w:r>
        <w:rPr>
          <w:sz w:val="20"/>
          <w:szCs w:val="20"/>
        </w:rPr>
        <w:t> </w:t>
      </w:r>
    </w:p>
    <w:p w14:paraId="096CF207" w14:textId="77777777" w:rsidR="00000000" w:rsidRDefault="002F725F">
      <w:pPr>
        <w:pStyle w:val="NormalWeb"/>
        <w:spacing w:before="0" w:beforeAutospacing="0" w:after="0" w:afterAutospacing="0"/>
        <w:divId w:val="415980837"/>
        <w:rPr>
          <w:sz w:val="20"/>
          <w:szCs w:val="20"/>
        </w:rPr>
      </w:pPr>
      <w:r>
        <w:rPr>
          <w:sz w:val="20"/>
          <w:szCs w:val="20"/>
        </w:rPr>
        <w:t>Source: Capital IQ, Bloomberg, company filings, press releases</w:t>
      </w:r>
    </w:p>
    <w:p w14:paraId="338D9F15"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B1CB406" w14:textId="77777777" w:rsidR="00000000" w:rsidRDefault="002F725F">
      <w:pPr>
        <w:pStyle w:val="NormalWeb"/>
        <w:spacing w:before="0" w:beforeAutospacing="0" w:after="0" w:afterAutospacing="0"/>
        <w:jc w:val="center"/>
        <w:divId w:val="963971706"/>
        <w:rPr>
          <w:sz w:val="20"/>
          <w:szCs w:val="20"/>
        </w:rPr>
      </w:pPr>
      <w:r>
        <w:rPr>
          <w:sz w:val="20"/>
          <w:szCs w:val="20"/>
        </w:rPr>
        <w:t>4</w:t>
      </w:r>
      <w:r>
        <w:rPr>
          <w:sz w:val="20"/>
          <w:szCs w:val="20"/>
        </w:rPr>
        <w:t>7</w:t>
      </w:r>
    </w:p>
    <w:p w14:paraId="7733382C" w14:textId="77777777" w:rsidR="00000000" w:rsidRDefault="002F725F">
      <w:pPr>
        <w:pStyle w:val="NormalWeb"/>
        <w:spacing w:before="0" w:beforeAutospacing="0" w:after="0" w:afterAutospacing="0"/>
        <w:divId w:val="1803376952"/>
        <w:rPr>
          <w:sz w:val="20"/>
          <w:szCs w:val="20"/>
        </w:rPr>
      </w:pPr>
      <w:r>
        <w:rPr>
          <w:sz w:val="20"/>
          <w:szCs w:val="20"/>
        </w:rPr>
        <w:t> </w:t>
      </w:r>
    </w:p>
    <w:p w14:paraId="02FEE2B4"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074BCA77" w14:textId="77777777" w:rsidR="00000000" w:rsidRDefault="002F725F">
      <w:pPr>
        <w:pStyle w:val="NormalWeb"/>
        <w:spacing w:before="0" w:beforeAutospacing="0" w:after="0" w:afterAutospacing="0"/>
        <w:jc w:val="both"/>
        <w:divId w:val="415980837"/>
        <w:rPr>
          <w:sz w:val="20"/>
          <w:szCs w:val="20"/>
        </w:rPr>
      </w:pPr>
      <w:r>
        <w:rPr>
          <w:b/>
          <w:bCs/>
          <w:i/>
          <w:iCs/>
          <w:sz w:val="20"/>
          <w:szCs w:val="20"/>
        </w:rPr>
        <w:t xml:space="preserve">Summary of Selected Public Companies /M&amp;A </w:t>
      </w:r>
      <w:r>
        <w:rPr>
          <w:b/>
          <w:bCs/>
          <w:i/>
          <w:iCs/>
          <w:sz w:val="20"/>
          <w:szCs w:val="20"/>
        </w:rPr>
        <w:t>Transactions Analyses for the Prior Opinion</w:t>
      </w:r>
    </w:p>
    <w:p w14:paraId="01A2FE1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4FB88E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Duff &amp; Phelps noted that while it reviewed the selected public companies and the selected M&amp;A transactions, it did not select valuation multiples for the Company based on the selected public companies analysis </w:t>
      </w:r>
      <w:r>
        <w:rPr>
          <w:sz w:val="20"/>
          <w:szCs w:val="20"/>
        </w:rPr>
        <w:t>and the selected M&amp;A transactions analysis for the reasons described in the sections entitled “Selected Public Companies Analysis for Prior Opinion” and “Selected M&amp;A Transactions Analysis for Prior Opinion” above, respectively.</w:t>
      </w:r>
    </w:p>
    <w:p w14:paraId="20C0B3FC" w14:textId="77777777" w:rsidR="00000000" w:rsidRDefault="002F725F">
      <w:pPr>
        <w:pStyle w:val="NormalWeb"/>
        <w:spacing w:before="0" w:beforeAutospacing="0" w:after="0" w:afterAutospacing="0"/>
        <w:jc w:val="both"/>
        <w:divId w:val="415980837"/>
        <w:rPr>
          <w:sz w:val="20"/>
          <w:szCs w:val="20"/>
        </w:rPr>
      </w:pPr>
      <w:r>
        <w:rPr>
          <w:b/>
          <w:bCs/>
          <w:i/>
          <w:iCs/>
          <w:sz w:val="20"/>
          <w:szCs w:val="20"/>
        </w:rPr>
        <w:t> </w:t>
      </w:r>
    </w:p>
    <w:p w14:paraId="1BC59853" w14:textId="77777777" w:rsidR="00000000" w:rsidRDefault="002F725F">
      <w:pPr>
        <w:pStyle w:val="NormalWeb"/>
        <w:spacing w:before="0" w:beforeAutospacing="0" w:after="0" w:afterAutospacing="0"/>
        <w:jc w:val="both"/>
        <w:divId w:val="415980837"/>
        <w:rPr>
          <w:sz w:val="20"/>
          <w:szCs w:val="20"/>
        </w:rPr>
      </w:pPr>
      <w:r>
        <w:rPr>
          <w:b/>
          <w:bCs/>
          <w:i/>
          <w:iCs/>
          <w:sz w:val="20"/>
          <w:szCs w:val="20"/>
        </w:rPr>
        <w:t>Summary of Financial Anal</w:t>
      </w:r>
      <w:r>
        <w:rPr>
          <w:b/>
          <w:bCs/>
          <w:i/>
          <w:iCs/>
          <w:sz w:val="20"/>
          <w:szCs w:val="20"/>
        </w:rPr>
        <w:t>ysis for the Prior Opinion</w:t>
      </w:r>
    </w:p>
    <w:p w14:paraId="0671707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8F41D3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range of estimated enterprise values for the Company that Duff &amp; Phelps derived from its discounted cash flow analysis was within a range of RMB401.60 million to RMB510.70 million based on the analyses described above.</w:t>
      </w:r>
    </w:p>
    <w:p w14:paraId="581158E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C8BE61E"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Ba</w:t>
      </w:r>
      <w:r>
        <w:rPr>
          <w:sz w:val="20"/>
          <w:szCs w:val="20"/>
        </w:rPr>
        <w:t>sed on the concluded enterprise value, Duff &amp; Phelps estimated the range of common equity value of the Company to be RMB188.20 million to RMB297.30 million by:</w:t>
      </w:r>
    </w:p>
    <w:p w14:paraId="0E07C4B9"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F7FC89F" w14:textId="77777777">
        <w:trPr>
          <w:divId w:val="415980837"/>
          <w:tblCellSpacing w:w="0" w:type="dxa"/>
        </w:trPr>
        <w:tc>
          <w:tcPr>
            <w:tcW w:w="720" w:type="dxa"/>
            <w:hideMark/>
          </w:tcPr>
          <w:p w14:paraId="5B12AD0B" w14:textId="77777777" w:rsidR="00000000" w:rsidRDefault="002F725F">
            <w:pPr>
              <w:rPr>
                <w:sz w:val="20"/>
                <w:szCs w:val="20"/>
              </w:rPr>
            </w:pPr>
          </w:p>
        </w:tc>
        <w:tc>
          <w:tcPr>
            <w:tcW w:w="360" w:type="dxa"/>
            <w:hideMark/>
          </w:tcPr>
          <w:p w14:paraId="768575E7" w14:textId="77777777" w:rsidR="00000000" w:rsidRDefault="002F725F">
            <w:pPr>
              <w:rPr>
                <w:rFonts w:eastAsia="Times New Roman"/>
                <w:sz w:val="20"/>
                <w:szCs w:val="20"/>
              </w:rPr>
            </w:pPr>
            <w:r>
              <w:rPr>
                <w:rFonts w:eastAsia="Times New Roman"/>
                <w:sz w:val="20"/>
                <w:szCs w:val="20"/>
              </w:rPr>
              <w:t>●</w:t>
            </w:r>
          </w:p>
        </w:tc>
        <w:tc>
          <w:tcPr>
            <w:tcW w:w="0" w:type="auto"/>
            <w:hideMark/>
          </w:tcPr>
          <w:p w14:paraId="7909293C" w14:textId="77777777" w:rsidR="00000000" w:rsidRDefault="002F725F">
            <w:pPr>
              <w:jc w:val="both"/>
              <w:rPr>
                <w:rFonts w:eastAsia="Times New Roman"/>
                <w:sz w:val="20"/>
                <w:szCs w:val="20"/>
              </w:rPr>
            </w:pPr>
            <w:r>
              <w:rPr>
                <w:rFonts w:eastAsia="Times New Roman"/>
                <w:sz w:val="20"/>
                <w:szCs w:val="20"/>
              </w:rPr>
              <w:t>adding cash and cash equivalents of RMB120.13 million;</w:t>
            </w:r>
          </w:p>
        </w:tc>
      </w:tr>
    </w:tbl>
    <w:p w14:paraId="14407646"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8C64495" w14:textId="77777777">
        <w:trPr>
          <w:divId w:val="415980837"/>
          <w:tblCellSpacing w:w="0" w:type="dxa"/>
        </w:trPr>
        <w:tc>
          <w:tcPr>
            <w:tcW w:w="720" w:type="dxa"/>
            <w:hideMark/>
          </w:tcPr>
          <w:p w14:paraId="08060E4F" w14:textId="77777777" w:rsidR="00000000" w:rsidRDefault="002F725F">
            <w:pPr>
              <w:rPr>
                <w:sz w:val="20"/>
                <w:szCs w:val="20"/>
              </w:rPr>
            </w:pPr>
          </w:p>
        </w:tc>
        <w:tc>
          <w:tcPr>
            <w:tcW w:w="360" w:type="dxa"/>
            <w:hideMark/>
          </w:tcPr>
          <w:p w14:paraId="6B5FACFC" w14:textId="77777777" w:rsidR="00000000" w:rsidRDefault="002F725F">
            <w:pPr>
              <w:rPr>
                <w:rFonts w:eastAsia="Times New Roman"/>
                <w:sz w:val="20"/>
                <w:szCs w:val="20"/>
              </w:rPr>
            </w:pPr>
            <w:r>
              <w:rPr>
                <w:rFonts w:eastAsia="Times New Roman"/>
                <w:sz w:val="20"/>
                <w:szCs w:val="20"/>
              </w:rPr>
              <w:t>●</w:t>
            </w:r>
          </w:p>
        </w:tc>
        <w:tc>
          <w:tcPr>
            <w:tcW w:w="0" w:type="auto"/>
            <w:hideMark/>
          </w:tcPr>
          <w:p w14:paraId="507C39E7" w14:textId="77777777" w:rsidR="00000000" w:rsidRDefault="002F725F">
            <w:pPr>
              <w:jc w:val="both"/>
              <w:rPr>
                <w:rFonts w:eastAsia="Times New Roman"/>
                <w:sz w:val="20"/>
                <w:szCs w:val="20"/>
              </w:rPr>
            </w:pPr>
            <w:r>
              <w:rPr>
                <w:rFonts w:eastAsia="Times New Roman"/>
                <w:sz w:val="20"/>
                <w:szCs w:val="20"/>
              </w:rPr>
              <w:t>deducting bank loans and other borrowings of RMB333.53 million.</w:t>
            </w:r>
          </w:p>
        </w:tc>
      </w:tr>
    </w:tbl>
    <w:p w14:paraId="7941F70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2AE746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Based on the foregoing analysis, Duff &amp; Phelps estimated the value of each Share to range from US$0.64 to US$1.01 as of the date</w:t>
      </w:r>
      <w:r>
        <w:rPr>
          <w:sz w:val="20"/>
          <w:szCs w:val="20"/>
        </w:rPr>
        <w:t xml:space="preserve"> of the Prior Opinion.</w:t>
      </w:r>
    </w:p>
    <w:p w14:paraId="29B54BF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B2F4E5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noted that the Per Share Merger Consideration (as defined in the Original Merger Agreement) of US$0.90 to be received by the holders of Shares (other than the Excluded Shares and the Dissenting Shares) in the Merger w</w:t>
      </w:r>
      <w:r>
        <w:rPr>
          <w:sz w:val="20"/>
          <w:szCs w:val="20"/>
        </w:rPr>
        <w:t>as within the range of the per Share value indicated in its analyses.</w:t>
      </w:r>
    </w:p>
    <w:p w14:paraId="50DE429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9AE726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opinion was only one of the many factors considered by the Special Committee in its evaluation of the Original Merger and should not be viewed as determinative of the vi</w:t>
      </w:r>
      <w:r>
        <w:rPr>
          <w:sz w:val="20"/>
          <w:szCs w:val="20"/>
        </w:rPr>
        <w:t>ews of the Special Committee.</w:t>
      </w:r>
    </w:p>
    <w:p w14:paraId="3467AC71" w14:textId="77777777" w:rsidR="00000000" w:rsidRDefault="002F725F">
      <w:pPr>
        <w:pStyle w:val="NormalWeb"/>
        <w:spacing w:before="0" w:beforeAutospacing="0" w:after="0" w:afterAutospacing="0"/>
        <w:jc w:val="both"/>
        <w:divId w:val="415980837"/>
        <w:rPr>
          <w:sz w:val="20"/>
          <w:szCs w:val="20"/>
        </w:rPr>
      </w:pPr>
      <w:r>
        <w:rPr>
          <w:b/>
          <w:bCs/>
          <w:i/>
          <w:iCs/>
          <w:sz w:val="20"/>
          <w:szCs w:val="20"/>
        </w:rPr>
        <w:t> </w:t>
      </w:r>
    </w:p>
    <w:p w14:paraId="084F286C" w14:textId="77777777" w:rsidR="00000000" w:rsidRDefault="002F725F">
      <w:pPr>
        <w:pStyle w:val="NormalWeb"/>
        <w:spacing w:before="0" w:beforeAutospacing="0" w:after="0" w:afterAutospacing="0"/>
        <w:jc w:val="both"/>
        <w:divId w:val="415980837"/>
        <w:rPr>
          <w:sz w:val="20"/>
          <w:szCs w:val="20"/>
        </w:rPr>
      </w:pPr>
      <w:r>
        <w:rPr>
          <w:b/>
          <w:bCs/>
          <w:i/>
          <w:iCs/>
          <w:sz w:val="20"/>
          <w:szCs w:val="20"/>
        </w:rPr>
        <w:t>Fees and Expenses</w:t>
      </w:r>
    </w:p>
    <w:p w14:paraId="5FCE61A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B84C97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As compensation for Duff &amp; Phelps’ </w:t>
      </w:r>
      <w:r>
        <w:rPr>
          <w:sz w:val="20"/>
          <w:szCs w:val="20"/>
        </w:rPr>
        <w:t xml:space="preserve">services in connection with the rendering of the Prior Opinion to the Special Committee, the Company agreed to pay Duff &amp; Phelps a fee of US$300,000, consisting of a non-refundable retainer of US$150,000 payable upon engagement and US$150,000 payable upon </w:t>
      </w:r>
      <w:r>
        <w:rPr>
          <w:sz w:val="20"/>
          <w:szCs w:val="20"/>
        </w:rPr>
        <w:t>Duff &amp; Phelps’ delivery of its opinion to the Special Committee.</w:t>
      </w:r>
    </w:p>
    <w:p w14:paraId="0030A70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583989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No portion of Duff &amp; Phelps’ fee is refundable or contingent upon the consummation of the Proposed Transaction or the conclusion reached in the opinion. The Company has also agreed to indem</w:t>
      </w:r>
      <w:r>
        <w:rPr>
          <w:sz w:val="20"/>
          <w:szCs w:val="20"/>
        </w:rPr>
        <w:t>nify Duff &amp; Phelps for certain liabilities arising out of its engagement. In addition, the Company has agreed to reimburse Duff &amp; Phelps for its reasonable out-of-pocket expense (including the fees and expenses of outside counsel) incurred in connection wi</w:t>
      </w:r>
      <w:r>
        <w:rPr>
          <w:sz w:val="20"/>
          <w:szCs w:val="20"/>
        </w:rPr>
        <w:t>th the rendering of its opinion, not to exceed US$50,000.</w:t>
      </w:r>
    </w:p>
    <w:p w14:paraId="0482DBA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B30D63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terms of the fee arrangements with Duff &amp; Phelps, which the Company believes are customary in transactions of this nature, were negotiated at arm’s length, and the Special Committee and the Bo</w:t>
      </w:r>
      <w:r>
        <w:rPr>
          <w:sz w:val="20"/>
          <w:szCs w:val="20"/>
        </w:rPr>
        <w:t>ard are aware of these fee arrangements.</w:t>
      </w:r>
    </w:p>
    <w:p w14:paraId="0B96688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433C7A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Other than this engagement to render the Prior Opinion to the Special Committee, during the two years preceding the date of the Prior Opinion, Duff &amp; Phelps and its affiliates have not had any material relationshi</w:t>
      </w:r>
      <w:r>
        <w:rPr>
          <w:sz w:val="20"/>
          <w:szCs w:val="20"/>
        </w:rPr>
        <w:t>p with the Company or any of its affiliates for which compensation has been received or is intended to be received, nor is any such material relationship or related compensation mutually understood to be contemplated.</w:t>
      </w:r>
    </w:p>
    <w:p w14:paraId="717EFA4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F5460DE" w14:textId="77777777" w:rsidR="00000000" w:rsidRDefault="002F725F">
      <w:pPr>
        <w:pStyle w:val="NormalWeb"/>
        <w:spacing w:before="0" w:beforeAutospacing="0" w:after="0" w:afterAutospacing="0"/>
        <w:jc w:val="both"/>
        <w:divId w:val="415980837"/>
        <w:rPr>
          <w:sz w:val="20"/>
          <w:szCs w:val="20"/>
        </w:rPr>
      </w:pPr>
      <w:r>
        <w:rPr>
          <w:b/>
          <w:bCs/>
          <w:sz w:val="20"/>
          <w:szCs w:val="20"/>
        </w:rPr>
        <w:t>Opinion of the Special Committee’s F</w:t>
      </w:r>
      <w:r>
        <w:rPr>
          <w:b/>
          <w:bCs/>
          <w:sz w:val="20"/>
          <w:szCs w:val="20"/>
        </w:rPr>
        <w:t>inancial Advisor dated April 28, 2026</w:t>
      </w:r>
    </w:p>
    <w:p w14:paraId="5314EDD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4F5AFC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a meeting of the Special Committee on April 28, 2026, Duff &amp; Phelps rendered its oral opinion (which was confirmed in writing by the delivery of Duff &amp; Phelps’ written opinion, dated as of April 28, 2026, addresse</w:t>
      </w:r>
      <w:r>
        <w:rPr>
          <w:sz w:val="20"/>
          <w:szCs w:val="20"/>
        </w:rPr>
        <w:t xml:space="preserve">d to the Special Committee) to the Special Committee that, as of such date and based upon and subject to the factors, assumptions, qualifications and limitations set forth in its opinion, the Per Share Merger Consideration to be received by the holders of </w:t>
      </w:r>
      <w:r>
        <w:rPr>
          <w:sz w:val="20"/>
          <w:szCs w:val="20"/>
        </w:rPr>
        <w:t>Shares (other than the Excluded Shares and the Dissenting Shares) in the Merger, was fair, from a financial point of view, to such holders (without giving effect to any impact of the Merger on any particular holder of Shares other than in their capacity as</w:t>
      </w:r>
      <w:r>
        <w:rPr>
          <w:sz w:val="20"/>
          <w:szCs w:val="20"/>
        </w:rPr>
        <w:t xml:space="preserve"> holders of Shares). No limitations were imposed by the Special Committee upon Duff &amp; Phelps with respect to the investigations made or procedures followed by it in rendering its opinion.</w:t>
      </w:r>
    </w:p>
    <w:p w14:paraId="4065D24B"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D414F0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full text of the written opinion of Duff &amp; Phelps dated April </w:t>
      </w:r>
      <w:r>
        <w:rPr>
          <w:sz w:val="20"/>
          <w:szCs w:val="20"/>
        </w:rPr>
        <w:t>28, 2026, which sets forth the procedures followed, assumptions made, matters considered, and qualifications and limitations on the review undertaken, is attached as Annex C to this proxy statement and is incorporated herein by reference. The summary of th</w:t>
      </w:r>
      <w:r>
        <w:rPr>
          <w:sz w:val="20"/>
          <w:szCs w:val="20"/>
        </w:rPr>
        <w:t>e opinion of Duff &amp; Phelps set forth in this proxy statement is qualified in its entirety by reference to the full text of such opinion. The holders of Shares are urged to read the opinion in its entirety. Duff &amp; Phelps’ written opinion is addressed to the</w:t>
      </w:r>
      <w:r>
        <w:rPr>
          <w:sz w:val="20"/>
          <w:szCs w:val="20"/>
        </w:rPr>
        <w:t xml:space="preserve"> Special Committee (in its capacity as such), is directed only to the fairness, from a financial point of view, of the Per </w:t>
      </w:r>
      <w:r>
        <w:rPr>
          <w:sz w:val="20"/>
          <w:szCs w:val="20"/>
        </w:rPr>
        <w:lastRenderedPageBreak/>
        <w:t>Share Merger Consideration to be received by the holders of Shares (other than the Excluded Shares and Dissenting Shares) and does no</w:t>
      </w:r>
      <w:r>
        <w:rPr>
          <w:sz w:val="20"/>
          <w:szCs w:val="20"/>
        </w:rPr>
        <w:t>t constitute, a recommendation to any holder of Shares as to how such holder should vote or act with respect to the Merger or any other matter. Duff &amp; Phelps did not recommend any specific amount of consideration for the Merger, that any specific amount of</w:t>
      </w:r>
      <w:r>
        <w:rPr>
          <w:sz w:val="20"/>
          <w:szCs w:val="20"/>
        </w:rPr>
        <w:t xml:space="preserve"> consideration constituted the only appropriate consideration for the Merger, or that the Per Share Merger Consideration was the best price possibly attainable under any circumstances. Duff &amp; Phelps has consented to the inclusion of its opinion in its enti</w:t>
      </w:r>
      <w:r>
        <w:rPr>
          <w:sz w:val="20"/>
          <w:szCs w:val="20"/>
        </w:rPr>
        <w:t>rety, the presentation materials, and the descriptions thereof in this proxy statement and any other filing the Company is required to make with the SEC in connection with the Merger if such inclusion is required by applicable law.</w:t>
      </w:r>
    </w:p>
    <w:p w14:paraId="6D8199D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FF75580" w14:textId="77777777" w:rsidR="00000000" w:rsidRDefault="002F725F">
      <w:pPr>
        <w:pStyle w:val="NormalWeb"/>
        <w:spacing w:before="0" w:beforeAutospacing="0" w:after="0" w:afterAutospacing="0"/>
        <w:jc w:val="center"/>
        <w:divId w:val="1668755"/>
        <w:rPr>
          <w:sz w:val="20"/>
          <w:szCs w:val="20"/>
        </w:rPr>
      </w:pPr>
      <w:r>
        <w:rPr>
          <w:sz w:val="20"/>
          <w:szCs w:val="20"/>
        </w:rPr>
        <w:t>4</w:t>
      </w:r>
      <w:r>
        <w:rPr>
          <w:sz w:val="20"/>
          <w:szCs w:val="20"/>
        </w:rPr>
        <w:t>8</w:t>
      </w:r>
    </w:p>
    <w:p w14:paraId="6E97D029" w14:textId="77777777" w:rsidR="00000000" w:rsidRDefault="002F725F">
      <w:pPr>
        <w:pStyle w:val="NormalWeb"/>
        <w:spacing w:before="0" w:beforeAutospacing="0" w:after="0" w:afterAutospacing="0"/>
        <w:divId w:val="2133278575"/>
        <w:rPr>
          <w:sz w:val="20"/>
          <w:szCs w:val="20"/>
        </w:rPr>
      </w:pPr>
      <w:r>
        <w:rPr>
          <w:sz w:val="20"/>
          <w:szCs w:val="20"/>
        </w:rPr>
        <w:t> </w:t>
      </w:r>
    </w:p>
    <w:p w14:paraId="5119ABB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0DE021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In connection w</w:t>
      </w:r>
      <w:r>
        <w:rPr>
          <w:sz w:val="20"/>
          <w:szCs w:val="20"/>
        </w:rPr>
        <w:t>ith its opinion, Duff &amp; Phelps has made such reviews, analyses and inquiries as it has deemed necessary and appropriate under the circumstances to enable Duff &amp; Phelps to render its opinion. Duff &amp; Phelps also took into account its assessment of general ec</w:t>
      </w:r>
      <w:r>
        <w:rPr>
          <w:sz w:val="20"/>
          <w:szCs w:val="20"/>
        </w:rPr>
        <w:t xml:space="preserve">onomic, market and financial conditions, as well as its experience in securities and business valuation, in general, and with respect to similar transactions, in particular. Duff &amp; Phelps’ procedures, investigations, and financial analysis with respect to </w:t>
      </w:r>
      <w:r>
        <w:rPr>
          <w:sz w:val="20"/>
          <w:szCs w:val="20"/>
        </w:rPr>
        <w:t>the preparation of its opinion included, but were not limited to, the items summarized below:</w:t>
      </w:r>
    </w:p>
    <w:p w14:paraId="40023DE9"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421BA44" w14:textId="77777777">
        <w:trPr>
          <w:divId w:val="415980837"/>
          <w:tblCellSpacing w:w="0" w:type="dxa"/>
        </w:trPr>
        <w:tc>
          <w:tcPr>
            <w:tcW w:w="720" w:type="dxa"/>
            <w:hideMark/>
          </w:tcPr>
          <w:p w14:paraId="310DF786" w14:textId="77777777" w:rsidR="00000000" w:rsidRDefault="002F725F">
            <w:pPr>
              <w:rPr>
                <w:rFonts w:eastAsia="Times New Roman"/>
                <w:sz w:val="20"/>
                <w:szCs w:val="20"/>
              </w:rPr>
            </w:pPr>
            <w:r>
              <w:rPr>
                <w:rFonts w:eastAsia="Times New Roman"/>
                <w:sz w:val="20"/>
                <w:szCs w:val="20"/>
              </w:rPr>
              <w:t> </w:t>
            </w:r>
          </w:p>
        </w:tc>
        <w:tc>
          <w:tcPr>
            <w:tcW w:w="360" w:type="dxa"/>
            <w:hideMark/>
          </w:tcPr>
          <w:p w14:paraId="7FDDAE63" w14:textId="77777777" w:rsidR="00000000" w:rsidRDefault="002F725F">
            <w:pPr>
              <w:rPr>
                <w:rFonts w:eastAsia="Times New Roman"/>
                <w:sz w:val="20"/>
                <w:szCs w:val="20"/>
              </w:rPr>
            </w:pPr>
            <w:r>
              <w:rPr>
                <w:rFonts w:eastAsia="Times New Roman"/>
                <w:sz w:val="20"/>
                <w:szCs w:val="20"/>
              </w:rPr>
              <w:t>●</w:t>
            </w:r>
          </w:p>
        </w:tc>
        <w:tc>
          <w:tcPr>
            <w:tcW w:w="0" w:type="auto"/>
            <w:hideMark/>
          </w:tcPr>
          <w:p w14:paraId="7677FC94" w14:textId="77777777" w:rsidR="00000000" w:rsidRDefault="002F725F">
            <w:pPr>
              <w:jc w:val="both"/>
              <w:rPr>
                <w:rFonts w:eastAsia="Times New Roman"/>
                <w:sz w:val="20"/>
                <w:szCs w:val="20"/>
              </w:rPr>
            </w:pPr>
            <w:r>
              <w:rPr>
                <w:rFonts w:eastAsia="Times New Roman"/>
                <w:sz w:val="20"/>
                <w:szCs w:val="20"/>
              </w:rPr>
              <w:t>Reviewed the Company’</w:t>
            </w:r>
            <w:r>
              <w:rPr>
                <w:rFonts w:eastAsia="Times New Roman"/>
                <w:sz w:val="20"/>
                <w:szCs w:val="20"/>
              </w:rPr>
              <w:t>s annual reports and audited financial statements on Form 20-F filed with the SEC for the years ended March 31, 2023 through March 31, 2025;</w:t>
            </w:r>
          </w:p>
        </w:tc>
      </w:tr>
    </w:tbl>
    <w:p w14:paraId="4CF3B053"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F3D72CC" w14:textId="77777777">
        <w:trPr>
          <w:divId w:val="415980837"/>
          <w:tblCellSpacing w:w="0" w:type="dxa"/>
        </w:trPr>
        <w:tc>
          <w:tcPr>
            <w:tcW w:w="720" w:type="dxa"/>
            <w:hideMark/>
          </w:tcPr>
          <w:p w14:paraId="3BC0301A" w14:textId="77777777" w:rsidR="00000000" w:rsidRDefault="002F725F">
            <w:pPr>
              <w:rPr>
                <w:rFonts w:eastAsia="Times New Roman"/>
                <w:sz w:val="20"/>
                <w:szCs w:val="20"/>
              </w:rPr>
            </w:pPr>
            <w:r>
              <w:rPr>
                <w:rFonts w:eastAsia="Times New Roman"/>
                <w:sz w:val="20"/>
                <w:szCs w:val="20"/>
              </w:rPr>
              <w:t> </w:t>
            </w:r>
          </w:p>
        </w:tc>
        <w:tc>
          <w:tcPr>
            <w:tcW w:w="360" w:type="dxa"/>
            <w:hideMark/>
          </w:tcPr>
          <w:p w14:paraId="57022804" w14:textId="77777777" w:rsidR="00000000" w:rsidRDefault="002F725F">
            <w:pPr>
              <w:rPr>
                <w:rFonts w:eastAsia="Times New Roman"/>
                <w:sz w:val="20"/>
                <w:szCs w:val="20"/>
              </w:rPr>
            </w:pPr>
            <w:r>
              <w:rPr>
                <w:rFonts w:eastAsia="Times New Roman"/>
                <w:sz w:val="20"/>
                <w:szCs w:val="20"/>
              </w:rPr>
              <w:t>●</w:t>
            </w:r>
          </w:p>
        </w:tc>
        <w:tc>
          <w:tcPr>
            <w:tcW w:w="0" w:type="auto"/>
            <w:hideMark/>
          </w:tcPr>
          <w:p w14:paraId="08C601BD" w14:textId="77777777" w:rsidR="00000000" w:rsidRDefault="002F725F">
            <w:pPr>
              <w:jc w:val="both"/>
              <w:rPr>
                <w:rFonts w:eastAsia="Times New Roman"/>
                <w:sz w:val="20"/>
                <w:szCs w:val="20"/>
              </w:rPr>
            </w:pPr>
            <w:r>
              <w:rPr>
                <w:rFonts w:eastAsia="Times New Roman"/>
                <w:sz w:val="20"/>
                <w:szCs w:val="20"/>
              </w:rPr>
              <w:t>Reviewed certain unaudited and segment financial information for the Company for the years ended March 31, 2</w:t>
            </w:r>
            <w:r>
              <w:rPr>
                <w:rFonts w:eastAsia="Times New Roman"/>
                <w:sz w:val="20"/>
                <w:szCs w:val="20"/>
              </w:rPr>
              <w:t>023 through March 31, 2026, provided to Duff &amp; Phelps by the management of the Company and which the management of the Company identified as being the most current financial statements available;</w:t>
            </w:r>
          </w:p>
        </w:tc>
      </w:tr>
    </w:tbl>
    <w:p w14:paraId="6369CC5B"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E47EFBA" w14:textId="77777777">
        <w:trPr>
          <w:divId w:val="415980837"/>
          <w:tblCellSpacing w:w="0" w:type="dxa"/>
        </w:trPr>
        <w:tc>
          <w:tcPr>
            <w:tcW w:w="720" w:type="dxa"/>
            <w:hideMark/>
          </w:tcPr>
          <w:p w14:paraId="6CD1AD80" w14:textId="77777777" w:rsidR="00000000" w:rsidRDefault="002F725F">
            <w:pPr>
              <w:rPr>
                <w:rFonts w:eastAsia="Times New Roman"/>
                <w:sz w:val="20"/>
                <w:szCs w:val="20"/>
              </w:rPr>
            </w:pPr>
            <w:r>
              <w:rPr>
                <w:rFonts w:eastAsia="Times New Roman"/>
                <w:sz w:val="20"/>
                <w:szCs w:val="20"/>
              </w:rPr>
              <w:t> </w:t>
            </w:r>
          </w:p>
        </w:tc>
        <w:tc>
          <w:tcPr>
            <w:tcW w:w="360" w:type="dxa"/>
            <w:hideMark/>
          </w:tcPr>
          <w:p w14:paraId="42F9FDA9" w14:textId="77777777" w:rsidR="00000000" w:rsidRDefault="002F725F">
            <w:pPr>
              <w:rPr>
                <w:rFonts w:eastAsia="Times New Roman"/>
                <w:sz w:val="20"/>
                <w:szCs w:val="20"/>
              </w:rPr>
            </w:pPr>
            <w:r>
              <w:rPr>
                <w:rFonts w:eastAsia="Times New Roman"/>
                <w:sz w:val="20"/>
                <w:szCs w:val="20"/>
              </w:rPr>
              <w:t>●</w:t>
            </w:r>
          </w:p>
        </w:tc>
        <w:tc>
          <w:tcPr>
            <w:tcW w:w="0" w:type="auto"/>
            <w:hideMark/>
          </w:tcPr>
          <w:p w14:paraId="0B852778" w14:textId="77777777" w:rsidR="00000000" w:rsidRDefault="002F725F">
            <w:pPr>
              <w:jc w:val="both"/>
              <w:rPr>
                <w:rFonts w:eastAsia="Times New Roman"/>
                <w:sz w:val="20"/>
                <w:szCs w:val="20"/>
              </w:rPr>
            </w:pPr>
            <w:r>
              <w:rPr>
                <w:rFonts w:eastAsia="Times New Roman"/>
                <w:sz w:val="20"/>
                <w:szCs w:val="20"/>
              </w:rPr>
              <w:t>Reviewed a detailed financial projection model for th</w:t>
            </w:r>
            <w:r>
              <w:rPr>
                <w:rFonts w:eastAsia="Times New Roman"/>
                <w:sz w:val="20"/>
                <w:szCs w:val="20"/>
              </w:rPr>
              <w:t>e Company for the years ending March 31, 2027 through March 31, 2033, prepared and provided to Duff &amp; Phelps by the management of the Company on April 15, 2026, upon which Duff &amp; Phelps has relied, with the Company’s and the Special Committee’s consent, in</w:t>
            </w:r>
            <w:r>
              <w:rPr>
                <w:rFonts w:eastAsia="Times New Roman"/>
                <w:sz w:val="20"/>
                <w:szCs w:val="20"/>
              </w:rPr>
              <w:t xml:space="preserve"> performing its analysis (the “Management Projections”);</w:t>
            </w:r>
          </w:p>
        </w:tc>
      </w:tr>
    </w:tbl>
    <w:p w14:paraId="78C470D5"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C406B69" w14:textId="77777777">
        <w:trPr>
          <w:divId w:val="415980837"/>
          <w:tblCellSpacing w:w="0" w:type="dxa"/>
        </w:trPr>
        <w:tc>
          <w:tcPr>
            <w:tcW w:w="720" w:type="dxa"/>
            <w:hideMark/>
          </w:tcPr>
          <w:p w14:paraId="23299969" w14:textId="77777777" w:rsidR="00000000" w:rsidRDefault="002F725F">
            <w:pPr>
              <w:rPr>
                <w:rFonts w:eastAsia="Times New Roman"/>
                <w:sz w:val="20"/>
                <w:szCs w:val="20"/>
              </w:rPr>
            </w:pPr>
            <w:r>
              <w:rPr>
                <w:rFonts w:eastAsia="Times New Roman"/>
                <w:sz w:val="20"/>
                <w:szCs w:val="20"/>
              </w:rPr>
              <w:t> </w:t>
            </w:r>
          </w:p>
        </w:tc>
        <w:tc>
          <w:tcPr>
            <w:tcW w:w="360" w:type="dxa"/>
            <w:hideMark/>
          </w:tcPr>
          <w:p w14:paraId="0DEF18B4" w14:textId="77777777" w:rsidR="00000000" w:rsidRDefault="002F725F">
            <w:pPr>
              <w:rPr>
                <w:rFonts w:eastAsia="Times New Roman"/>
                <w:sz w:val="20"/>
                <w:szCs w:val="20"/>
              </w:rPr>
            </w:pPr>
            <w:r>
              <w:rPr>
                <w:rFonts w:eastAsia="Times New Roman"/>
                <w:sz w:val="20"/>
                <w:szCs w:val="20"/>
              </w:rPr>
              <w:t>●</w:t>
            </w:r>
          </w:p>
        </w:tc>
        <w:tc>
          <w:tcPr>
            <w:tcW w:w="0" w:type="auto"/>
            <w:hideMark/>
          </w:tcPr>
          <w:p w14:paraId="289376C7" w14:textId="77777777" w:rsidR="00000000" w:rsidRDefault="002F725F">
            <w:pPr>
              <w:jc w:val="both"/>
              <w:rPr>
                <w:rFonts w:eastAsia="Times New Roman"/>
                <w:sz w:val="20"/>
                <w:szCs w:val="20"/>
              </w:rPr>
            </w:pPr>
            <w:r>
              <w:rPr>
                <w:rFonts w:eastAsia="Times New Roman"/>
                <w:sz w:val="20"/>
                <w:szCs w:val="20"/>
              </w:rPr>
              <w:t>Reviewed other internal documents relating to the history, current operations, and probable future outlook of the Company, provided to Duff &amp; Phelps by the management of the Company;</w:t>
            </w:r>
          </w:p>
        </w:tc>
      </w:tr>
    </w:tbl>
    <w:p w14:paraId="0E65810D"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BE1A6D8" w14:textId="77777777">
        <w:trPr>
          <w:divId w:val="415980837"/>
          <w:tblCellSpacing w:w="0" w:type="dxa"/>
        </w:trPr>
        <w:tc>
          <w:tcPr>
            <w:tcW w:w="720" w:type="dxa"/>
            <w:hideMark/>
          </w:tcPr>
          <w:p w14:paraId="67148465" w14:textId="77777777" w:rsidR="00000000" w:rsidRDefault="002F725F">
            <w:pPr>
              <w:rPr>
                <w:rFonts w:eastAsia="Times New Roman"/>
                <w:sz w:val="20"/>
                <w:szCs w:val="20"/>
              </w:rPr>
            </w:pPr>
            <w:r>
              <w:rPr>
                <w:rFonts w:eastAsia="Times New Roman"/>
                <w:sz w:val="20"/>
                <w:szCs w:val="20"/>
              </w:rPr>
              <w:t> </w:t>
            </w:r>
          </w:p>
        </w:tc>
        <w:tc>
          <w:tcPr>
            <w:tcW w:w="360" w:type="dxa"/>
            <w:hideMark/>
          </w:tcPr>
          <w:p w14:paraId="19280B22" w14:textId="77777777" w:rsidR="00000000" w:rsidRDefault="002F725F">
            <w:pPr>
              <w:rPr>
                <w:rFonts w:eastAsia="Times New Roman"/>
                <w:sz w:val="20"/>
                <w:szCs w:val="20"/>
              </w:rPr>
            </w:pPr>
            <w:r>
              <w:rPr>
                <w:rFonts w:eastAsia="Times New Roman"/>
                <w:sz w:val="20"/>
                <w:szCs w:val="20"/>
              </w:rPr>
              <w:t>●</w:t>
            </w:r>
          </w:p>
        </w:tc>
        <w:tc>
          <w:tcPr>
            <w:tcW w:w="0" w:type="auto"/>
            <w:hideMark/>
          </w:tcPr>
          <w:p w14:paraId="303FD52B" w14:textId="77777777" w:rsidR="00000000" w:rsidRDefault="002F725F">
            <w:pPr>
              <w:jc w:val="both"/>
              <w:rPr>
                <w:rFonts w:eastAsia="Times New Roman"/>
                <w:sz w:val="20"/>
                <w:szCs w:val="20"/>
              </w:rPr>
            </w:pPr>
            <w:r>
              <w:rPr>
                <w:rFonts w:eastAsia="Times New Roman"/>
                <w:sz w:val="20"/>
                <w:szCs w:val="20"/>
              </w:rPr>
              <w:t>Re</w:t>
            </w:r>
            <w:r>
              <w:rPr>
                <w:rFonts w:eastAsia="Times New Roman"/>
                <w:sz w:val="20"/>
                <w:szCs w:val="20"/>
              </w:rPr>
              <w:t>viewed a letter dated April 24, 2026 from the management of the Company, which made certain representations as to historical financial information for the Company, the Management Projections and the underlying assumptions of such projections (the “Manageme</w:t>
            </w:r>
            <w:r>
              <w:rPr>
                <w:rFonts w:eastAsia="Times New Roman"/>
                <w:sz w:val="20"/>
                <w:szCs w:val="20"/>
              </w:rPr>
              <w:t>nt Representation Letter”);</w:t>
            </w:r>
          </w:p>
        </w:tc>
      </w:tr>
    </w:tbl>
    <w:p w14:paraId="3ACA663D"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02DC344" w14:textId="77777777">
        <w:trPr>
          <w:divId w:val="415980837"/>
          <w:tblCellSpacing w:w="0" w:type="dxa"/>
        </w:trPr>
        <w:tc>
          <w:tcPr>
            <w:tcW w:w="720" w:type="dxa"/>
            <w:hideMark/>
          </w:tcPr>
          <w:p w14:paraId="01C10DBA" w14:textId="77777777" w:rsidR="00000000" w:rsidRDefault="002F725F">
            <w:pPr>
              <w:rPr>
                <w:rFonts w:eastAsia="Times New Roman"/>
                <w:sz w:val="20"/>
                <w:szCs w:val="20"/>
              </w:rPr>
            </w:pPr>
            <w:r>
              <w:rPr>
                <w:rFonts w:eastAsia="Times New Roman"/>
                <w:sz w:val="20"/>
                <w:szCs w:val="20"/>
              </w:rPr>
              <w:t> </w:t>
            </w:r>
          </w:p>
        </w:tc>
        <w:tc>
          <w:tcPr>
            <w:tcW w:w="360" w:type="dxa"/>
            <w:hideMark/>
          </w:tcPr>
          <w:p w14:paraId="66384AB2" w14:textId="77777777" w:rsidR="00000000" w:rsidRDefault="002F725F">
            <w:pPr>
              <w:rPr>
                <w:rFonts w:eastAsia="Times New Roman"/>
                <w:sz w:val="20"/>
                <w:szCs w:val="20"/>
              </w:rPr>
            </w:pPr>
            <w:r>
              <w:rPr>
                <w:rFonts w:eastAsia="Times New Roman"/>
                <w:sz w:val="20"/>
                <w:szCs w:val="20"/>
              </w:rPr>
              <w:t>●</w:t>
            </w:r>
          </w:p>
        </w:tc>
        <w:tc>
          <w:tcPr>
            <w:tcW w:w="0" w:type="auto"/>
            <w:hideMark/>
          </w:tcPr>
          <w:p w14:paraId="18967C5D" w14:textId="77777777" w:rsidR="00000000" w:rsidRDefault="002F725F">
            <w:pPr>
              <w:jc w:val="both"/>
              <w:rPr>
                <w:rFonts w:eastAsia="Times New Roman"/>
                <w:sz w:val="20"/>
                <w:szCs w:val="20"/>
              </w:rPr>
            </w:pPr>
            <w:r>
              <w:rPr>
                <w:rFonts w:eastAsia="Times New Roman"/>
                <w:sz w:val="20"/>
                <w:szCs w:val="20"/>
              </w:rPr>
              <w:t>Reviewed the Original Merger Agreement dated November 4, 2025, and a draft of Amendment No. 1 to the Merger Agreement dated April 13, 2026;</w:t>
            </w:r>
          </w:p>
        </w:tc>
      </w:tr>
    </w:tbl>
    <w:p w14:paraId="56A8EC7B"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98E3234" w14:textId="77777777">
        <w:trPr>
          <w:divId w:val="415980837"/>
          <w:tblCellSpacing w:w="0" w:type="dxa"/>
        </w:trPr>
        <w:tc>
          <w:tcPr>
            <w:tcW w:w="720" w:type="dxa"/>
            <w:hideMark/>
          </w:tcPr>
          <w:p w14:paraId="2985104A" w14:textId="77777777" w:rsidR="00000000" w:rsidRDefault="002F725F">
            <w:pPr>
              <w:rPr>
                <w:rFonts w:eastAsia="Times New Roman"/>
                <w:sz w:val="20"/>
                <w:szCs w:val="20"/>
              </w:rPr>
            </w:pPr>
            <w:r>
              <w:rPr>
                <w:rFonts w:eastAsia="Times New Roman"/>
                <w:sz w:val="20"/>
                <w:szCs w:val="20"/>
              </w:rPr>
              <w:t> </w:t>
            </w:r>
          </w:p>
        </w:tc>
        <w:tc>
          <w:tcPr>
            <w:tcW w:w="360" w:type="dxa"/>
            <w:hideMark/>
          </w:tcPr>
          <w:p w14:paraId="70CEA60B" w14:textId="77777777" w:rsidR="00000000" w:rsidRDefault="002F725F">
            <w:pPr>
              <w:rPr>
                <w:rFonts w:eastAsia="Times New Roman"/>
                <w:sz w:val="20"/>
                <w:szCs w:val="20"/>
              </w:rPr>
            </w:pPr>
            <w:r>
              <w:rPr>
                <w:rFonts w:eastAsia="Times New Roman"/>
                <w:sz w:val="20"/>
                <w:szCs w:val="20"/>
              </w:rPr>
              <w:t>●</w:t>
            </w:r>
          </w:p>
        </w:tc>
        <w:tc>
          <w:tcPr>
            <w:tcW w:w="0" w:type="auto"/>
            <w:hideMark/>
          </w:tcPr>
          <w:p w14:paraId="42C4F8EB" w14:textId="77777777" w:rsidR="00000000" w:rsidRDefault="002F725F">
            <w:pPr>
              <w:jc w:val="both"/>
              <w:rPr>
                <w:rFonts w:eastAsia="Times New Roman"/>
                <w:sz w:val="20"/>
                <w:szCs w:val="20"/>
              </w:rPr>
            </w:pPr>
            <w:r>
              <w:rPr>
                <w:rFonts w:eastAsia="Times New Roman"/>
                <w:sz w:val="20"/>
                <w:szCs w:val="20"/>
              </w:rPr>
              <w:t>Discussed the information referred to above and the background and other elements of the Merger with the mana</w:t>
            </w:r>
            <w:r>
              <w:rPr>
                <w:rFonts w:eastAsia="Times New Roman"/>
                <w:sz w:val="20"/>
                <w:szCs w:val="20"/>
              </w:rPr>
              <w:t>gement of the Company;</w:t>
            </w:r>
          </w:p>
        </w:tc>
      </w:tr>
    </w:tbl>
    <w:p w14:paraId="7F28BEC4"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3258AAA" w14:textId="77777777">
        <w:trPr>
          <w:divId w:val="415980837"/>
          <w:tblCellSpacing w:w="0" w:type="dxa"/>
        </w:trPr>
        <w:tc>
          <w:tcPr>
            <w:tcW w:w="720" w:type="dxa"/>
            <w:hideMark/>
          </w:tcPr>
          <w:p w14:paraId="592B6927" w14:textId="77777777" w:rsidR="00000000" w:rsidRDefault="002F725F">
            <w:pPr>
              <w:rPr>
                <w:rFonts w:eastAsia="Times New Roman"/>
                <w:sz w:val="20"/>
                <w:szCs w:val="20"/>
              </w:rPr>
            </w:pPr>
            <w:r>
              <w:rPr>
                <w:rFonts w:eastAsia="Times New Roman"/>
                <w:sz w:val="20"/>
                <w:szCs w:val="20"/>
              </w:rPr>
              <w:t> </w:t>
            </w:r>
          </w:p>
        </w:tc>
        <w:tc>
          <w:tcPr>
            <w:tcW w:w="360" w:type="dxa"/>
            <w:hideMark/>
          </w:tcPr>
          <w:p w14:paraId="716DD20F" w14:textId="77777777" w:rsidR="00000000" w:rsidRDefault="002F725F">
            <w:pPr>
              <w:rPr>
                <w:rFonts w:eastAsia="Times New Roman"/>
                <w:sz w:val="20"/>
                <w:szCs w:val="20"/>
              </w:rPr>
            </w:pPr>
            <w:r>
              <w:rPr>
                <w:rFonts w:eastAsia="Times New Roman"/>
                <w:sz w:val="20"/>
                <w:szCs w:val="20"/>
              </w:rPr>
              <w:t>●</w:t>
            </w:r>
          </w:p>
        </w:tc>
        <w:tc>
          <w:tcPr>
            <w:tcW w:w="0" w:type="auto"/>
            <w:hideMark/>
          </w:tcPr>
          <w:p w14:paraId="1D2081F0" w14:textId="77777777" w:rsidR="00000000" w:rsidRDefault="002F725F">
            <w:pPr>
              <w:jc w:val="both"/>
              <w:rPr>
                <w:rFonts w:eastAsia="Times New Roman"/>
                <w:sz w:val="20"/>
                <w:szCs w:val="20"/>
              </w:rPr>
            </w:pPr>
            <w:r>
              <w:rPr>
                <w:rFonts w:eastAsia="Times New Roman"/>
                <w:sz w:val="20"/>
                <w:szCs w:val="20"/>
              </w:rPr>
              <w:t>Discussed with the management of the Company its plans and intentions with respect to the management and operation of the Company’s business;</w:t>
            </w:r>
          </w:p>
        </w:tc>
      </w:tr>
    </w:tbl>
    <w:p w14:paraId="52455141"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4B2D614" w14:textId="77777777">
        <w:trPr>
          <w:divId w:val="415980837"/>
          <w:tblCellSpacing w:w="0" w:type="dxa"/>
        </w:trPr>
        <w:tc>
          <w:tcPr>
            <w:tcW w:w="720" w:type="dxa"/>
            <w:hideMark/>
          </w:tcPr>
          <w:p w14:paraId="484B1EFB" w14:textId="77777777" w:rsidR="00000000" w:rsidRDefault="002F725F">
            <w:pPr>
              <w:rPr>
                <w:rFonts w:eastAsia="Times New Roman"/>
                <w:sz w:val="20"/>
                <w:szCs w:val="20"/>
              </w:rPr>
            </w:pPr>
            <w:r>
              <w:rPr>
                <w:rFonts w:eastAsia="Times New Roman"/>
                <w:sz w:val="20"/>
                <w:szCs w:val="20"/>
              </w:rPr>
              <w:t> </w:t>
            </w:r>
          </w:p>
        </w:tc>
        <w:tc>
          <w:tcPr>
            <w:tcW w:w="360" w:type="dxa"/>
            <w:hideMark/>
          </w:tcPr>
          <w:p w14:paraId="04F0510A" w14:textId="77777777" w:rsidR="00000000" w:rsidRDefault="002F725F">
            <w:pPr>
              <w:rPr>
                <w:rFonts w:eastAsia="Times New Roman"/>
                <w:sz w:val="20"/>
                <w:szCs w:val="20"/>
              </w:rPr>
            </w:pPr>
            <w:r>
              <w:rPr>
                <w:rFonts w:eastAsia="Times New Roman"/>
                <w:sz w:val="20"/>
                <w:szCs w:val="20"/>
              </w:rPr>
              <w:t>●</w:t>
            </w:r>
          </w:p>
        </w:tc>
        <w:tc>
          <w:tcPr>
            <w:tcW w:w="0" w:type="auto"/>
            <w:hideMark/>
          </w:tcPr>
          <w:p w14:paraId="1261958C" w14:textId="77777777" w:rsidR="00000000" w:rsidRDefault="002F725F">
            <w:pPr>
              <w:jc w:val="both"/>
              <w:rPr>
                <w:rFonts w:eastAsia="Times New Roman"/>
                <w:sz w:val="20"/>
                <w:szCs w:val="20"/>
              </w:rPr>
            </w:pPr>
            <w:r>
              <w:rPr>
                <w:rFonts w:eastAsia="Times New Roman"/>
                <w:sz w:val="20"/>
                <w:szCs w:val="20"/>
              </w:rPr>
              <w:t>Reviewed the historical trading price and trading volume of the Shares and th</w:t>
            </w:r>
            <w:r>
              <w:rPr>
                <w:rFonts w:eastAsia="Times New Roman"/>
                <w:sz w:val="20"/>
                <w:szCs w:val="20"/>
              </w:rPr>
              <w:t>e publicly traded securities of certain other companies that Duff &amp; Phelps deemed relevant;</w:t>
            </w:r>
          </w:p>
        </w:tc>
      </w:tr>
    </w:tbl>
    <w:p w14:paraId="1BCB9C47"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D965504" w14:textId="77777777">
        <w:trPr>
          <w:divId w:val="415980837"/>
          <w:tblCellSpacing w:w="0" w:type="dxa"/>
        </w:trPr>
        <w:tc>
          <w:tcPr>
            <w:tcW w:w="720" w:type="dxa"/>
            <w:hideMark/>
          </w:tcPr>
          <w:p w14:paraId="6D370F8E" w14:textId="77777777" w:rsidR="00000000" w:rsidRDefault="002F725F">
            <w:pPr>
              <w:rPr>
                <w:rFonts w:eastAsia="Times New Roman"/>
                <w:sz w:val="20"/>
                <w:szCs w:val="20"/>
              </w:rPr>
            </w:pPr>
            <w:r>
              <w:rPr>
                <w:rFonts w:eastAsia="Times New Roman"/>
                <w:sz w:val="20"/>
                <w:szCs w:val="20"/>
              </w:rPr>
              <w:t> </w:t>
            </w:r>
          </w:p>
        </w:tc>
        <w:tc>
          <w:tcPr>
            <w:tcW w:w="360" w:type="dxa"/>
            <w:hideMark/>
          </w:tcPr>
          <w:p w14:paraId="745CAA87" w14:textId="77777777" w:rsidR="00000000" w:rsidRDefault="002F725F">
            <w:pPr>
              <w:rPr>
                <w:rFonts w:eastAsia="Times New Roman"/>
                <w:sz w:val="20"/>
                <w:szCs w:val="20"/>
              </w:rPr>
            </w:pPr>
            <w:r>
              <w:rPr>
                <w:rFonts w:eastAsia="Times New Roman"/>
                <w:sz w:val="20"/>
                <w:szCs w:val="20"/>
              </w:rPr>
              <w:t>●</w:t>
            </w:r>
          </w:p>
        </w:tc>
        <w:tc>
          <w:tcPr>
            <w:tcW w:w="0" w:type="auto"/>
            <w:hideMark/>
          </w:tcPr>
          <w:p w14:paraId="2206E545" w14:textId="77777777" w:rsidR="00000000" w:rsidRDefault="002F725F">
            <w:pPr>
              <w:jc w:val="both"/>
              <w:rPr>
                <w:rFonts w:eastAsia="Times New Roman"/>
                <w:sz w:val="20"/>
                <w:szCs w:val="20"/>
              </w:rPr>
            </w:pPr>
            <w:r>
              <w:rPr>
                <w:rFonts w:eastAsia="Times New Roman"/>
                <w:sz w:val="20"/>
                <w:szCs w:val="20"/>
              </w:rPr>
              <w:t xml:space="preserve">Performed certain valuation and comparative analyses using generally accepted valuation and analytical techniques, including a discounted cash flow analysis, an analysis of selected public companies that Duff </w:t>
            </w:r>
            <w:r>
              <w:rPr>
                <w:rFonts w:eastAsia="Times New Roman"/>
                <w:sz w:val="20"/>
                <w:szCs w:val="20"/>
              </w:rPr>
              <w:lastRenderedPageBreak/>
              <w:t>&amp; Phelps deemed relevant, and an analysis of se</w:t>
            </w:r>
            <w:r>
              <w:rPr>
                <w:rFonts w:eastAsia="Times New Roman"/>
                <w:sz w:val="20"/>
                <w:szCs w:val="20"/>
              </w:rPr>
              <w:t>lected transactions that Duff &amp; Phelps deemed relevant; and</w:t>
            </w:r>
          </w:p>
        </w:tc>
      </w:tr>
    </w:tbl>
    <w:p w14:paraId="0B486933"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7146506" w14:textId="77777777">
        <w:trPr>
          <w:divId w:val="415980837"/>
          <w:tblCellSpacing w:w="0" w:type="dxa"/>
        </w:trPr>
        <w:tc>
          <w:tcPr>
            <w:tcW w:w="720" w:type="dxa"/>
            <w:hideMark/>
          </w:tcPr>
          <w:p w14:paraId="73F88EFC" w14:textId="77777777" w:rsidR="00000000" w:rsidRDefault="002F725F">
            <w:pPr>
              <w:rPr>
                <w:rFonts w:eastAsia="Times New Roman"/>
                <w:sz w:val="20"/>
                <w:szCs w:val="20"/>
              </w:rPr>
            </w:pPr>
            <w:r>
              <w:rPr>
                <w:rFonts w:eastAsia="Times New Roman"/>
                <w:sz w:val="20"/>
                <w:szCs w:val="20"/>
              </w:rPr>
              <w:t> </w:t>
            </w:r>
          </w:p>
        </w:tc>
        <w:tc>
          <w:tcPr>
            <w:tcW w:w="360" w:type="dxa"/>
            <w:hideMark/>
          </w:tcPr>
          <w:p w14:paraId="21924200" w14:textId="77777777" w:rsidR="00000000" w:rsidRDefault="002F725F">
            <w:pPr>
              <w:rPr>
                <w:rFonts w:eastAsia="Times New Roman"/>
                <w:sz w:val="20"/>
                <w:szCs w:val="20"/>
              </w:rPr>
            </w:pPr>
            <w:r>
              <w:rPr>
                <w:rFonts w:eastAsia="Times New Roman"/>
                <w:sz w:val="20"/>
                <w:szCs w:val="20"/>
              </w:rPr>
              <w:t>●</w:t>
            </w:r>
          </w:p>
        </w:tc>
        <w:tc>
          <w:tcPr>
            <w:tcW w:w="0" w:type="auto"/>
            <w:hideMark/>
          </w:tcPr>
          <w:p w14:paraId="02FAB592" w14:textId="77777777" w:rsidR="00000000" w:rsidRDefault="002F725F">
            <w:pPr>
              <w:jc w:val="both"/>
              <w:rPr>
                <w:rFonts w:eastAsia="Times New Roman"/>
                <w:sz w:val="20"/>
                <w:szCs w:val="20"/>
              </w:rPr>
            </w:pPr>
            <w:r>
              <w:rPr>
                <w:rFonts w:eastAsia="Times New Roman"/>
                <w:sz w:val="20"/>
                <w:szCs w:val="20"/>
              </w:rPr>
              <w:t>Conducted such other analyses and considered such other factors as Duff &amp; Phelps deemed appropriate.</w:t>
            </w:r>
          </w:p>
        </w:tc>
      </w:tr>
    </w:tbl>
    <w:p w14:paraId="14747FD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459DBE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In performing its analyses and rendering its opinion with respect to the Merger, Duff</w:t>
      </w:r>
      <w:r>
        <w:rPr>
          <w:sz w:val="20"/>
          <w:szCs w:val="20"/>
        </w:rPr>
        <w:t xml:space="preserve"> &amp; Phelps, with the consent of the Company and the Special Committee:</w:t>
      </w:r>
    </w:p>
    <w:p w14:paraId="16555973"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F4DFC97" w14:textId="77777777">
        <w:trPr>
          <w:divId w:val="415980837"/>
          <w:tblCellSpacing w:w="0" w:type="dxa"/>
        </w:trPr>
        <w:tc>
          <w:tcPr>
            <w:tcW w:w="720" w:type="dxa"/>
            <w:hideMark/>
          </w:tcPr>
          <w:p w14:paraId="63555D47" w14:textId="77777777" w:rsidR="00000000" w:rsidRDefault="002F725F">
            <w:pPr>
              <w:rPr>
                <w:rFonts w:eastAsia="Times New Roman"/>
                <w:sz w:val="20"/>
                <w:szCs w:val="20"/>
              </w:rPr>
            </w:pPr>
            <w:r>
              <w:rPr>
                <w:rFonts w:eastAsia="Times New Roman"/>
                <w:sz w:val="20"/>
                <w:szCs w:val="20"/>
              </w:rPr>
              <w:t> </w:t>
            </w:r>
          </w:p>
        </w:tc>
        <w:tc>
          <w:tcPr>
            <w:tcW w:w="360" w:type="dxa"/>
            <w:hideMark/>
          </w:tcPr>
          <w:p w14:paraId="5CE85817" w14:textId="77777777" w:rsidR="00000000" w:rsidRDefault="002F725F">
            <w:pPr>
              <w:rPr>
                <w:rFonts w:eastAsia="Times New Roman"/>
                <w:sz w:val="20"/>
                <w:szCs w:val="20"/>
              </w:rPr>
            </w:pPr>
            <w:r>
              <w:rPr>
                <w:rFonts w:eastAsia="Times New Roman"/>
                <w:sz w:val="20"/>
                <w:szCs w:val="20"/>
              </w:rPr>
              <w:t>●</w:t>
            </w:r>
          </w:p>
        </w:tc>
        <w:tc>
          <w:tcPr>
            <w:tcW w:w="0" w:type="auto"/>
            <w:hideMark/>
          </w:tcPr>
          <w:p w14:paraId="58884864" w14:textId="77777777" w:rsidR="00000000" w:rsidRDefault="002F725F">
            <w:pPr>
              <w:jc w:val="both"/>
              <w:rPr>
                <w:rFonts w:eastAsia="Times New Roman"/>
                <w:sz w:val="20"/>
                <w:szCs w:val="20"/>
              </w:rPr>
            </w:pPr>
            <w:r>
              <w:rPr>
                <w:rFonts w:eastAsia="Times New Roman"/>
                <w:sz w:val="20"/>
                <w:szCs w:val="20"/>
              </w:rPr>
              <w:t>Relied upon the accuracy, completeness, and fair presentation of all information, data, advice, opinions and representations obtained from public sources or provided to it from pri</w:t>
            </w:r>
            <w:r>
              <w:rPr>
                <w:rFonts w:eastAsia="Times New Roman"/>
                <w:sz w:val="20"/>
                <w:szCs w:val="20"/>
              </w:rPr>
              <w:t>vate sources, including the management of the Company, and did not independently verify such information;</w:t>
            </w:r>
          </w:p>
        </w:tc>
      </w:tr>
    </w:tbl>
    <w:p w14:paraId="6DE02C02"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CA113DF" w14:textId="77777777">
        <w:trPr>
          <w:divId w:val="415980837"/>
          <w:tblCellSpacing w:w="0" w:type="dxa"/>
        </w:trPr>
        <w:tc>
          <w:tcPr>
            <w:tcW w:w="720" w:type="dxa"/>
            <w:hideMark/>
          </w:tcPr>
          <w:p w14:paraId="4C052C02" w14:textId="77777777" w:rsidR="00000000" w:rsidRDefault="002F725F">
            <w:pPr>
              <w:rPr>
                <w:rFonts w:eastAsia="Times New Roman"/>
                <w:sz w:val="20"/>
                <w:szCs w:val="20"/>
              </w:rPr>
            </w:pPr>
            <w:r>
              <w:rPr>
                <w:rFonts w:eastAsia="Times New Roman"/>
                <w:sz w:val="20"/>
                <w:szCs w:val="20"/>
              </w:rPr>
              <w:t> </w:t>
            </w:r>
          </w:p>
        </w:tc>
        <w:tc>
          <w:tcPr>
            <w:tcW w:w="360" w:type="dxa"/>
            <w:hideMark/>
          </w:tcPr>
          <w:p w14:paraId="7D761620" w14:textId="77777777" w:rsidR="00000000" w:rsidRDefault="002F725F">
            <w:pPr>
              <w:rPr>
                <w:rFonts w:eastAsia="Times New Roman"/>
                <w:sz w:val="20"/>
                <w:szCs w:val="20"/>
              </w:rPr>
            </w:pPr>
            <w:r>
              <w:rPr>
                <w:rFonts w:eastAsia="Times New Roman"/>
                <w:sz w:val="20"/>
                <w:szCs w:val="20"/>
              </w:rPr>
              <w:t>●</w:t>
            </w:r>
          </w:p>
        </w:tc>
        <w:tc>
          <w:tcPr>
            <w:tcW w:w="0" w:type="auto"/>
            <w:hideMark/>
          </w:tcPr>
          <w:p w14:paraId="363BBBD1" w14:textId="77777777" w:rsidR="00000000" w:rsidRDefault="002F725F">
            <w:pPr>
              <w:jc w:val="both"/>
              <w:rPr>
                <w:rFonts w:eastAsia="Times New Roman"/>
                <w:sz w:val="20"/>
                <w:szCs w:val="20"/>
              </w:rPr>
            </w:pPr>
            <w:r>
              <w:rPr>
                <w:rFonts w:eastAsia="Times New Roman"/>
                <w:sz w:val="20"/>
                <w:szCs w:val="20"/>
              </w:rPr>
              <w:t>Relied upon the fact that the Special Committee, the Board and the Company have been advised by counsel as to all legal matters with respect to the Merger, including whether all procedures required by law to be taken in connection with the Merger have been</w:t>
            </w:r>
            <w:r>
              <w:rPr>
                <w:rFonts w:eastAsia="Times New Roman"/>
                <w:sz w:val="20"/>
                <w:szCs w:val="20"/>
              </w:rPr>
              <w:t xml:space="preserve"> duly, validly and timely taken, and did not independently verify such information;</w:t>
            </w:r>
          </w:p>
        </w:tc>
      </w:tr>
    </w:tbl>
    <w:p w14:paraId="3A842EC6"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EA1A110" w14:textId="77777777">
        <w:trPr>
          <w:divId w:val="415980837"/>
          <w:tblCellSpacing w:w="0" w:type="dxa"/>
        </w:trPr>
        <w:tc>
          <w:tcPr>
            <w:tcW w:w="720" w:type="dxa"/>
            <w:hideMark/>
          </w:tcPr>
          <w:p w14:paraId="7C0336D2" w14:textId="77777777" w:rsidR="00000000" w:rsidRDefault="002F725F">
            <w:pPr>
              <w:rPr>
                <w:rFonts w:eastAsia="Times New Roman"/>
                <w:sz w:val="20"/>
                <w:szCs w:val="20"/>
              </w:rPr>
            </w:pPr>
            <w:r>
              <w:rPr>
                <w:rFonts w:eastAsia="Times New Roman"/>
                <w:sz w:val="20"/>
                <w:szCs w:val="20"/>
              </w:rPr>
              <w:t> </w:t>
            </w:r>
          </w:p>
        </w:tc>
        <w:tc>
          <w:tcPr>
            <w:tcW w:w="360" w:type="dxa"/>
            <w:hideMark/>
          </w:tcPr>
          <w:p w14:paraId="225B0EC7" w14:textId="77777777" w:rsidR="00000000" w:rsidRDefault="002F725F">
            <w:pPr>
              <w:rPr>
                <w:rFonts w:eastAsia="Times New Roman"/>
                <w:sz w:val="20"/>
                <w:szCs w:val="20"/>
              </w:rPr>
            </w:pPr>
            <w:r>
              <w:rPr>
                <w:rFonts w:eastAsia="Times New Roman"/>
                <w:sz w:val="20"/>
                <w:szCs w:val="20"/>
              </w:rPr>
              <w:t>●</w:t>
            </w:r>
          </w:p>
        </w:tc>
        <w:tc>
          <w:tcPr>
            <w:tcW w:w="0" w:type="auto"/>
            <w:hideMark/>
          </w:tcPr>
          <w:p w14:paraId="1A529EC5" w14:textId="77777777" w:rsidR="00000000" w:rsidRDefault="002F725F">
            <w:pPr>
              <w:jc w:val="both"/>
              <w:rPr>
                <w:rFonts w:eastAsia="Times New Roman"/>
                <w:sz w:val="20"/>
                <w:szCs w:val="20"/>
              </w:rPr>
            </w:pPr>
            <w:r>
              <w:rPr>
                <w:rFonts w:eastAsia="Times New Roman"/>
                <w:sz w:val="20"/>
                <w:szCs w:val="20"/>
              </w:rPr>
              <w:t>Assumed that the Management Projections and any other estimates, evaluations, forecasts and projections furnished to Duff &amp; Phelps were reasonably prepared and based</w:t>
            </w:r>
            <w:r>
              <w:rPr>
                <w:rFonts w:eastAsia="Times New Roman"/>
                <w:sz w:val="20"/>
                <w:szCs w:val="20"/>
              </w:rPr>
              <w:t xml:space="preserve"> upon the best currently available information and good faith judgment of the person(s) furnishing the same, and Duff &amp; Phelps expresses no opinion with respect to such estimates, evaluations, forecasts or projections, including, without limitation, the Ma</w:t>
            </w:r>
            <w:r>
              <w:rPr>
                <w:rFonts w:eastAsia="Times New Roman"/>
                <w:sz w:val="20"/>
                <w:szCs w:val="20"/>
              </w:rPr>
              <w:t>nagement Projections, or the underlying assumptions thereof;</w:t>
            </w:r>
          </w:p>
        </w:tc>
      </w:tr>
    </w:tbl>
    <w:p w14:paraId="49ACD72D"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457A4DE" w14:textId="77777777">
        <w:trPr>
          <w:divId w:val="415980837"/>
          <w:tblCellSpacing w:w="0" w:type="dxa"/>
        </w:trPr>
        <w:tc>
          <w:tcPr>
            <w:tcW w:w="720" w:type="dxa"/>
            <w:hideMark/>
          </w:tcPr>
          <w:p w14:paraId="06C7B6A3" w14:textId="77777777" w:rsidR="00000000" w:rsidRDefault="002F725F">
            <w:pPr>
              <w:rPr>
                <w:rFonts w:eastAsia="Times New Roman"/>
                <w:sz w:val="20"/>
                <w:szCs w:val="20"/>
              </w:rPr>
            </w:pPr>
            <w:r>
              <w:rPr>
                <w:rFonts w:eastAsia="Times New Roman"/>
                <w:sz w:val="20"/>
                <w:szCs w:val="20"/>
              </w:rPr>
              <w:t> </w:t>
            </w:r>
          </w:p>
        </w:tc>
        <w:tc>
          <w:tcPr>
            <w:tcW w:w="360" w:type="dxa"/>
            <w:hideMark/>
          </w:tcPr>
          <w:p w14:paraId="36B64429" w14:textId="77777777" w:rsidR="00000000" w:rsidRDefault="002F725F">
            <w:pPr>
              <w:rPr>
                <w:rFonts w:eastAsia="Times New Roman"/>
                <w:sz w:val="20"/>
                <w:szCs w:val="20"/>
              </w:rPr>
            </w:pPr>
            <w:r>
              <w:rPr>
                <w:rFonts w:eastAsia="Times New Roman"/>
                <w:sz w:val="20"/>
                <w:szCs w:val="20"/>
              </w:rPr>
              <w:t>●</w:t>
            </w:r>
          </w:p>
        </w:tc>
        <w:tc>
          <w:tcPr>
            <w:tcW w:w="0" w:type="auto"/>
            <w:hideMark/>
          </w:tcPr>
          <w:p w14:paraId="0961B489" w14:textId="77777777" w:rsidR="00000000" w:rsidRDefault="002F725F">
            <w:pPr>
              <w:jc w:val="both"/>
              <w:rPr>
                <w:rFonts w:eastAsia="Times New Roman"/>
                <w:sz w:val="20"/>
                <w:szCs w:val="20"/>
              </w:rPr>
            </w:pPr>
            <w:r>
              <w:rPr>
                <w:rFonts w:eastAsia="Times New Roman"/>
                <w:sz w:val="20"/>
                <w:szCs w:val="20"/>
              </w:rPr>
              <w:t>Assumed that information supplied and representations made by the management of the Company are substantially accurate regarding the Company and the Merger;</w:t>
            </w:r>
          </w:p>
        </w:tc>
      </w:tr>
    </w:tbl>
    <w:p w14:paraId="315C9BDC"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p w14:paraId="48D41E23" w14:textId="77777777" w:rsidR="00000000" w:rsidRDefault="002F725F">
      <w:pPr>
        <w:pStyle w:val="NormalWeb"/>
        <w:spacing w:before="0" w:beforeAutospacing="0" w:after="0" w:afterAutospacing="0"/>
        <w:jc w:val="center"/>
        <w:divId w:val="470294657"/>
        <w:rPr>
          <w:sz w:val="20"/>
          <w:szCs w:val="20"/>
        </w:rPr>
      </w:pPr>
      <w:r>
        <w:rPr>
          <w:sz w:val="20"/>
          <w:szCs w:val="20"/>
        </w:rPr>
        <w:t>4</w:t>
      </w:r>
      <w:r>
        <w:rPr>
          <w:sz w:val="20"/>
          <w:szCs w:val="20"/>
        </w:rPr>
        <w:t>9</w:t>
      </w:r>
    </w:p>
    <w:p w14:paraId="0C950F0B" w14:textId="77777777" w:rsidR="00000000" w:rsidRDefault="002F725F">
      <w:pPr>
        <w:pStyle w:val="NormalWeb"/>
        <w:spacing w:before="0" w:beforeAutospacing="0" w:after="0" w:afterAutospacing="0"/>
        <w:divId w:val="77142377"/>
        <w:rPr>
          <w:sz w:val="20"/>
          <w:szCs w:val="20"/>
        </w:rPr>
      </w:pPr>
      <w:r>
        <w:rPr>
          <w:sz w:val="20"/>
          <w:szCs w:val="20"/>
        </w:rPr>
        <w:t> </w:t>
      </w:r>
    </w:p>
    <w:p w14:paraId="4D6EC2CE"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8A165E2" w14:textId="77777777">
        <w:trPr>
          <w:divId w:val="415980837"/>
          <w:tblCellSpacing w:w="0" w:type="dxa"/>
        </w:trPr>
        <w:tc>
          <w:tcPr>
            <w:tcW w:w="720" w:type="dxa"/>
            <w:hideMark/>
          </w:tcPr>
          <w:p w14:paraId="2D344050" w14:textId="77777777" w:rsidR="00000000" w:rsidRDefault="002F725F">
            <w:pPr>
              <w:rPr>
                <w:rFonts w:eastAsia="Times New Roman"/>
                <w:sz w:val="20"/>
                <w:szCs w:val="20"/>
              </w:rPr>
            </w:pPr>
            <w:r>
              <w:rPr>
                <w:rFonts w:eastAsia="Times New Roman"/>
                <w:sz w:val="20"/>
                <w:szCs w:val="20"/>
              </w:rPr>
              <w:t> </w:t>
            </w:r>
          </w:p>
        </w:tc>
        <w:tc>
          <w:tcPr>
            <w:tcW w:w="360" w:type="dxa"/>
            <w:hideMark/>
          </w:tcPr>
          <w:p w14:paraId="489410FB" w14:textId="77777777" w:rsidR="00000000" w:rsidRDefault="002F725F">
            <w:pPr>
              <w:rPr>
                <w:rFonts w:eastAsia="Times New Roman"/>
                <w:sz w:val="20"/>
                <w:szCs w:val="20"/>
              </w:rPr>
            </w:pPr>
            <w:r>
              <w:rPr>
                <w:rFonts w:eastAsia="Times New Roman"/>
                <w:sz w:val="20"/>
                <w:szCs w:val="20"/>
              </w:rPr>
              <w:t>●</w:t>
            </w:r>
          </w:p>
        </w:tc>
        <w:tc>
          <w:tcPr>
            <w:tcW w:w="0" w:type="auto"/>
            <w:hideMark/>
          </w:tcPr>
          <w:p w14:paraId="735C57CE" w14:textId="77777777" w:rsidR="00000000" w:rsidRDefault="002F725F">
            <w:pPr>
              <w:jc w:val="both"/>
              <w:rPr>
                <w:rFonts w:eastAsia="Times New Roman"/>
                <w:sz w:val="20"/>
                <w:szCs w:val="20"/>
              </w:rPr>
            </w:pPr>
            <w:r>
              <w:rPr>
                <w:rFonts w:eastAsia="Times New Roman"/>
                <w:sz w:val="20"/>
                <w:szCs w:val="20"/>
              </w:rPr>
              <w:t>Assumed that the representations and warranties made in the Merger Agreement and the Management Representation Letter are substantially accurate;</w:t>
            </w:r>
          </w:p>
        </w:tc>
      </w:tr>
    </w:tbl>
    <w:p w14:paraId="22CE663F"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712A92B" w14:textId="77777777">
        <w:trPr>
          <w:divId w:val="415980837"/>
          <w:tblCellSpacing w:w="0" w:type="dxa"/>
        </w:trPr>
        <w:tc>
          <w:tcPr>
            <w:tcW w:w="720" w:type="dxa"/>
            <w:hideMark/>
          </w:tcPr>
          <w:p w14:paraId="63353BE0" w14:textId="77777777" w:rsidR="00000000" w:rsidRDefault="002F725F">
            <w:pPr>
              <w:rPr>
                <w:rFonts w:eastAsia="Times New Roman"/>
                <w:sz w:val="20"/>
                <w:szCs w:val="20"/>
              </w:rPr>
            </w:pPr>
            <w:r>
              <w:rPr>
                <w:rFonts w:eastAsia="Times New Roman"/>
                <w:sz w:val="20"/>
                <w:szCs w:val="20"/>
              </w:rPr>
              <w:t> </w:t>
            </w:r>
          </w:p>
        </w:tc>
        <w:tc>
          <w:tcPr>
            <w:tcW w:w="360" w:type="dxa"/>
            <w:hideMark/>
          </w:tcPr>
          <w:p w14:paraId="0C46FB09" w14:textId="77777777" w:rsidR="00000000" w:rsidRDefault="002F725F">
            <w:pPr>
              <w:rPr>
                <w:rFonts w:eastAsia="Times New Roman"/>
                <w:sz w:val="20"/>
                <w:szCs w:val="20"/>
              </w:rPr>
            </w:pPr>
            <w:r>
              <w:rPr>
                <w:rFonts w:eastAsia="Times New Roman"/>
                <w:sz w:val="20"/>
                <w:szCs w:val="20"/>
              </w:rPr>
              <w:t>●</w:t>
            </w:r>
          </w:p>
        </w:tc>
        <w:tc>
          <w:tcPr>
            <w:tcW w:w="0" w:type="auto"/>
            <w:hideMark/>
          </w:tcPr>
          <w:p w14:paraId="1A194903" w14:textId="77777777" w:rsidR="00000000" w:rsidRDefault="002F725F">
            <w:pPr>
              <w:jc w:val="both"/>
              <w:rPr>
                <w:rFonts w:eastAsia="Times New Roman"/>
                <w:sz w:val="20"/>
                <w:szCs w:val="20"/>
              </w:rPr>
            </w:pPr>
            <w:r>
              <w:rPr>
                <w:rFonts w:eastAsia="Times New Roman"/>
                <w:sz w:val="20"/>
                <w:szCs w:val="20"/>
              </w:rPr>
              <w:t>Assumed that the final versions of all documents reviewed by Duff &amp; Phelps in draft form conform in all</w:t>
            </w:r>
            <w:r>
              <w:rPr>
                <w:rFonts w:eastAsia="Times New Roman"/>
                <w:sz w:val="20"/>
                <w:szCs w:val="20"/>
              </w:rPr>
              <w:t xml:space="preserve"> material respects to the drafts reviewed;</w:t>
            </w:r>
          </w:p>
        </w:tc>
      </w:tr>
    </w:tbl>
    <w:p w14:paraId="01F0AF7D"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3DB0586" w14:textId="77777777">
        <w:trPr>
          <w:divId w:val="415980837"/>
          <w:tblCellSpacing w:w="0" w:type="dxa"/>
        </w:trPr>
        <w:tc>
          <w:tcPr>
            <w:tcW w:w="720" w:type="dxa"/>
            <w:hideMark/>
          </w:tcPr>
          <w:p w14:paraId="09891239" w14:textId="77777777" w:rsidR="00000000" w:rsidRDefault="002F725F">
            <w:pPr>
              <w:rPr>
                <w:rFonts w:eastAsia="Times New Roman"/>
                <w:sz w:val="20"/>
                <w:szCs w:val="20"/>
              </w:rPr>
            </w:pPr>
            <w:r>
              <w:rPr>
                <w:rFonts w:eastAsia="Times New Roman"/>
                <w:sz w:val="20"/>
                <w:szCs w:val="20"/>
              </w:rPr>
              <w:t> </w:t>
            </w:r>
          </w:p>
        </w:tc>
        <w:tc>
          <w:tcPr>
            <w:tcW w:w="360" w:type="dxa"/>
            <w:hideMark/>
          </w:tcPr>
          <w:p w14:paraId="6A8CD6F2" w14:textId="77777777" w:rsidR="00000000" w:rsidRDefault="002F725F">
            <w:pPr>
              <w:rPr>
                <w:rFonts w:eastAsia="Times New Roman"/>
                <w:sz w:val="20"/>
                <w:szCs w:val="20"/>
              </w:rPr>
            </w:pPr>
            <w:r>
              <w:rPr>
                <w:rFonts w:eastAsia="Times New Roman"/>
                <w:sz w:val="20"/>
                <w:szCs w:val="20"/>
              </w:rPr>
              <w:t>●</w:t>
            </w:r>
          </w:p>
        </w:tc>
        <w:tc>
          <w:tcPr>
            <w:tcW w:w="0" w:type="auto"/>
            <w:hideMark/>
          </w:tcPr>
          <w:p w14:paraId="381EE243" w14:textId="77777777" w:rsidR="00000000" w:rsidRDefault="002F725F">
            <w:pPr>
              <w:jc w:val="both"/>
              <w:rPr>
                <w:rFonts w:eastAsia="Times New Roman"/>
                <w:sz w:val="20"/>
                <w:szCs w:val="20"/>
              </w:rPr>
            </w:pPr>
            <w:r>
              <w:rPr>
                <w:rFonts w:eastAsia="Times New Roman"/>
                <w:sz w:val="20"/>
                <w:szCs w:val="20"/>
              </w:rPr>
              <w:t>Assumed that there has been no material change in the assets, liabilities (contingent or otherwise), financial condition, results of operations, business, or prospects of the Company since the date of the most recent financial statements and other informat</w:t>
            </w:r>
            <w:r>
              <w:rPr>
                <w:rFonts w:eastAsia="Times New Roman"/>
                <w:sz w:val="20"/>
                <w:szCs w:val="20"/>
              </w:rPr>
              <w:t>ion made available to Duff &amp; Phelps, and that there is no information or facts that would make the information reviewed by Duff &amp; Phelps incomplete or misleading;</w:t>
            </w:r>
          </w:p>
        </w:tc>
      </w:tr>
    </w:tbl>
    <w:p w14:paraId="546FAFB5"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A2CAA6C" w14:textId="77777777">
        <w:trPr>
          <w:divId w:val="415980837"/>
          <w:tblCellSpacing w:w="0" w:type="dxa"/>
        </w:trPr>
        <w:tc>
          <w:tcPr>
            <w:tcW w:w="720" w:type="dxa"/>
            <w:hideMark/>
          </w:tcPr>
          <w:p w14:paraId="5BB49E46" w14:textId="77777777" w:rsidR="00000000" w:rsidRDefault="002F725F">
            <w:pPr>
              <w:rPr>
                <w:rFonts w:eastAsia="Times New Roman"/>
                <w:sz w:val="20"/>
                <w:szCs w:val="20"/>
              </w:rPr>
            </w:pPr>
            <w:r>
              <w:rPr>
                <w:rFonts w:eastAsia="Times New Roman"/>
                <w:sz w:val="20"/>
                <w:szCs w:val="20"/>
              </w:rPr>
              <w:t> </w:t>
            </w:r>
          </w:p>
        </w:tc>
        <w:tc>
          <w:tcPr>
            <w:tcW w:w="360" w:type="dxa"/>
            <w:hideMark/>
          </w:tcPr>
          <w:p w14:paraId="3B28D65F" w14:textId="77777777" w:rsidR="00000000" w:rsidRDefault="002F725F">
            <w:pPr>
              <w:rPr>
                <w:rFonts w:eastAsia="Times New Roman"/>
                <w:sz w:val="20"/>
                <w:szCs w:val="20"/>
              </w:rPr>
            </w:pPr>
            <w:r>
              <w:rPr>
                <w:rFonts w:eastAsia="Times New Roman"/>
                <w:sz w:val="20"/>
                <w:szCs w:val="20"/>
              </w:rPr>
              <w:t>●</w:t>
            </w:r>
          </w:p>
        </w:tc>
        <w:tc>
          <w:tcPr>
            <w:tcW w:w="0" w:type="auto"/>
            <w:hideMark/>
          </w:tcPr>
          <w:p w14:paraId="28B4C66A" w14:textId="77777777" w:rsidR="00000000" w:rsidRDefault="002F725F">
            <w:pPr>
              <w:jc w:val="both"/>
              <w:rPr>
                <w:rFonts w:eastAsia="Times New Roman"/>
                <w:sz w:val="20"/>
                <w:szCs w:val="20"/>
              </w:rPr>
            </w:pPr>
            <w:r>
              <w:rPr>
                <w:rFonts w:eastAsia="Times New Roman"/>
                <w:sz w:val="20"/>
                <w:szCs w:val="20"/>
              </w:rPr>
              <w:t xml:space="preserve">Assumed that all of the conditions required to implement the Merger will be satisfied </w:t>
            </w:r>
            <w:r>
              <w:rPr>
                <w:rFonts w:eastAsia="Times New Roman"/>
                <w:sz w:val="20"/>
                <w:szCs w:val="20"/>
              </w:rPr>
              <w:t>and that the Merger will be completed in accordance with the Merger Agreement without any amendments thereto or any waivers of any terms or conditions thereof;</w:t>
            </w:r>
          </w:p>
        </w:tc>
      </w:tr>
    </w:tbl>
    <w:p w14:paraId="5E92C9DF"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FB3484F" w14:textId="77777777">
        <w:trPr>
          <w:divId w:val="415980837"/>
          <w:tblCellSpacing w:w="0" w:type="dxa"/>
        </w:trPr>
        <w:tc>
          <w:tcPr>
            <w:tcW w:w="720" w:type="dxa"/>
            <w:hideMark/>
          </w:tcPr>
          <w:p w14:paraId="40576BA5" w14:textId="77777777" w:rsidR="00000000" w:rsidRDefault="002F725F">
            <w:pPr>
              <w:rPr>
                <w:rFonts w:eastAsia="Times New Roman"/>
                <w:sz w:val="20"/>
                <w:szCs w:val="20"/>
              </w:rPr>
            </w:pPr>
            <w:r>
              <w:rPr>
                <w:rFonts w:eastAsia="Times New Roman"/>
                <w:sz w:val="20"/>
                <w:szCs w:val="20"/>
              </w:rPr>
              <w:t> </w:t>
            </w:r>
          </w:p>
        </w:tc>
        <w:tc>
          <w:tcPr>
            <w:tcW w:w="360" w:type="dxa"/>
            <w:hideMark/>
          </w:tcPr>
          <w:p w14:paraId="74C9678A" w14:textId="77777777" w:rsidR="00000000" w:rsidRDefault="002F725F">
            <w:pPr>
              <w:rPr>
                <w:rFonts w:eastAsia="Times New Roman"/>
                <w:sz w:val="20"/>
                <w:szCs w:val="20"/>
              </w:rPr>
            </w:pPr>
            <w:r>
              <w:rPr>
                <w:rFonts w:eastAsia="Times New Roman"/>
                <w:sz w:val="20"/>
                <w:szCs w:val="20"/>
              </w:rPr>
              <w:t>●</w:t>
            </w:r>
          </w:p>
        </w:tc>
        <w:tc>
          <w:tcPr>
            <w:tcW w:w="0" w:type="auto"/>
            <w:hideMark/>
          </w:tcPr>
          <w:p w14:paraId="6D9607B9" w14:textId="77777777" w:rsidR="00000000" w:rsidRDefault="002F725F">
            <w:pPr>
              <w:jc w:val="both"/>
              <w:rPr>
                <w:rFonts w:eastAsia="Times New Roman"/>
                <w:sz w:val="20"/>
                <w:szCs w:val="20"/>
              </w:rPr>
            </w:pPr>
            <w:r>
              <w:rPr>
                <w:rFonts w:eastAsia="Times New Roman"/>
                <w:sz w:val="20"/>
                <w:szCs w:val="20"/>
              </w:rPr>
              <w:t>Assumed that all governmental, regulatory or other consents and approvals necessary for the consummation of the Merger will be obtained without any adverse effect on the Company or the contemplated benefits expected to be derived in the Merger; and</w:t>
            </w:r>
          </w:p>
        </w:tc>
      </w:tr>
    </w:tbl>
    <w:p w14:paraId="0BE9BB2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053D4B8" w14:textId="77777777">
        <w:trPr>
          <w:divId w:val="415980837"/>
          <w:tblCellSpacing w:w="0" w:type="dxa"/>
        </w:trPr>
        <w:tc>
          <w:tcPr>
            <w:tcW w:w="720" w:type="dxa"/>
            <w:hideMark/>
          </w:tcPr>
          <w:p w14:paraId="20BE2A81" w14:textId="77777777" w:rsidR="00000000" w:rsidRDefault="002F725F">
            <w:pPr>
              <w:rPr>
                <w:rFonts w:eastAsia="Times New Roman"/>
                <w:sz w:val="20"/>
                <w:szCs w:val="20"/>
              </w:rPr>
            </w:pPr>
            <w:r>
              <w:rPr>
                <w:rFonts w:eastAsia="Times New Roman"/>
                <w:sz w:val="20"/>
                <w:szCs w:val="20"/>
              </w:rPr>
              <w:t> </w:t>
            </w:r>
          </w:p>
        </w:tc>
        <w:tc>
          <w:tcPr>
            <w:tcW w:w="360" w:type="dxa"/>
            <w:hideMark/>
          </w:tcPr>
          <w:p w14:paraId="3A714E16" w14:textId="77777777" w:rsidR="00000000" w:rsidRDefault="002F725F">
            <w:pPr>
              <w:rPr>
                <w:rFonts w:eastAsia="Times New Roman"/>
                <w:sz w:val="20"/>
                <w:szCs w:val="20"/>
              </w:rPr>
            </w:pPr>
            <w:r>
              <w:rPr>
                <w:rFonts w:eastAsia="Times New Roman"/>
                <w:sz w:val="20"/>
                <w:szCs w:val="20"/>
              </w:rPr>
              <w:t>●</w:t>
            </w:r>
          </w:p>
        </w:tc>
        <w:tc>
          <w:tcPr>
            <w:tcW w:w="0" w:type="auto"/>
            <w:hideMark/>
          </w:tcPr>
          <w:p w14:paraId="27CD76D0" w14:textId="77777777" w:rsidR="00000000" w:rsidRDefault="002F725F">
            <w:pPr>
              <w:jc w:val="both"/>
              <w:rPr>
                <w:rFonts w:eastAsia="Times New Roman"/>
                <w:sz w:val="20"/>
                <w:szCs w:val="20"/>
              </w:rPr>
            </w:pPr>
            <w:r>
              <w:rPr>
                <w:rFonts w:eastAsia="Times New Roman"/>
                <w:sz w:val="20"/>
                <w:szCs w:val="20"/>
              </w:rPr>
              <w:t>Assumed that the aggregate financial liabilities of approximately RMB576,500,000 resulting from the Awards and any liabilities, losses or damages incurred by the Company or any of its subsidiaries therefrom are final, conclusive and binding on the Company,</w:t>
            </w:r>
            <w:r>
              <w:rPr>
                <w:rFonts w:eastAsia="Times New Roman"/>
                <w:sz w:val="20"/>
                <w:szCs w:val="20"/>
              </w:rPr>
              <w:t xml:space="preserve"> notwithstanding any Legal Proceeding (as </w:t>
            </w:r>
            <w:r>
              <w:rPr>
                <w:rFonts w:eastAsia="Times New Roman"/>
                <w:sz w:val="20"/>
                <w:szCs w:val="20"/>
              </w:rPr>
              <w:lastRenderedPageBreak/>
              <w:t>defined in the Merger Agreement) seeking to enforce, recognize, challenge, vacate, modify, dispute, or otherwise give effect to such Awards.</w:t>
            </w:r>
          </w:p>
        </w:tc>
      </w:tr>
    </w:tbl>
    <w:p w14:paraId="7B14516F"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p w14:paraId="5585112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To the extent that any of the foregoing assumptions or any of the fact</w:t>
      </w:r>
      <w:r>
        <w:rPr>
          <w:sz w:val="20"/>
          <w:szCs w:val="20"/>
        </w:rPr>
        <w:t>s on which Duff &amp; Phelps’ opinion is based prove to be untrue in any material respect, Duff &amp; Phelps’ opinion cannot and should not be relied upon. Furthermore, in Duff &amp; Phelps’ analysis and in connection with the preparation of its opinion, Duff &amp; Phelps</w:t>
      </w:r>
      <w:r>
        <w:rPr>
          <w:sz w:val="20"/>
          <w:szCs w:val="20"/>
        </w:rPr>
        <w:t xml:space="preserve"> has made numerous assumptions with respect to industry performance, general business, market and economic conditions and other matters, many of which are beyond the control of any party involved in the Merger.</w:t>
      </w:r>
    </w:p>
    <w:p w14:paraId="6CF0BCF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A8D625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has prepared its opinion effe</w:t>
      </w:r>
      <w:r>
        <w:rPr>
          <w:sz w:val="20"/>
          <w:szCs w:val="20"/>
        </w:rPr>
        <w:t>ctive as of April 28, 2026. Its opinion was necessarily based upon market, economic, financial and other conditions as they exist and can be evaluated as of April 28, 2026, and Duff &amp; Phelps disclaims any undertaking or obligation to advise any person of a</w:t>
      </w:r>
      <w:r>
        <w:rPr>
          <w:sz w:val="20"/>
          <w:szCs w:val="20"/>
        </w:rPr>
        <w:t>ny change in any fact or matter affecting its opinion which may come or be brought to the attention of Duff &amp; Phelps after April 28, 2026.</w:t>
      </w:r>
    </w:p>
    <w:p w14:paraId="4D024F97"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6CB41F3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did not evaluate the Company’s solvency or conduct an independent appraisal or physical inspection of</w:t>
      </w:r>
      <w:r>
        <w:rPr>
          <w:sz w:val="20"/>
          <w:szCs w:val="20"/>
        </w:rPr>
        <w:t xml:space="preserve"> any specific assets or liabilities (contingent or otherwise). Duff &amp; Phelps has not been requested to, and did not, (i) initiate any discussions with, or solicit any indications of interest from, third parties with respect to the Merger, the assets, busin</w:t>
      </w:r>
      <w:r>
        <w:rPr>
          <w:sz w:val="20"/>
          <w:szCs w:val="20"/>
        </w:rPr>
        <w:t>esses or operations of the Company, or any alternatives to the Merger, (ii) negotiate the terms of the Merger, and therefore, Duff &amp; Phelps has assumed that such terms are the most beneficial terms, from the Company’s perspective, that could, under the cir</w:t>
      </w:r>
      <w:r>
        <w:rPr>
          <w:sz w:val="20"/>
          <w:szCs w:val="20"/>
        </w:rPr>
        <w:t>cumstances, be negotiated among the parties to the Merger Agreement and the Merger, or (iii) advise the Special Committee or any other party with respect to alternatives to the Merger. Duff &amp; Phelps did not undertake an independent analysis of any potentia</w:t>
      </w:r>
      <w:r>
        <w:rPr>
          <w:sz w:val="20"/>
          <w:szCs w:val="20"/>
        </w:rPr>
        <w:t>l or actual litigation, regulatory action, possible unasserted claims or other contingent liabilities, to which the Company is or may be a party or is or may be subject, or of any governmental investigation of any possible unasserted claims or other contin</w:t>
      </w:r>
      <w:r>
        <w:rPr>
          <w:sz w:val="20"/>
          <w:szCs w:val="20"/>
        </w:rPr>
        <w:t>gent liabilities to which the Company is or may be a party or is or may be subject.</w:t>
      </w:r>
    </w:p>
    <w:p w14:paraId="551F104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3C102D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is not expressing any opinion as to the market price or value of the Company’s Shares (or anything else) prior to or after the announcement or the consummat</w:t>
      </w:r>
      <w:r>
        <w:rPr>
          <w:sz w:val="20"/>
          <w:szCs w:val="20"/>
        </w:rPr>
        <w:t>ion of the Merger. Duff &amp; Phelps’ opinion should not be construed as a valuation opinion, credit rating, solvency opinion, an analysis of the Company’s credit worthiness, as tax advice, or as accounting advice. Duff &amp; Phelps has not made, and assumes no re</w:t>
      </w:r>
      <w:r>
        <w:rPr>
          <w:sz w:val="20"/>
          <w:szCs w:val="20"/>
        </w:rPr>
        <w:t>sponsibility to make, any representation, or render any opinion, as to any legal matter.</w:t>
      </w:r>
    </w:p>
    <w:p w14:paraId="3E9598D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C1446B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In rendering its opinion, Duff &amp; Phelps was not expressing any opinion with respect to the amount or nature of any compensation to any of the Company’s officers, dir</w:t>
      </w:r>
      <w:r>
        <w:rPr>
          <w:sz w:val="20"/>
          <w:szCs w:val="20"/>
        </w:rPr>
        <w:t>ectors, or employees, or any class of such persons, relative to the Per Share Merger Consideration, or with respect to the fairness of any such compensation.</w:t>
      </w:r>
    </w:p>
    <w:p w14:paraId="00E8DA0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0021831" w14:textId="77777777" w:rsidR="00000000" w:rsidRDefault="002F725F">
      <w:pPr>
        <w:pStyle w:val="NormalWeb"/>
        <w:spacing w:before="0" w:beforeAutospacing="0" w:after="0" w:afterAutospacing="0"/>
        <w:jc w:val="center"/>
        <w:divId w:val="1183588340"/>
        <w:rPr>
          <w:sz w:val="20"/>
          <w:szCs w:val="20"/>
        </w:rPr>
      </w:pPr>
      <w:r>
        <w:rPr>
          <w:sz w:val="20"/>
          <w:szCs w:val="20"/>
        </w:rPr>
        <w:t>5</w:t>
      </w:r>
      <w:r>
        <w:rPr>
          <w:sz w:val="20"/>
          <w:szCs w:val="20"/>
        </w:rPr>
        <w:t>0</w:t>
      </w:r>
    </w:p>
    <w:p w14:paraId="6B66BFC1" w14:textId="77777777" w:rsidR="00000000" w:rsidRDefault="002F725F">
      <w:pPr>
        <w:pStyle w:val="NormalWeb"/>
        <w:spacing w:before="0" w:beforeAutospacing="0" w:after="0" w:afterAutospacing="0"/>
        <w:divId w:val="1710766012"/>
        <w:rPr>
          <w:sz w:val="20"/>
          <w:szCs w:val="20"/>
        </w:rPr>
      </w:pPr>
      <w:r>
        <w:rPr>
          <w:sz w:val="20"/>
          <w:szCs w:val="20"/>
        </w:rPr>
        <w:t> </w:t>
      </w:r>
    </w:p>
    <w:p w14:paraId="5FD73E0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F74015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Duff &amp; Phelps’ opinion </w:t>
      </w:r>
      <w:r>
        <w:rPr>
          <w:sz w:val="20"/>
          <w:szCs w:val="20"/>
        </w:rPr>
        <w:t>was furnished for the use and benefit of the Special Committee in connection with its consideration of the Merger. Duff &amp; Phelps’ opinion (i) does not address the merits of the underlying business decision to enter into the Merger versus any alternative st</w:t>
      </w:r>
      <w:r>
        <w:rPr>
          <w:sz w:val="20"/>
          <w:szCs w:val="20"/>
        </w:rPr>
        <w:t xml:space="preserve">rategy or transaction; (ii) does not address any transaction related to the Merger; (iii) is not a recommendation as to how the Special Committee, the Board or any other person (including security holders of the Company) should vote or act with respect to </w:t>
      </w:r>
      <w:r>
        <w:rPr>
          <w:sz w:val="20"/>
          <w:szCs w:val="20"/>
        </w:rPr>
        <w:t>any matters relating to the Merger, or whether to proceed with the Merger or any related transaction; and (iv) does not indicate that the Per Share Merger Consideration is the best possibly attainable under any circumstances; instead, it merely states whet</w:t>
      </w:r>
      <w:r>
        <w:rPr>
          <w:sz w:val="20"/>
          <w:szCs w:val="20"/>
        </w:rPr>
        <w:t>her the Per Share Merger Consideration in the Merger is within or above a range suggested by certain financial analyses. The decision as to whether to proceed with the Merger or any related transaction may depend on an assessment of factors unrelated to th</w:t>
      </w:r>
      <w:r>
        <w:rPr>
          <w:sz w:val="20"/>
          <w:szCs w:val="20"/>
        </w:rPr>
        <w:t>e financial analysis on which its opinion is based. Duff &amp; Phelps’ opinion should not be construed as creating any fiduciary duty on the part of Duff &amp; Phelps to any party.</w:t>
      </w:r>
    </w:p>
    <w:p w14:paraId="00643C2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0654E7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opinion is solely that of Duff &amp; Phelps, and Duff &amp; Phelps’ liabil</w:t>
      </w:r>
      <w:r>
        <w:rPr>
          <w:sz w:val="20"/>
          <w:szCs w:val="20"/>
        </w:rPr>
        <w:t xml:space="preserve">ity in connection with its opinion shall be limited in accordance with the terms set forth in the D&amp;P Engagement Letter. Duff &amp; Phelps’ opinion </w:t>
      </w:r>
      <w:r>
        <w:rPr>
          <w:sz w:val="20"/>
          <w:szCs w:val="20"/>
        </w:rPr>
        <w:lastRenderedPageBreak/>
        <w:t>is confidential, and its use and disclosure are strictly limited in accordance with the terms set forth in the D</w:t>
      </w:r>
      <w:r>
        <w:rPr>
          <w:sz w:val="20"/>
          <w:szCs w:val="20"/>
        </w:rPr>
        <w:t>&amp;P Engagement Letter.</w:t>
      </w:r>
    </w:p>
    <w:p w14:paraId="697FBC9D"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6473C0A7" w14:textId="77777777" w:rsidR="00000000" w:rsidRDefault="002F725F">
      <w:pPr>
        <w:pStyle w:val="NormalWeb"/>
        <w:spacing w:before="0" w:beforeAutospacing="0" w:after="0" w:afterAutospacing="0"/>
        <w:jc w:val="both"/>
        <w:divId w:val="415980837"/>
        <w:rPr>
          <w:sz w:val="20"/>
          <w:szCs w:val="20"/>
        </w:rPr>
      </w:pPr>
      <w:r>
        <w:rPr>
          <w:b/>
          <w:bCs/>
          <w:sz w:val="20"/>
          <w:szCs w:val="20"/>
        </w:rPr>
        <w:t>Summary of Financial Analysis</w:t>
      </w:r>
    </w:p>
    <w:p w14:paraId="47B2BCE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F05DBE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Set forth below is a summary of the material analyses performed by Duff &amp; Phelps in connection with the delivery of its opinion to the Special Committee. This summary is qualified in its entirety by r</w:t>
      </w:r>
      <w:r>
        <w:rPr>
          <w:sz w:val="20"/>
          <w:szCs w:val="20"/>
        </w:rPr>
        <w:t>eference to the full text of Duff &amp; Phelps’ opinion, attached hereto as Annex C. While this summary describes the analyses and factors that Duff &amp; Phelps deemed material in its presentation to the Special Committee, it is not a comprehensive description of</w:t>
      </w:r>
      <w:r>
        <w:rPr>
          <w:sz w:val="20"/>
          <w:szCs w:val="20"/>
        </w:rPr>
        <w:t xml:space="preserve"> all analyses and factors considered by Duff &amp; Phelps. The preparation of a fairness opinion is a complex process that involves various determinations as to the most appropriate and relevant methods of financial analysis and the application of these method</w:t>
      </w:r>
      <w:r>
        <w:rPr>
          <w:sz w:val="20"/>
          <w:szCs w:val="20"/>
        </w:rPr>
        <w:t>s to the particular circumstances. Therefore, a fairness opinion is not readily susceptible to partial analysis. In arriving at its opinion, Duff &amp; Phelps did not attribute any particular weight to any analysis or factor considered by it, but rather made q</w:t>
      </w:r>
      <w:r>
        <w:rPr>
          <w:sz w:val="20"/>
          <w:szCs w:val="20"/>
        </w:rPr>
        <w:t>ualitative judgments as to the significance and relevance of each analysis and factor. Accordingly, Duff &amp; Phelps believes that its analyses must be considered as a whole and that selecting portions of its analyses and of the factors considered by it in re</w:t>
      </w:r>
      <w:r>
        <w:rPr>
          <w:sz w:val="20"/>
          <w:szCs w:val="20"/>
        </w:rPr>
        <w:t xml:space="preserve">ndering the fairness opinion without considering all analyses and factors could create a misleading or incomplete view of the evaluation process underlying its opinion. The conclusion reached by Duff &amp; Phelps was based on all analyses and factors taken as </w:t>
      </w:r>
      <w:r>
        <w:rPr>
          <w:sz w:val="20"/>
          <w:szCs w:val="20"/>
        </w:rPr>
        <w:t>a whole, and also on the application of Duff &amp; Phelps’ own experience and judgment.</w:t>
      </w:r>
    </w:p>
    <w:p w14:paraId="0ED1518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F30AAF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financial analyses summarized below include information presented in tabular format. In order for Duff &amp; Phelps’ financial analyses to be fully understood, the tables</w:t>
      </w:r>
      <w:r>
        <w:rPr>
          <w:sz w:val="20"/>
          <w:szCs w:val="20"/>
        </w:rPr>
        <w:t xml:space="preserve"> must be read together with the text of each summary. The tables alone do not constitute a complete description of the financial analyses. Considering the data below without considering the full narrative description of the financial analyses, including th</w:t>
      </w:r>
      <w:r>
        <w:rPr>
          <w:sz w:val="20"/>
          <w:szCs w:val="20"/>
        </w:rPr>
        <w:t>e methodologies and assumptions underlying the analyses, could create a misleading or incomplete view of Duff &amp; Phelps’ financial analyses.</w:t>
      </w:r>
    </w:p>
    <w:p w14:paraId="591C7FAE"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355B12E6" w14:textId="77777777" w:rsidR="00000000" w:rsidRDefault="002F725F">
      <w:pPr>
        <w:pStyle w:val="NormalWeb"/>
        <w:shd w:val="clear" w:color="auto" w:fill="FFFFFF"/>
        <w:spacing w:before="0" w:beforeAutospacing="0" w:after="0" w:afterAutospacing="0"/>
        <w:jc w:val="both"/>
        <w:divId w:val="415980837"/>
        <w:rPr>
          <w:sz w:val="20"/>
          <w:szCs w:val="20"/>
        </w:rPr>
      </w:pPr>
      <w:r>
        <w:rPr>
          <w:b/>
          <w:bCs/>
          <w:i/>
          <w:iCs/>
          <w:sz w:val="20"/>
          <w:szCs w:val="20"/>
        </w:rPr>
        <w:t>Discounted Cash Flow Analysis</w:t>
      </w:r>
    </w:p>
    <w:p w14:paraId="01F0CF7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E5477E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performed a discounted cash flow analysis of the projected future un</w:t>
      </w:r>
      <w:r>
        <w:rPr>
          <w:sz w:val="20"/>
          <w:szCs w:val="20"/>
        </w:rPr>
        <w:t>levered free cash flows attributable to the Company for the fiscal years ending March 31, 2027 through March 31, 2033, with unlevered “free cash flow” defined as cash that is available either to reinvest or to distribute to security holders, which is deter</w:t>
      </w:r>
      <w:r>
        <w:rPr>
          <w:sz w:val="20"/>
          <w:szCs w:val="20"/>
        </w:rPr>
        <w:t>mined by adjusting EBITDA for taxes, capital expenditures, and changes in working capital. The discounted cash flow analysis was used to determine the net present value of estimated future free cash flows using a weighted average cost of capital as the app</w:t>
      </w:r>
      <w:r>
        <w:rPr>
          <w:sz w:val="20"/>
          <w:szCs w:val="20"/>
        </w:rPr>
        <w:t>licable discount rate. For the purposes of its discounted cash flow analysis, Duff &amp; Phelps used and relied upon the Management Projections, which are described in this proxy statement in the section entitled “Special Factors—Certain Financial Projections”</w:t>
      </w:r>
      <w:r>
        <w:rPr>
          <w:sz w:val="20"/>
          <w:szCs w:val="20"/>
        </w:rPr>
        <w:t xml:space="preserve"> beginning on page 39. The costs associated with the Company being a publicly-listed company, as provided by the management of the Company, were excluded from the Management Projections because such costs would likely be eliminated as a result of the Merge</w:t>
      </w:r>
      <w:r>
        <w:rPr>
          <w:sz w:val="20"/>
          <w:szCs w:val="20"/>
        </w:rPr>
        <w:t>r.</w:t>
      </w:r>
    </w:p>
    <w:p w14:paraId="59899B8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F21B35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estimated the net present value of all cash flows attributable to the Company after fiscal year 2033 (the “Terminal Value”) using a perpetuity growth formula assuming terminal growth rate of 3.0%, which took into consideration an estimat</w:t>
      </w:r>
      <w:r>
        <w:rPr>
          <w:sz w:val="20"/>
          <w:szCs w:val="20"/>
        </w:rPr>
        <w:t xml:space="preserve">e of the expected long-term growth rate of the Chinese economy and the Company’s business. Duff &amp; Phelps used discount rates ranging from 13.0% to 15.0%, reflecting Duff &amp; Phelps’ estimate of the Company’s weighted average cost of capital, to discount the </w:t>
      </w:r>
      <w:r>
        <w:rPr>
          <w:sz w:val="20"/>
          <w:szCs w:val="20"/>
        </w:rPr>
        <w:t>projected free cash flows and the Terminal Value. Duff &amp; Phelps estimated the Company’s weighted average cost of capital by estimating the weighted average of the Company’s cost of equity (derived using the capital asset pricing model) and the Company’s af</w:t>
      </w:r>
      <w:r>
        <w:rPr>
          <w:sz w:val="20"/>
          <w:szCs w:val="20"/>
        </w:rPr>
        <w:t>ter-tax cost of debt. Duff &amp; Phelps believes that this range of discount rates is consistent with the rate of return that security holders could expect to realize on alternative investment opportunities with similar risk profiles.</w:t>
      </w:r>
    </w:p>
    <w:p w14:paraId="1AE9C3C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508ABD2" w14:textId="77777777" w:rsidR="00000000" w:rsidRDefault="002F725F">
      <w:pPr>
        <w:pStyle w:val="NormalWeb"/>
        <w:spacing w:before="0" w:beforeAutospacing="0" w:after="0" w:afterAutospacing="0"/>
        <w:jc w:val="center"/>
        <w:divId w:val="829634903"/>
        <w:rPr>
          <w:sz w:val="20"/>
          <w:szCs w:val="20"/>
        </w:rPr>
      </w:pPr>
      <w:r>
        <w:rPr>
          <w:sz w:val="20"/>
          <w:szCs w:val="20"/>
        </w:rPr>
        <w:t>5</w:t>
      </w:r>
      <w:r>
        <w:rPr>
          <w:sz w:val="20"/>
          <w:szCs w:val="20"/>
        </w:rPr>
        <w:t>1</w:t>
      </w:r>
    </w:p>
    <w:p w14:paraId="08B45ACE" w14:textId="77777777" w:rsidR="00000000" w:rsidRDefault="002F725F">
      <w:pPr>
        <w:pStyle w:val="NormalWeb"/>
        <w:spacing w:before="0" w:beforeAutospacing="0" w:after="0" w:afterAutospacing="0"/>
        <w:divId w:val="1375960954"/>
        <w:rPr>
          <w:sz w:val="20"/>
          <w:szCs w:val="20"/>
        </w:rPr>
      </w:pPr>
      <w:r>
        <w:rPr>
          <w:sz w:val="20"/>
          <w:szCs w:val="20"/>
        </w:rPr>
        <w:t> </w:t>
      </w:r>
    </w:p>
    <w:p w14:paraId="0A0C373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1AE795F"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Based on these assumptions, Duff &amp; Phelps’ discounted cash flow analysis resulted in an estimated enterprise value for the Company of RMB594.00 million to RMB713.30 million.</w:t>
      </w:r>
    </w:p>
    <w:p w14:paraId="6D72DCD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A8E3DA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Based on the above analysis, without considering optionality of the Company’s eq</w:t>
      </w:r>
      <w:r>
        <w:rPr>
          <w:sz w:val="20"/>
          <w:szCs w:val="20"/>
        </w:rPr>
        <w:t>uity, the Company’s enterprise value, or asset value, is insufficient to fund the Company’s debt and other liabilities (including the arbitral award liabilities), leaving no equity value. However, using an option value analysis, which considers equity as a</w:t>
      </w:r>
      <w:r>
        <w:rPr>
          <w:sz w:val="20"/>
          <w:szCs w:val="20"/>
        </w:rPr>
        <w:t>n option on the asset value of the Company, indicates some equity value.</w:t>
      </w:r>
    </w:p>
    <w:p w14:paraId="6DE10A8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D5D164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option value analysis utilizes the Black-Scholes option pricing model to value equity as a call option on the assets of a company, using the amount of debt and other liabilities</w:t>
      </w:r>
      <w:r>
        <w:rPr>
          <w:sz w:val="20"/>
          <w:szCs w:val="20"/>
        </w:rPr>
        <w:t xml:space="preserve"> as the strike price. The option value analysis assess the value of a company’s equity based on the likelihood that the value of the assets will exceed the amount of the debt and other liabilities, including accrued interest, in a certain time frame.</w:t>
      </w:r>
    </w:p>
    <w:p w14:paraId="272DC2E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19B92B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w:t>
      </w:r>
      <w:r>
        <w:rPr>
          <w:sz w:val="20"/>
          <w:szCs w:val="20"/>
        </w:rPr>
        <w:t>f &amp; Phelps utilized the following assumptions: (i) asset value based on the enterprise value ranges resulting from the discounted cash flow analysis, (ii) strike price of the option is the forward value of total net liabilities (including debt, payables to</w:t>
      </w:r>
      <w:r>
        <w:rPr>
          <w:sz w:val="20"/>
          <w:szCs w:val="20"/>
        </w:rPr>
        <w:t xml:space="preserve"> related parties, cash, financial liabilities from arbitral awards, and future interest accruals), (iii) term of four to ten months, based on the estimated time frame for processes related to the arbitral award liabilities, per Company management, and (iv)</w:t>
      </w:r>
      <w:r>
        <w:rPr>
          <w:sz w:val="20"/>
          <w:szCs w:val="20"/>
        </w:rPr>
        <w:t xml:space="preserve"> asset volatility of 30.0%, based on the selected public companies.</w:t>
      </w:r>
    </w:p>
    <w:p w14:paraId="6857DB5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D87155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Based on these assumptions, Duff &amp; Phelps’ option value analysis utilizing the enterprise value determined in the discounted cash flow analysis resulted in an estimated equity value for </w:t>
      </w:r>
      <w:r>
        <w:rPr>
          <w:sz w:val="20"/>
          <w:szCs w:val="20"/>
        </w:rPr>
        <w:t>the Company of RMB2.50 million to RMB62.13 million, and a range on implied values of the Company’s Shares of US$0.01 to US$0.22.</w:t>
      </w:r>
    </w:p>
    <w:p w14:paraId="124A77EF" w14:textId="77777777" w:rsidR="00000000" w:rsidRDefault="002F725F">
      <w:pPr>
        <w:pStyle w:val="NormalWeb"/>
        <w:shd w:val="clear" w:color="auto" w:fill="FFFFFF"/>
        <w:spacing w:before="0" w:beforeAutospacing="0" w:after="0" w:afterAutospacing="0"/>
        <w:jc w:val="both"/>
        <w:divId w:val="415980837"/>
        <w:rPr>
          <w:sz w:val="20"/>
          <w:szCs w:val="20"/>
        </w:rPr>
      </w:pPr>
      <w:r>
        <w:rPr>
          <w:b/>
          <w:bCs/>
          <w:i/>
          <w:iCs/>
          <w:sz w:val="20"/>
          <w:szCs w:val="20"/>
        </w:rPr>
        <w:t> </w:t>
      </w:r>
    </w:p>
    <w:p w14:paraId="4DE7D0AF" w14:textId="77777777" w:rsidR="00000000" w:rsidRDefault="002F725F">
      <w:pPr>
        <w:pStyle w:val="NormalWeb"/>
        <w:shd w:val="clear" w:color="auto" w:fill="FFFFFF"/>
        <w:spacing w:before="0" w:beforeAutospacing="0" w:after="0" w:afterAutospacing="0"/>
        <w:jc w:val="both"/>
        <w:divId w:val="415980837"/>
        <w:rPr>
          <w:sz w:val="20"/>
          <w:szCs w:val="20"/>
        </w:rPr>
      </w:pPr>
      <w:r>
        <w:rPr>
          <w:b/>
          <w:bCs/>
          <w:i/>
          <w:iCs/>
          <w:sz w:val="20"/>
          <w:szCs w:val="20"/>
        </w:rPr>
        <w:t>Selected Public Companies and Merger and Acquisition Transactions Analyses</w:t>
      </w:r>
    </w:p>
    <w:p w14:paraId="513DA0A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4488FF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analyzed selected public companies</w:t>
      </w:r>
      <w:r>
        <w:rPr>
          <w:sz w:val="20"/>
          <w:szCs w:val="20"/>
        </w:rPr>
        <w:t xml:space="preserve"> and selected merger and acquisition transactions for purposes of estimating valuation multiples with which to calculate a range of implied enterprise values of the Company. This collective analysis was based on publicly available information and is descri</w:t>
      </w:r>
      <w:r>
        <w:rPr>
          <w:sz w:val="20"/>
          <w:szCs w:val="20"/>
        </w:rPr>
        <w:t>bed in more detail in the sections that follow.</w:t>
      </w:r>
    </w:p>
    <w:p w14:paraId="2EC7CF2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262A52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companies used for comparative purposes in the following analysis were not directly comparable to the Company, and the transactions used for comparative purposes in the following analysis were not direc</w:t>
      </w:r>
      <w:r>
        <w:rPr>
          <w:sz w:val="20"/>
          <w:szCs w:val="20"/>
        </w:rPr>
        <w:t>tly comparable to the Merger. Duff &amp; Phelps does not have access to non-public information of any of the companies used for comparative purposes. Accordingly, a complete valuation analysis of the Company and the Merger cannot rely solely upon a quantitativ</w:t>
      </w:r>
      <w:r>
        <w:rPr>
          <w:sz w:val="20"/>
          <w:szCs w:val="20"/>
        </w:rPr>
        <w:t>e review of the selected public companies and selected transactions, but involves complex considerations and judgments concerning differences in financial and operating characteristics of such companies and targets, as well as other factors that could affe</w:t>
      </w:r>
      <w:r>
        <w:rPr>
          <w:sz w:val="20"/>
          <w:szCs w:val="20"/>
        </w:rPr>
        <w:t>ct their value relative to that of the Company. Therefore, the selected public companies and the selected merger and acquisition transactions analyses are subject to certain limitations.</w:t>
      </w:r>
    </w:p>
    <w:p w14:paraId="5D673D9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CB26A99" w14:textId="77777777" w:rsidR="00000000" w:rsidRDefault="002F725F">
      <w:pPr>
        <w:pStyle w:val="NormalWeb"/>
        <w:spacing w:before="0" w:beforeAutospacing="0" w:after="0" w:afterAutospacing="0"/>
        <w:ind w:firstLine="720"/>
        <w:jc w:val="both"/>
        <w:divId w:val="415980837"/>
        <w:rPr>
          <w:sz w:val="20"/>
          <w:szCs w:val="20"/>
        </w:rPr>
      </w:pPr>
      <w:r>
        <w:rPr>
          <w:i/>
          <w:iCs/>
          <w:sz w:val="20"/>
          <w:szCs w:val="20"/>
        </w:rPr>
        <w:t>Selected Public Companies Analysis</w:t>
      </w:r>
      <w:r>
        <w:rPr>
          <w:sz w:val="20"/>
          <w:szCs w:val="20"/>
        </w:rPr>
        <w:t xml:space="preserve">. Duff &amp; Phelps compared certain </w:t>
      </w:r>
      <w:r>
        <w:rPr>
          <w:sz w:val="20"/>
          <w:szCs w:val="20"/>
        </w:rPr>
        <w:t>financial information of the Company to corresponding data and ratios from publicly traded companies in the vaccine industry that Duff &amp; Phelps deemed relevant to its analysis. For purposes of its analysis, Duff &amp; Phelps used certain publicly available his</w:t>
      </w:r>
      <w:r>
        <w:rPr>
          <w:sz w:val="20"/>
          <w:szCs w:val="20"/>
        </w:rPr>
        <w:t>torical financial data and consensus equity analyst estimates for the selected publicly traded companies. The seven companies included in the selected public company analysis in the vaccine industry were:</w:t>
      </w:r>
    </w:p>
    <w:p w14:paraId="43B057E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38D1216" w14:textId="77777777">
        <w:trPr>
          <w:divId w:val="415980837"/>
          <w:tblCellSpacing w:w="0" w:type="dxa"/>
        </w:trPr>
        <w:tc>
          <w:tcPr>
            <w:tcW w:w="720" w:type="dxa"/>
            <w:hideMark/>
          </w:tcPr>
          <w:p w14:paraId="5F284CF2" w14:textId="77777777" w:rsidR="00000000" w:rsidRDefault="002F725F">
            <w:pPr>
              <w:rPr>
                <w:rFonts w:eastAsia="Times New Roman"/>
                <w:sz w:val="20"/>
                <w:szCs w:val="20"/>
              </w:rPr>
            </w:pPr>
            <w:r>
              <w:rPr>
                <w:rFonts w:eastAsia="Times New Roman"/>
                <w:sz w:val="20"/>
                <w:szCs w:val="20"/>
              </w:rPr>
              <w:t> </w:t>
            </w:r>
          </w:p>
        </w:tc>
        <w:tc>
          <w:tcPr>
            <w:tcW w:w="360" w:type="dxa"/>
            <w:hideMark/>
          </w:tcPr>
          <w:p w14:paraId="281CC392" w14:textId="77777777" w:rsidR="00000000" w:rsidRDefault="002F725F">
            <w:pPr>
              <w:rPr>
                <w:rFonts w:eastAsia="Times New Roman"/>
                <w:sz w:val="20"/>
                <w:szCs w:val="20"/>
              </w:rPr>
            </w:pPr>
            <w:r>
              <w:rPr>
                <w:rFonts w:eastAsia="Times New Roman"/>
                <w:sz w:val="20"/>
                <w:szCs w:val="20"/>
              </w:rPr>
              <w:t>●</w:t>
            </w:r>
          </w:p>
        </w:tc>
        <w:tc>
          <w:tcPr>
            <w:tcW w:w="0" w:type="auto"/>
            <w:hideMark/>
          </w:tcPr>
          <w:p w14:paraId="728781D7" w14:textId="77777777" w:rsidR="00000000" w:rsidRDefault="002F725F">
            <w:pPr>
              <w:jc w:val="both"/>
              <w:rPr>
                <w:rFonts w:eastAsia="Times New Roman"/>
                <w:sz w:val="20"/>
                <w:szCs w:val="20"/>
              </w:rPr>
            </w:pPr>
            <w:r>
              <w:rPr>
                <w:rFonts w:eastAsia="Times New Roman"/>
                <w:sz w:val="20"/>
                <w:szCs w:val="20"/>
              </w:rPr>
              <w:t>Ab&amp;B Bio-Tech CO., LTD. JS</w:t>
            </w:r>
          </w:p>
        </w:tc>
      </w:tr>
    </w:tbl>
    <w:p w14:paraId="65FBAEEE"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423762A" w14:textId="77777777">
        <w:trPr>
          <w:divId w:val="415980837"/>
          <w:tblCellSpacing w:w="0" w:type="dxa"/>
        </w:trPr>
        <w:tc>
          <w:tcPr>
            <w:tcW w:w="720" w:type="dxa"/>
            <w:hideMark/>
          </w:tcPr>
          <w:p w14:paraId="0372D19B" w14:textId="77777777" w:rsidR="00000000" w:rsidRDefault="002F725F">
            <w:pPr>
              <w:rPr>
                <w:rFonts w:eastAsia="Times New Roman"/>
                <w:sz w:val="20"/>
                <w:szCs w:val="20"/>
              </w:rPr>
            </w:pPr>
            <w:r>
              <w:rPr>
                <w:rFonts w:eastAsia="Times New Roman"/>
                <w:sz w:val="20"/>
                <w:szCs w:val="20"/>
              </w:rPr>
              <w:t> </w:t>
            </w:r>
          </w:p>
        </w:tc>
        <w:tc>
          <w:tcPr>
            <w:tcW w:w="360" w:type="dxa"/>
            <w:hideMark/>
          </w:tcPr>
          <w:p w14:paraId="66DFE56C" w14:textId="77777777" w:rsidR="00000000" w:rsidRDefault="002F725F">
            <w:pPr>
              <w:rPr>
                <w:rFonts w:eastAsia="Times New Roman"/>
                <w:sz w:val="20"/>
                <w:szCs w:val="20"/>
              </w:rPr>
            </w:pPr>
            <w:r>
              <w:rPr>
                <w:rFonts w:eastAsia="Times New Roman"/>
                <w:sz w:val="20"/>
                <w:szCs w:val="20"/>
              </w:rPr>
              <w:t>●</w:t>
            </w:r>
          </w:p>
        </w:tc>
        <w:tc>
          <w:tcPr>
            <w:tcW w:w="0" w:type="auto"/>
            <w:hideMark/>
          </w:tcPr>
          <w:p w14:paraId="36715054" w14:textId="77777777" w:rsidR="00000000" w:rsidRDefault="002F725F">
            <w:pPr>
              <w:jc w:val="both"/>
              <w:rPr>
                <w:rFonts w:eastAsia="Times New Roman"/>
                <w:sz w:val="20"/>
                <w:szCs w:val="20"/>
              </w:rPr>
            </w:pPr>
            <w:r>
              <w:rPr>
                <w:rFonts w:eastAsia="Times New Roman"/>
                <w:sz w:val="20"/>
                <w:szCs w:val="20"/>
              </w:rPr>
              <w:t>AIM Vaccine Co., Ltd.</w:t>
            </w:r>
          </w:p>
        </w:tc>
      </w:tr>
    </w:tbl>
    <w:p w14:paraId="4F790651"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70311FA" w14:textId="77777777">
        <w:trPr>
          <w:divId w:val="415980837"/>
          <w:tblCellSpacing w:w="0" w:type="dxa"/>
        </w:trPr>
        <w:tc>
          <w:tcPr>
            <w:tcW w:w="720" w:type="dxa"/>
            <w:hideMark/>
          </w:tcPr>
          <w:p w14:paraId="70F44231" w14:textId="77777777" w:rsidR="00000000" w:rsidRDefault="002F725F">
            <w:pPr>
              <w:rPr>
                <w:rFonts w:eastAsia="Times New Roman"/>
                <w:sz w:val="20"/>
                <w:szCs w:val="20"/>
              </w:rPr>
            </w:pPr>
            <w:r>
              <w:rPr>
                <w:rFonts w:eastAsia="Times New Roman"/>
                <w:sz w:val="20"/>
                <w:szCs w:val="20"/>
              </w:rPr>
              <w:t> </w:t>
            </w:r>
          </w:p>
        </w:tc>
        <w:tc>
          <w:tcPr>
            <w:tcW w:w="360" w:type="dxa"/>
            <w:hideMark/>
          </w:tcPr>
          <w:p w14:paraId="659C39CD" w14:textId="77777777" w:rsidR="00000000" w:rsidRDefault="002F725F">
            <w:pPr>
              <w:rPr>
                <w:rFonts w:eastAsia="Times New Roman"/>
                <w:sz w:val="20"/>
                <w:szCs w:val="20"/>
              </w:rPr>
            </w:pPr>
            <w:r>
              <w:rPr>
                <w:rFonts w:eastAsia="Times New Roman"/>
                <w:sz w:val="20"/>
                <w:szCs w:val="20"/>
              </w:rPr>
              <w:t>●</w:t>
            </w:r>
          </w:p>
        </w:tc>
        <w:tc>
          <w:tcPr>
            <w:tcW w:w="0" w:type="auto"/>
            <w:hideMark/>
          </w:tcPr>
          <w:p w14:paraId="35624BCF" w14:textId="77777777" w:rsidR="00000000" w:rsidRDefault="002F725F">
            <w:pPr>
              <w:jc w:val="both"/>
              <w:rPr>
                <w:rFonts w:eastAsia="Times New Roman"/>
                <w:sz w:val="20"/>
                <w:szCs w:val="20"/>
              </w:rPr>
            </w:pPr>
            <w:r>
              <w:rPr>
                <w:rFonts w:eastAsia="Times New Roman"/>
                <w:sz w:val="20"/>
                <w:szCs w:val="20"/>
              </w:rPr>
              <w:t>Bavarian Nordic A/S</w:t>
            </w:r>
          </w:p>
        </w:tc>
      </w:tr>
    </w:tbl>
    <w:p w14:paraId="6BD56C20" w14:textId="77777777" w:rsidR="00000000" w:rsidRDefault="002F725F">
      <w:pPr>
        <w:pStyle w:val="NormalWeb"/>
        <w:spacing w:before="0" w:beforeAutospacing="0" w:after="0" w:afterAutospacing="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1CCE832" w14:textId="77777777">
        <w:trPr>
          <w:divId w:val="415980837"/>
          <w:tblCellSpacing w:w="0" w:type="dxa"/>
        </w:trPr>
        <w:tc>
          <w:tcPr>
            <w:tcW w:w="720" w:type="dxa"/>
            <w:hideMark/>
          </w:tcPr>
          <w:p w14:paraId="75A1EC53" w14:textId="77777777" w:rsidR="00000000" w:rsidRDefault="002F725F">
            <w:pPr>
              <w:rPr>
                <w:rFonts w:eastAsia="Times New Roman"/>
                <w:sz w:val="20"/>
                <w:szCs w:val="20"/>
              </w:rPr>
            </w:pPr>
            <w:r>
              <w:rPr>
                <w:rFonts w:eastAsia="Times New Roman"/>
                <w:sz w:val="20"/>
                <w:szCs w:val="20"/>
              </w:rPr>
              <w:t> </w:t>
            </w:r>
          </w:p>
        </w:tc>
        <w:tc>
          <w:tcPr>
            <w:tcW w:w="360" w:type="dxa"/>
            <w:hideMark/>
          </w:tcPr>
          <w:p w14:paraId="5FF43126" w14:textId="77777777" w:rsidR="00000000" w:rsidRDefault="002F725F">
            <w:pPr>
              <w:rPr>
                <w:rFonts w:eastAsia="Times New Roman"/>
                <w:sz w:val="20"/>
                <w:szCs w:val="20"/>
              </w:rPr>
            </w:pPr>
            <w:r>
              <w:rPr>
                <w:rFonts w:eastAsia="Times New Roman"/>
                <w:sz w:val="20"/>
                <w:szCs w:val="20"/>
              </w:rPr>
              <w:t>●</w:t>
            </w:r>
          </w:p>
        </w:tc>
        <w:tc>
          <w:tcPr>
            <w:tcW w:w="0" w:type="auto"/>
            <w:hideMark/>
          </w:tcPr>
          <w:p w14:paraId="360E6888" w14:textId="77777777" w:rsidR="00000000" w:rsidRDefault="002F725F">
            <w:pPr>
              <w:jc w:val="both"/>
              <w:rPr>
                <w:rFonts w:eastAsia="Times New Roman"/>
                <w:sz w:val="20"/>
                <w:szCs w:val="20"/>
              </w:rPr>
            </w:pPr>
            <w:r>
              <w:rPr>
                <w:rFonts w:eastAsia="Times New Roman"/>
                <w:sz w:val="20"/>
                <w:szCs w:val="20"/>
              </w:rPr>
              <w:t>CanSino Biologics Inc.</w:t>
            </w:r>
          </w:p>
        </w:tc>
      </w:tr>
    </w:tbl>
    <w:p w14:paraId="0CF4A840"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227E11B" w14:textId="77777777">
        <w:trPr>
          <w:divId w:val="415980837"/>
          <w:tblCellSpacing w:w="0" w:type="dxa"/>
        </w:trPr>
        <w:tc>
          <w:tcPr>
            <w:tcW w:w="720" w:type="dxa"/>
            <w:hideMark/>
          </w:tcPr>
          <w:p w14:paraId="20E749D0" w14:textId="77777777" w:rsidR="00000000" w:rsidRDefault="002F725F">
            <w:pPr>
              <w:rPr>
                <w:rFonts w:eastAsia="Times New Roman"/>
                <w:sz w:val="20"/>
                <w:szCs w:val="20"/>
              </w:rPr>
            </w:pPr>
            <w:r>
              <w:rPr>
                <w:rFonts w:eastAsia="Times New Roman"/>
                <w:sz w:val="20"/>
                <w:szCs w:val="20"/>
              </w:rPr>
              <w:t> </w:t>
            </w:r>
          </w:p>
        </w:tc>
        <w:tc>
          <w:tcPr>
            <w:tcW w:w="360" w:type="dxa"/>
            <w:hideMark/>
          </w:tcPr>
          <w:p w14:paraId="64076AA1" w14:textId="77777777" w:rsidR="00000000" w:rsidRDefault="002F725F">
            <w:pPr>
              <w:rPr>
                <w:rFonts w:eastAsia="Times New Roman"/>
                <w:sz w:val="20"/>
                <w:szCs w:val="20"/>
              </w:rPr>
            </w:pPr>
            <w:r>
              <w:rPr>
                <w:rFonts w:eastAsia="Times New Roman"/>
                <w:sz w:val="20"/>
                <w:szCs w:val="20"/>
              </w:rPr>
              <w:t>●</w:t>
            </w:r>
          </w:p>
        </w:tc>
        <w:tc>
          <w:tcPr>
            <w:tcW w:w="0" w:type="auto"/>
            <w:hideMark/>
          </w:tcPr>
          <w:p w14:paraId="0B9299ED" w14:textId="77777777" w:rsidR="00000000" w:rsidRDefault="002F725F">
            <w:pPr>
              <w:jc w:val="both"/>
              <w:rPr>
                <w:rFonts w:eastAsia="Times New Roman"/>
                <w:sz w:val="20"/>
                <w:szCs w:val="20"/>
              </w:rPr>
            </w:pPr>
            <w:r>
              <w:rPr>
                <w:rFonts w:eastAsia="Times New Roman"/>
                <w:sz w:val="20"/>
                <w:szCs w:val="20"/>
              </w:rPr>
              <w:t>Clover Biopharmaceuticals, Ltd.</w:t>
            </w:r>
          </w:p>
        </w:tc>
      </w:tr>
    </w:tbl>
    <w:p w14:paraId="1EF391A4"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2CDF4EC" w14:textId="77777777">
        <w:trPr>
          <w:divId w:val="415980837"/>
          <w:tblCellSpacing w:w="0" w:type="dxa"/>
        </w:trPr>
        <w:tc>
          <w:tcPr>
            <w:tcW w:w="720" w:type="dxa"/>
            <w:hideMark/>
          </w:tcPr>
          <w:p w14:paraId="01270956" w14:textId="77777777" w:rsidR="00000000" w:rsidRDefault="002F725F">
            <w:pPr>
              <w:rPr>
                <w:rFonts w:eastAsia="Times New Roman"/>
                <w:sz w:val="20"/>
                <w:szCs w:val="20"/>
              </w:rPr>
            </w:pPr>
            <w:r>
              <w:rPr>
                <w:rFonts w:eastAsia="Times New Roman"/>
                <w:sz w:val="20"/>
                <w:szCs w:val="20"/>
              </w:rPr>
              <w:t> </w:t>
            </w:r>
          </w:p>
        </w:tc>
        <w:tc>
          <w:tcPr>
            <w:tcW w:w="360" w:type="dxa"/>
            <w:hideMark/>
          </w:tcPr>
          <w:p w14:paraId="519DEA07" w14:textId="77777777" w:rsidR="00000000" w:rsidRDefault="002F725F">
            <w:pPr>
              <w:rPr>
                <w:rFonts w:eastAsia="Times New Roman"/>
                <w:sz w:val="20"/>
                <w:szCs w:val="20"/>
              </w:rPr>
            </w:pPr>
            <w:r>
              <w:rPr>
                <w:rFonts w:eastAsia="Times New Roman"/>
                <w:sz w:val="20"/>
                <w:szCs w:val="20"/>
              </w:rPr>
              <w:t>●</w:t>
            </w:r>
          </w:p>
        </w:tc>
        <w:tc>
          <w:tcPr>
            <w:tcW w:w="0" w:type="auto"/>
            <w:hideMark/>
          </w:tcPr>
          <w:p w14:paraId="3227FAD1" w14:textId="77777777" w:rsidR="00000000" w:rsidRDefault="002F725F">
            <w:pPr>
              <w:jc w:val="both"/>
              <w:rPr>
                <w:rFonts w:eastAsia="Times New Roman"/>
                <w:sz w:val="20"/>
                <w:szCs w:val="20"/>
              </w:rPr>
            </w:pPr>
            <w:r>
              <w:rPr>
                <w:rFonts w:eastAsia="Times New Roman"/>
                <w:sz w:val="20"/>
                <w:szCs w:val="20"/>
              </w:rPr>
              <w:t>Kamada Ltd.</w:t>
            </w:r>
          </w:p>
        </w:tc>
      </w:tr>
    </w:tbl>
    <w:p w14:paraId="7239E922"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AC76663" w14:textId="77777777">
        <w:trPr>
          <w:divId w:val="415980837"/>
          <w:tblCellSpacing w:w="0" w:type="dxa"/>
        </w:trPr>
        <w:tc>
          <w:tcPr>
            <w:tcW w:w="720" w:type="dxa"/>
            <w:hideMark/>
          </w:tcPr>
          <w:p w14:paraId="32B1B0AB" w14:textId="77777777" w:rsidR="00000000" w:rsidRDefault="002F725F">
            <w:pPr>
              <w:rPr>
                <w:rFonts w:eastAsia="Times New Roman"/>
                <w:sz w:val="20"/>
                <w:szCs w:val="20"/>
              </w:rPr>
            </w:pPr>
            <w:r>
              <w:rPr>
                <w:rFonts w:eastAsia="Times New Roman"/>
                <w:sz w:val="20"/>
                <w:szCs w:val="20"/>
              </w:rPr>
              <w:t> </w:t>
            </w:r>
          </w:p>
        </w:tc>
        <w:tc>
          <w:tcPr>
            <w:tcW w:w="360" w:type="dxa"/>
            <w:hideMark/>
          </w:tcPr>
          <w:p w14:paraId="65D35893" w14:textId="77777777" w:rsidR="00000000" w:rsidRDefault="002F725F">
            <w:pPr>
              <w:rPr>
                <w:rFonts w:eastAsia="Times New Roman"/>
                <w:sz w:val="20"/>
                <w:szCs w:val="20"/>
              </w:rPr>
            </w:pPr>
            <w:r>
              <w:rPr>
                <w:rFonts w:eastAsia="Times New Roman"/>
                <w:sz w:val="20"/>
                <w:szCs w:val="20"/>
              </w:rPr>
              <w:t>●</w:t>
            </w:r>
          </w:p>
        </w:tc>
        <w:tc>
          <w:tcPr>
            <w:tcW w:w="0" w:type="auto"/>
            <w:hideMark/>
          </w:tcPr>
          <w:p w14:paraId="77F9F20A" w14:textId="77777777" w:rsidR="00000000" w:rsidRDefault="002F725F">
            <w:pPr>
              <w:jc w:val="both"/>
              <w:rPr>
                <w:rFonts w:eastAsia="Times New Roman"/>
                <w:sz w:val="20"/>
                <w:szCs w:val="20"/>
              </w:rPr>
            </w:pPr>
            <w:r>
              <w:rPr>
                <w:rFonts w:eastAsia="Times New Roman"/>
                <w:sz w:val="20"/>
                <w:szCs w:val="20"/>
              </w:rPr>
              <w:t>Sanofi</w:t>
            </w:r>
          </w:p>
        </w:tc>
      </w:tr>
    </w:tbl>
    <w:p w14:paraId="5EAFCE7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98F7CC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Duff &amp; Phelps selected </w:t>
      </w:r>
      <w:r>
        <w:rPr>
          <w:sz w:val="20"/>
          <w:szCs w:val="20"/>
        </w:rPr>
        <w:t>these companies for its analysis based on their relative similarity, primarily in terms of business model, to that of the Company.</w:t>
      </w:r>
    </w:p>
    <w:p w14:paraId="30B37D5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0DC6DA3" w14:textId="77777777" w:rsidR="00000000" w:rsidRDefault="002F725F">
      <w:pPr>
        <w:pStyle w:val="NormalWeb"/>
        <w:spacing w:before="0" w:beforeAutospacing="0" w:after="0" w:afterAutospacing="0"/>
        <w:jc w:val="center"/>
        <w:divId w:val="632294647"/>
        <w:rPr>
          <w:sz w:val="20"/>
          <w:szCs w:val="20"/>
        </w:rPr>
      </w:pPr>
      <w:r>
        <w:rPr>
          <w:sz w:val="20"/>
          <w:szCs w:val="20"/>
        </w:rPr>
        <w:t>5</w:t>
      </w:r>
      <w:r>
        <w:rPr>
          <w:sz w:val="20"/>
          <w:szCs w:val="20"/>
        </w:rPr>
        <w:t>2</w:t>
      </w:r>
    </w:p>
    <w:p w14:paraId="5366E9CB" w14:textId="77777777" w:rsidR="00000000" w:rsidRDefault="002F725F">
      <w:pPr>
        <w:pStyle w:val="NormalWeb"/>
        <w:spacing w:before="0" w:beforeAutospacing="0" w:after="0" w:afterAutospacing="0"/>
        <w:divId w:val="1806005470"/>
        <w:rPr>
          <w:sz w:val="20"/>
          <w:szCs w:val="20"/>
        </w:rPr>
      </w:pPr>
      <w:r>
        <w:rPr>
          <w:sz w:val="20"/>
          <w:szCs w:val="20"/>
        </w:rPr>
        <w:t> </w:t>
      </w:r>
    </w:p>
    <w:p w14:paraId="2E23FA0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53B738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tables below summarize certain observed trading multiples and historical and projected financial performance, on</w:t>
      </w:r>
      <w:r>
        <w:rPr>
          <w:sz w:val="20"/>
          <w:szCs w:val="20"/>
        </w:rPr>
        <w:t xml:space="preserve"> an aggregate basis, of the selected public companies. The estimates for 2026 and 2027 in the tables below with respect to the selected public companies were derived based on information for the 12-month periods ending closest to the calendar year ends for</w:t>
      </w:r>
      <w:r>
        <w:rPr>
          <w:sz w:val="20"/>
          <w:szCs w:val="20"/>
        </w:rPr>
        <w:t xml:space="preserve"> which information was available. Data related to the Company’s EBITDA were adjusted for purposes of this analysis to eliminate public company costs, transaction costs and non-recurring income (expenses).</w:t>
      </w:r>
    </w:p>
    <w:p w14:paraId="44CBB020" w14:textId="77777777" w:rsidR="00000000" w:rsidRDefault="002F725F">
      <w:pPr>
        <w:pStyle w:val="NormalWeb"/>
        <w:spacing w:before="0" w:beforeAutospacing="0" w:after="0" w:afterAutospacing="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1655"/>
        <w:gridCol w:w="45"/>
        <w:gridCol w:w="89"/>
        <w:gridCol w:w="441"/>
        <w:gridCol w:w="180"/>
        <w:gridCol w:w="45"/>
        <w:gridCol w:w="45"/>
        <w:gridCol w:w="405"/>
        <w:gridCol w:w="180"/>
        <w:gridCol w:w="45"/>
        <w:gridCol w:w="45"/>
        <w:gridCol w:w="315"/>
        <w:gridCol w:w="180"/>
        <w:gridCol w:w="45"/>
        <w:gridCol w:w="45"/>
        <w:gridCol w:w="315"/>
        <w:gridCol w:w="180"/>
        <w:gridCol w:w="45"/>
        <w:gridCol w:w="89"/>
        <w:gridCol w:w="441"/>
        <w:gridCol w:w="180"/>
        <w:gridCol w:w="45"/>
        <w:gridCol w:w="69"/>
        <w:gridCol w:w="342"/>
        <w:gridCol w:w="180"/>
        <w:gridCol w:w="45"/>
        <w:gridCol w:w="45"/>
        <w:gridCol w:w="405"/>
        <w:gridCol w:w="180"/>
        <w:gridCol w:w="45"/>
        <w:gridCol w:w="45"/>
        <w:gridCol w:w="315"/>
        <w:gridCol w:w="180"/>
        <w:gridCol w:w="45"/>
        <w:gridCol w:w="45"/>
        <w:gridCol w:w="405"/>
        <w:gridCol w:w="180"/>
        <w:gridCol w:w="45"/>
        <w:gridCol w:w="68"/>
        <w:gridCol w:w="343"/>
        <w:gridCol w:w="180"/>
        <w:gridCol w:w="45"/>
        <w:gridCol w:w="45"/>
        <w:gridCol w:w="315"/>
        <w:gridCol w:w="180"/>
        <w:gridCol w:w="45"/>
        <w:gridCol w:w="45"/>
        <w:gridCol w:w="315"/>
        <w:gridCol w:w="180"/>
      </w:tblGrid>
      <w:tr w:rsidR="00000000" w14:paraId="70D976F8" w14:textId="77777777">
        <w:trPr>
          <w:divId w:val="415980837"/>
        </w:trPr>
        <w:tc>
          <w:tcPr>
            <w:tcW w:w="0" w:type="auto"/>
            <w:noWrap/>
            <w:tcMar>
              <w:top w:w="0" w:type="dxa"/>
              <w:left w:w="180" w:type="dxa"/>
              <w:bottom w:w="0" w:type="dxa"/>
              <w:right w:w="0" w:type="dxa"/>
            </w:tcMar>
            <w:vAlign w:val="bottom"/>
            <w:hideMark/>
          </w:tcPr>
          <w:p w14:paraId="55308A4C" w14:textId="77777777" w:rsidR="00000000" w:rsidRDefault="002F725F">
            <w:pPr>
              <w:ind w:hanging="180"/>
              <w:rPr>
                <w:rFonts w:eastAsia="Times New Roman"/>
                <w:sz w:val="18"/>
                <w:szCs w:val="18"/>
              </w:rPr>
            </w:pPr>
            <w:r>
              <w:rPr>
                <w:rFonts w:eastAsia="Times New Roman"/>
                <w:sz w:val="18"/>
                <w:szCs w:val="18"/>
              </w:rPr>
              <w:t> </w:t>
            </w:r>
          </w:p>
        </w:tc>
        <w:tc>
          <w:tcPr>
            <w:tcW w:w="0" w:type="auto"/>
            <w:noWrap/>
            <w:tcMar>
              <w:top w:w="0" w:type="dxa"/>
              <w:left w:w="0" w:type="dxa"/>
              <w:bottom w:w="30" w:type="dxa"/>
              <w:right w:w="0" w:type="dxa"/>
            </w:tcMar>
            <w:vAlign w:val="bottom"/>
            <w:hideMark/>
          </w:tcPr>
          <w:p w14:paraId="42367B2C" w14:textId="77777777" w:rsidR="00000000" w:rsidRDefault="002F725F">
            <w:pPr>
              <w:rPr>
                <w:rFonts w:eastAsia="Times New Roman"/>
                <w:b/>
                <w:bCs/>
                <w:sz w:val="18"/>
                <w:szCs w:val="18"/>
              </w:rPr>
            </w:pPr>
            <w:r>
              <w:rPr>
                <w:rFonts w:eastAsia="Times New Roman"/>
                <w:b/>
                <w:bCs/>
                <w:sz w:val="18"/>
                <w:szCs w:val="18"/>
              </w:rPr>
              <w:t> </w:t>
            </w:r>
          </w:p>
        </w:tc>
        <w:tc>
          <w:tcPr>
            <w:tcW w:w="0" w:type="auto"/>
            <w:gridSpan w:val="14"/>
            <w:tcBorders>
              <w:bottom w:val="single" w:sz="12" w:space="0" w:color="000000"/>
            </w:tcBorders>
            <w:noWrap/>
            <w:vAlign w:val="bottom"/>
            <w:hideMark/>
          </w:tcPr>
          <w:p w14:paraId="3F202099" w14:textId="77777777" w:rsidR="00000000" w:rsidRDefault="002F725F">
            <w:pPr>
              <w:jc w:val="center"/>
              <w:rPr>
                <w:rFonts w:eastAsia="Times New Roman"/>
                <w:b/>
                <w:bCs/>
                <w:sz w:val="18"/>
                <w:szCs w:val="18"/>
              </w:rPr>
            </w:pPr>
            <w:r>
              <w:rPr>
                <w:rFonts w:eastAsia="Times New Roman"/>
                <w:b/>
                <w:bCs/>
                <w:sz w:val="18"/>
                <w:szCs w:val="18"/>
              </w:rPr>
              <w:t>REVENUE GROWTH</w:t>
            </w:r>
          </w:p>
        </w:tc>
        <w:tc>
          <w:tcPr>
            <w:tcW w:w="0" w:type="auto"/>
            <w:noWrap/>
            <w:tcMar>
              <w:top w:w="0" w:type="dxa"/>
              <w:left w:w="0" w:type="dxa"/>
              <w:bottom w:w="30" w:type="dxa"/>
              <w:right w:w="0" w:type="dxa"/>
            </w:tcMar>
            <w:vAlign w:val="bottom"/>
            <w:hideMark/>
          </w:tcPr>
          <w:p w14:paraId="4E8F70B6" w14:textId="77777777" w:rsidR="00000000" w:rsidRDefault="002F725F">
            <w:pPr>
              <w:rPr>
                <w:rFonts w:eastAsia="Times New Roman"/>
                <w:b/>
                <w:bCs/>
                <w:sz w:val="18"/>
                <w:szCs w:val="18"/>
              </w:rPr>
            </w:pPr>
            <w:r>
              <w:rPr>
                <w:rFonts w:eastAsia="Times New Roman"/>
                <w:b/>
                <w:bCs/>
                <w:sz w:val="18"/>
                <w:szCs w:val="18"/>
              </w:rPr>
              <w:t> </w:t>
            </w:r>
          </w:p>
        </w:tc>
        <w:tc>
          <w:tcPr>
            <w:tcW w:w="0" w:type="auto"/>
            <w:noWrap/>
            <w:tcMar>
              <w:top w:w="0" w:type="dxa"/>
              <w:left w:w="0" w:type="dxa"/>
              <w:bottom w:w="30" w:type="dxa"/>
              <w:right w:w="0" w:type="dxa"/>
            </w:tcMar>
            <w:vAlign w:val="bottom"/>
            <w:hideMark/>
          </w:tcPr>
          <w:p w14:paraId="6FE3DBDE" w14:textId="77777777" w:rsidR="00000000" w:rsidRDefault="002F725F">
            <w:pPr>
              <w:rPr>
                <w:rFonts w:eastAsia="Times New Roman"/>
                <w:b/>
                <w:bCs/>
                <w:sz w:val="18"/>
                <w:szCs w:val="18"/>
              </w:rPr>
            </w:pPr>
            <w:r>
              <w:rPr>
                <w:rFonts w:eastAsia="Times New Roman"/>
                <w:b/>
                <w:bCs/>
                <w:sz w:val="18"/>
                <w:szCs w:val="18"/>
              </w:rPr>
              <w:t> </w:t>
            </w:r>
          </w:p>
        </w:tc>
        <w:tc>
          <w:tcPr>
            <w:tcW w:w="0" w:type="auto"/>
            <w:gridSpan w:val="14"/>
            <w:tcBorders>
              <w:bottom w:val="single" w:sz="12" w:space="0" w:color="000000"/>
            </w:tcBorders>
            <w:noWrap/>
            <w:vAlign w:val="bottom"/>
            <w:hideMark/>
          </w:tcPr>
          <w:p w14:paraId="1376C71E" w14:textId="77777777" w:rsidR="00000000" w:rsidRDefault="002F725F">
            <w:pPr>
              <w:jc w:val="center"/>
              <w:rPr>
                <w:rFonts w:eastAsia="Times New Roman"/>
                <w:b/>
                <w:bCs/>
                <w:sz w:val="18"/>
                <w:szCs w:val="18"/>
              </w:rPr>
            </w:pPr>
            <w:r>
              <w:rPr>
                <w:rFonts w:eastAsia="Times New Roman"/>
                <w:b/>
                <w:bCs/>
                <w:sz w:val="18"/>
                <w:szCs w:val="18"/>
              </w:rPr>
              <w:t xml:space="preserve">EBITDA </w:t>
            </w:r>
            <w:r>
              <w:rPr>
                <w:rFonts w:eastAsia="Times New Roman"/>
                <w:b/>
                <w:bCs/>
                <w:sz w:val="18"/>
                <w:szCs w:val="18"/>
              </w:rPr>
              <w:t>GROWTH</w:t>
            </w:r>
          </w:p>
        </w:tc>
        <w:tc>
          <w:tcPr>
            <w:tcW w:w="0" w:type="auto"/>
            <w:noWrap/>
            <w:tcMar>
              <w:top w:w="0" w:type="dxa"/>
              <w:left w:w="0" w:type="dxa"/>
              <w:bottom w:w="30" w:type="dxa"/>
              <w:right w:w="0" w:type="dxa"/>
            </w:tcMar>
            <w:vAlign w:val="bottom"/>
            <w:hideMark/>
          </w:tcPr>
          <w:p w14:paraId="4EC179ED" w14:textId="77777777" w:rsidR="00000000" w:rsidRDefault="002F725F">
            <w:pPr>
              <w:rPr>
                <w:rFonts w:eastAsia="Times New Roman"/>
                <w:b/>
                <w:bCs/>
                <w:sz w:val="18"/>
                <w:szCs w:val="18"/>
              </w:rPr>
            </w:pPr>
            <w:r>
              <w:rPr>
                <w:rFonts w:eastAsia="Times New Roman"/>
                <w:b/>
                <w:bCs/>
                <w:sz w:val="18"/>
                <w:szCs w:val="18"/>
              </w:rPr>
              <w:t> </w:t>
            </w:r>
          </w:p>
        </w:tc>
        <w:tc>
          <w:tcPr>
            <w:tcW w:w="0" w:type="auto"/>
            <w:noWrap/>
            <w:tcMar>
              <w:top w:w="0" w:type="dxa"/>
              <w:left w:w="0" w:type="dxa"/>
              <w:bottom w:w="30" w:type="dxa"/>
              <w:right w:w="0" w:type="dxa"/>
            </w:tcMar>
            <w:vAlign w:val="bottom"/>
            <w:hideMark/>
          </w:tcPr>
          <w:p w14:paraId="6F6F637E" w14:textId="77777777" w:rsidR="00000000" w:rsidRDefault="002F725F">
            <w:pPr>
              <w:rPr>
                <w:rFonts w:eastAsia="Times New Roman"/>
                <w:b/>
                <w:bCs/>
                <w:sz w:val="18"/>
                <w:szCs w:val="18"/>
              </w:rPr>
            </w:pPr>
            <w:r>
              <w:rPr>
                <w:rFonts w:eastAsia="Times New Roman"/>
                <w:b/>
                <w:bCs/>
                <w:sz w:val="18"/>
                <w:szCs w:val="18"/>
              </w:rPr>
              <w:t> </w:t>
            </w:r>
          </w:p>
        </w:tc>
        <w:tc>
          <w:tcPr>
            <w:tcW w:w="0" w:type="auto"/>
            <w:gridSpan w:val="14"/>
            <w:tcBorders>
              <w:bottom w:val="single" w:sz="12" w:space="0" w:color="000000"/>
            </w:tcBorders>
            <w:noWrap/>
            <w:vAlign w:val="bottom"/>
            <w:hideMark/>
          </w:tcPr>
          <w:p w14:paraId="1F48D648" w14:textId="77777777" w:rsidR="00000000" w:rsidRDefault="002F725F">
            <w:pPr>
              <w:jc w:val="center"/>
              <w:rPr>
                <w:rFonts w:eastAsia="Times New Roman"/>
                <w:b/>
                <w:bCs/>
                <w:sz w:val="18"/>
                <w:szCs w:val="18"/>
              </w:rPr>
            </w:pPr>
            <w:r>
              <w:rPr>
                <w:rFonts w:eastAsia="Times New Roman"/>
                <w:b/>
                <w:bCs/>
                <w:sz w:val="18"/>
                <w:szCs w:val="18"/>
              </w:rPr>
              <w:t>EBITDA MARGIN</w:t>
            </w:r>
          </w:p>
        </w:tc>
        <w:tc>
          <w:tcPr>
            <w:tcW w:w="0" w:type="auto"/>
            <w:noWrap/>
            <w:tcMar>
              <w:top w:w="0" w:type="dxa"/>
              <w:left w:w="0" w:type="dxa"/>
              <w:bottom w:w="30" w:type="dxa"/>
              <w:right w:w="0" w:type="dxa"/>
            </w:tcMar>
            <w:vAlign w:val="bottom"/>
            <w:hideMark/>
          </w:tcPr>
          <w:p w14:paraId="48514539" w14:textId="77777777" w:rsidR="00000000" w:rsidRDefault="002F725F">
            <w:pPr>
              <w:rPr>
                <w:rFonts w:eastAsia="Times New Roman"/>
                <w:b/>
                <w:bCs/>
                <w:sz w:val="18"/>
                <w:szCs w:val="18"/>
              </w:rPr>
            </w:pPr>
            <w:r>
              <w:rPr>
                <w:rFonts w:eastAsia="Times New Roman"/>
                <w:b/>
                <w:bCs/>
                <w:sz w:val="18"/>
                <w:szCs w:val="18"/>
              </w:rPr>
              <w:t> </w:t>
            </w:r>
          </w:p>
        </w:tc>
      </w:tr>
      <w:tr w:rsidR="00000000" w14:paraId="2EEB5083" w14:textId="77777777">
        <w:trPr>
          <w:divId w:val="415980837"/>
        </w:trPr>
        <w:tc>
          <w:tcPr>
            <w:tcW w:w="0" w:type="auto"/>
            <w:noWrap/>
            <w:tcMar>
              <w:top w:w="0" w:type="dxa"/>
              <w:left w:w="180" w:type="dxa"/>
              <w:bottom w:w="0" w:type="dxa"/>
              <w:right w:w="0" w:type="dxa"/>
            </w:tcMar>
            <w:vAlign w:val="bottom"/>
            <w:hideMark/>
          </w:tcPr>
          <w:p w14:paraId="61B5EB13" w14:textId="77777777" w:rsidR="00000000" w:rsidRDefault="002F725F">
            <w:pPr>
              <w:ind w:hanging="180"/>
              <w:jc w:val="center"/>
              <w:rPr>
                <w:rFonts w:eastAsia="Times New Roman"/>
                <w:sz w:val="18"/>
                <w:szCs w:val="18"/>
              </w:rPr>
            </w:pPr>
            <w:r>
              <w:rPr>
                <w:rFonts w:eastAsia="Times New Roman"/>
                <w:sz w:val="18"/>
                <w:szCs w:val="18"/>
              </w:rPr>
              <w:t> </w:t>
            </w:r>
          </w:p>
        </w:tc>
        <w:tc>
          <w:tcPr>
            <w:tcW w:w="0" w:type="auto"/>
            <w:noWrap/>
            <w:vAlign w:val="bottom"/>
            <w:hideMark/>
          </w:tcPr>
          <w:p w14:paraId="1B080FCC"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gridSpan w:val="2"/>
            <w:noWrap/>
            <w:vAlign w:val="bottom"/>
            <w:hideMark/>
          </w:tcPr>
          <w:p w14:paraId="1F52BB0F" w14:textId="77777777" w:rsidR="00000000" w:rsidRDefault="002F725F">
            <w:pPr>
              <w:jc w:val="center"/>
              <w:rPr>
                <w:rFonts w:eastAsia="Times New Roman"/>
                <w:b/>
                <w:bCs/>
                <w:sz w:val="18"/>
                <w:szCs w:val="18"/>
              </w:rPr>
            </w:pPr>
            <w:r>
              <w:rPr>
                <w:rFonts w:eastAsia="Times New Roman"/>
                <w:b/>
                <w:bCs/>
                <w:sz w:val="18"/>
                <w:szCs w:val="18"/>
              </w:rPr>
              <w:t>3-YR</w:t>
            </w:r>
          </w:p>
        </w:tc>
        <w:tc>
          <w:tcPr>
            <w:tcW w:w="0" w:type="auto"/>
            <w:noWrap/>
            <w:vAlign w:val="bottom"/>
            <w:hideMark/>
          </w:tcPr>
          <w:p w14:paraId="43DEFFE5"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noWrap/>
            <w:vAlign w:val="bottom"/>
            <w:hideMark/>
          </w:tcPr>
          <w:p w14:paraId="5D0BDF0A" w14:textId="77777777" w:rsidR="00000000" w:rsidRDefault="002F725F">
            <w:pPr>
              <w:jc w:val="center"/>
              <w:rPr>
                <w:rFonts w:eastAsia="Times New Roman"/>
                <w:sz w:val="18"/>
                <w:szCs w:val="18"/>
              </w:rPr>
            </w:pPr>
            <w:r>
              <w:rPr>
                <w:rFonts w:eastAsia="Times New Roman"/>
                <w:sz w:val="18"/>
                <w:szCs w:val="18"/>
              </w:rPr>
              <w:t> </w:t>
            </w:r>
          </w:p>
        </w:tc>
        <w:tc>
          <w:tcPr>
            <w:tcW w:w="0" w:type="auto"/>
            <w:gridSpan w:val="2"/>
            <w:noWrap/>
            <w:vAlign w:val="bottom"/>
            <w:hideMark/>
          </w:tcPr>
          <w:p w14:paraId="2B785D39"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439D1E56"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7DA19FC8" w14:textId="77777777" w:rsidR="00000000" w:rsidRDefault="002F725F">
            <w:pPr>
              <w:jc w:val="center"/>
              <w:rPr>
                <w:rFonts w:eastAsia="Times New Roman"/>
                <w:sz w:val="18"/>
                <w:szCs w:val="18"/>
              </w:rPr>
            </w:pPr>
            <w:r>
              <w:rPr>
                <w:rFonts w:eastAsia="Times New Roman"/>
                <w:sz w:val="18"/>
                <w:szCs w:val="18"/>
              </w:rPr>
              <w:t> </w:t>
            </w:r>
          </w:p>
        </w:tc>
        <w:tc>
          <w:tcPr>
            <w:tcW w:w="0" w:type="auto"/>
            <w:gridSpan w:val="2"/>
            <w:noWrap/>
            <w:vAlign w:val="bottom"/>
            <w:hideMark/>
          </w:tcPr>
          <w:p w14:paraId="3C7BB3FE"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70B4E652"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66F4C9D4" w14:textId="77777777" w:rsidR="00000000" w:rsidRDefault="002F725F">
            <w:pPr>
              <w:jc w:val="center"/>
              <w:rPr>
                <w:rFonts w:eastAsia="Times New Roman"/>
                <w:sz w:val="18"/>
                <w:szCs w:val="18"/>
              </w:rPr>
            </w:pPr>
            <w:r>
              <w:rPr>
                <w:rFonts w:eastAsia="Times New Roman"/>
                <w:sz w:val="18"/>
                <w:szCs w:val="18"/>
              </w:rPr>
              <w:t> </w:t>
            </w:r>
          </w:p>
        </w:tc>
        <w:tc>
          <w:tcPr>
            <w:tcW w:w="0" w:type="auto"/>
            <w:gridSpan w:val="2"/>
            <w:noWrap/>
            <w:vAlign w:val="bottom"/>
            <w:hideMark/>
          </w:tcPr>
          <w:p w14:paraId="57EFB589"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22143BB6"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7D438104"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gridSpan w:val="2"/>
            <w:noWrap/>
            <w:vAlign w:val="bottom"/>
            <w:hideMark/>
          </w:tcPr>
          <w:p w14:paraId="21B976BC" w14:textId="77777777" w:rsidR="00000000" w:rsidRDefault="002F725F">
            <w:pPr>
              <w:jc w:val="center"/>
              <w:rPr>
                <w:rFonts w:eastAsia="Times New Roman"/>
                <w:b/>
                <w:bCs/>
                <w:sz w:val="18"/>
                <w:szCs w:val="18"/>
              </w:rPr>
            </w:pPr>
            <w:r>
              <w:rPr>
                <w:rFonts w:eastAsia="Times New Roman"/>
                <w:b/>
                <w:bCs/>
                <w:sz w:val="18"/>
                <w:szCs w:val="18"/>
              </w:rPr>
              <w:t>3-YR</w:t>
            </w:r>
          </w:p>
        </w:tc>
        <w:tc>
          <w:tcPr>
            <w:tcW w:w="0" w:type="auto"/>
            <w:noWrap/>
            <w:vAlign w:val="bottom"/>
            <w:hideMark/>
          </w:tcPr>
          <w:p w14:paraId="630CBC92"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noWrap/>
            <w:vAlign w:val="bottom"/>
            <w:hideMark/>
          </w:tcPr>
          <w:p w14:paraId="7AAB28AB" w14:textId="77777777" w:rsidR="00000000" w:rsidRDefault="002F725F">
            <w:pPr>
              <w:jc w:val="center"/>
              <w:rPr>
                <w:rFonts w:eastAsia="Times New Roman"/>
                <w:sz w:val="18"/>
                <w:szCs w:val="18"/>
              </w:rPr>
            </w:pPr>
            <w:r>
              <w:rPr>
                <w:rFonts w:eastAsia="Times New Roman"/>
                <w:sz w:val="18"/>
                <w:szCs w:val="18"/>
              </w:rPr>
              <w:t> </w:t>
            </w:r>
          </w:p>
        </w:tc>
        <w:tc>
          <w:tcPr>
            <w:tcW w:w="0" w:type="auto"/>
            <w:gridSpan w:val="2"/>
            <w:noWrap/>
            <w:vAlign w:val="bottom"/>
            <w:hideMark/>
          </w:tcPr>
          <w:p w14:paraId="13441D16"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371C9D4D"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5FCB5150" w14:textId="77777777" w:rsidR="00000000" w:rsidRDefault="002F725F">
            <w:pPr>
              <w:jc w:val="center"/>
              <w:rPr>
                <w:rFonts w:eastAsia="Times New Roman"/>
                <w:sz w:val="18"/>
                <w:szCs w:val="18"/>
              </w:rPr>
            </w:pPr>
            <w:r>
              <w:rPr>
                <w:rFonts w:eastAsia="Times New Roman"/>
                <w:sz w:val="18"/>
                <w:szCs w:val="18"/>
              </w:rPr>
              <w:t> </w:t>
            </w:r>
          </w:p>
        </w:tc>
        <w:tc>
          <w:tcPr>
            <w:tcW w:w="0" w:type="auto"/>
            <w:gridSpan w:val="2"/>
            <w:noWrap/>
            <w:vAlign w:val="bottom"/>
            <w:hideMark/>
          </w:tcPr>
          <w:p w14:paraId="15FB48B3"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6420BE50"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5731E13F" w14:textId="77777777" w:rsidR="00000000" w:rsidRDefault="002F725F">
            <w:pPr>
              <w:jc w:val="center"/>
              <w:rPr>
                <w:rFonts w:eastAsia="Times New Roman"/>
                <w:sz w:val="18"/>
                <w:szCs w:val="18"/>
              </w:rPr>
            </w:pPr>
            <w:r>
              <w:rPr>
                <w:rFonts w:eastAsia="Times New Roman"/>
                <w:sz w:val="18"/>
                <w:szCs w:val="18"/>
              </w:rPr>
              <w:t> </w:t>
            </w:r>
          </w:p>
        </w:tc>
        <w:tc>
          <w:tcPr>
            <w:tcW w:w="0" w:type="auto"/>
            <w:gridSpan w:val="2"/>
            <w:noWrap/>
            <w:vAlign w:val="bottom"/>
            <w:hideMark/>
          </w:tcPr>
          <w:p w14:paraId="2F9B1417"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6B5E86E7"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246A2FE0"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gridSpan w:val="2"/>
            <w:noWrap/>
            <w:vAlign w:val="bottom"/>
            <w:hideMark/>
          </w:tcPr>
          <w:p w14:paraId="18BB63D8" w14:textId="77777777" w:rsidR="00000000" w:rsidRDefault="002F725F">
            <w:pPr>
              <w:jc w:val="center"/>
              <w:rPr>
                <w:rFonts w:eastAsia="Times New Roman"/>
                <w:b/>
                <w:bCs/>
                <w:sz w:val="18"/>
                <w:szCs w:val="18"/>
              </w:rPr>
            </w:pPr>
            <w:r>
              <w:rPr>
                <w:rFonts w:eastAsia="Times New Roman"/>
                <w:b/>
                <w:bCs/>
                <w:sz w:val="18"/>
                <w:szCs w:val="18"/>
              </w:rPr>
              <w:t>3-YR</w:t>
            </w:r>
          </w:p>
        </w:tc>
        <w:tc>
          <w:tcPr>
            <w:tcW w:w="0" w:type="auto"/>
            <w:noWrap/>
            <w:vAlign w:val="bottom"/>
            <w:hideMark/>
          </w:tcPr>
          <w:p w14:paraId="67F2032C"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noWrap/>
            <w:vAlign w:val="bottom"/>
            <w:hideMark/>
          </w:tcPr>
          <w:p w14:paraId="4A70A78B" w14:textId="77777777" w:rsidR="00000000" w:rsidRDefault="002F725F">
            <w:pPr>
              <w:jc w:val="center"/>
              <w:rPr>
                <w:rFonts w:eastAsia="Times New Roman"/>
                <w:sz w:val="18"/>
                <w:szCs w:val="18"/>
              </w:rPr>
            </w:pPr>
            <w:r>
              <w:rPr>
                <w:rFonts w:eastAsia="Times New Roman"/>
                <w:sz w:val="18"/>
                <w:szCs w:val="18"/>
              </w:rPr>
              <w:t> </w:t>
            </w:r>
          </w:p>
        </w:tc>
        <w:tc>
          <w:tcPr>
            <w:tcW w:w="0" w:type="auto"/>
            <w:gridSpan w:val="2"/>
            <w:noWrap/>
            <w:vAlign w:val="bottom"/>
            <w:hideMark/>
          </w:tcPr>
          <w:p w14:paraId="5ED8634D"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2E6658B7"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276632DB" w14:textId="77777777" w:rsidR="00000000" w:rsidRDefault="002F725F">
            <w:pPr>
              <w:jc w:val="center"/>
              <w:rPr>
                <w:rFonts w:eastAsia="Times New Roman"/>
                <w:sz w:val="18"/>
                <w:szCs w:val="18"/>
              </w:rPr>
            </w:pPr>
            <w:r>
              <w:rPr>
                <w:rFonts w:eastAsia="Times New Roman"/>
                <w:sz w:val="18"/>
                <w:szCs w:val="18"/>
              </w:rPr>
              <w:t> </w:t>
            </w:r>
          </w:p>
        </w:tc>
        <w:tc>
          <w:tcPr>
            <w:tcW w:w="0" w:type="auto"/>
            <w:gridSpan w:val="2"/>
            <w:noWrap/>
            <w:vAlign w:val="bottom"/>
            <w:hideMark/>
          </w:tcPr>
          <w:p w14:paraId="16B9D540"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7236BBFC"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38D6942E" w14:textId="77777777" w:rsidR="00000000" w:rsidRDefault="002F725F">
            <w:pPr>
              <w:jc w:val="center"/>
              <w:rPr>
                <w:rFonts w:eastAsia="Times New Roman"/>
                <w:sz w:val="18"/>
                <w:szCs w:val="18"/>
              </w:rPr>
            </w:pPr>
            <w:r>
              <w:rPr>
                <w:rFonts w:eastAsia="Times New Roman"/>
                <w:sz w:val="18"/>
                <w:szCs w:val="18"/>
              </w:rPr>
              <w:t> </w:t>
            </w:r>
          </w:p>
        </w:tc>
        <w:tc>
          <w:tcPr>
            <w:tcW w:w="0" w:type="auto"/>
            <w:gridSpan w:val="2"/>
            <w:noWrap/>
            <w:vAlign w:val="bottom"/>
            <w:hideMark/>
          </w:tcPr>
          <w:p w14:paraId="1AFF7644" w14:textId="77777777" w:rsidR="00000000" w:rsidRDefault="002F725F">
            <w:pPr>
              <w:jc w:val="center"/>
              <w:rPr>
                <w:rFonts w:eastAsia="Times New Roman"/>
                <w:sz w:val="18"/>
                <w:szCs w:val="18"/>
              </w:rPr>
            </w:pPr>
            <w:r>
              <w:rPr>
                <w:rFonts w:eastAsia="Times New Roman"/>
                <w:sz w:val="18"/>
                <w:szCs w:val="18"/>
              </w:rPr>
              <w:t> </w:t>
            </w:r>
          </w:p>
        </w:tc>
        <w:tc>
          <w:tcPr>
            <w:tcW w:w="0" w:type="auto"/>
            <w:noWrap/>
            <w:vAlign w:val="bottom"/>
            <w:hideMark/>
          </w:tcPr>
          <w:p w14:paraId="5568C21A" w14:textId="77777777" w:rsidR="00000000" w:rsidRDefault="002F725F">
            <w:pPr>
              <w:jc w:val="center"/>
              <w:rPr>
                <w:rFonts w:eastAsia="Times New Roman"/>
                <w:sz w:val="18"/>
                <w:szCs w:val="18"/>
              </w:rPr>
            </w:pPr>
            <w:r>
              <w:rPr>
                <w:rFonts w:eastAsia="Times New Roman"/>
                <w:sz w:val="18"/>
                <w:szCs w:val="18"/>
              </w:rPr>
              <w:t> </w:t>
            </w:r>
          </w:p>
        </w:tc>
      </w:tr>
      <w:tr w:rsidR="00000000" w14:paraId="2DF13F13" w14:textId="77777777">
        <w:trPr>
          <w:divId w:val="415980837"/>
        </w:trPr>
        <w:tc>
          <w:tcPr>
            <w:tcW w:w="0" w:type="auto"/>
            <w:tcBorders>
              <w:bottom w:val="single" w:sz="12" w:space="0" w:color="000000"/>
            </w:tcBorders>
            <w:noWrap/>
            <w:tcMar>
              <w:top w:w="0" w:type="dxa"/>
              <w:left w:w="180" w:type="dxa"/>
              <w:bottom w:w="0" w:type="dxa"/>
              <w:right w:w="0" w:type="dxa"/>
            </w:tcMar>
            <w:vAlign w:val="bottom"/>
            <w:hideMark/>
          </w:tcPr>
          <w:p w14:paraId="147C8F1A" w14:textId="77777777" w:rsidR="00000000" w:rsidRDefault="002F725F">
            <w:pPr>
              <w:ind w:hanging="180"/>
              <w:rPr>
                <w:rFonts w:eastAsia="Times New Roman"/>
                <w:b/>
                <w:bCs/>
                <w:sz w:val="18"/>
                <w:szCs w:val="18"/>
              </w:rPr>
            </w:pPr>
            <w:r>
              <w:rPr>
                <w:rFonts w:eastAsia="Times New Roman"/>
                <w:b/>
                <w:bCs/>
                <w:sz w:val="18"/>
                <w:szCs w:val="18"/>
              </w:rPr>
              <w:t>Company Name</w:t>
            </w:r>
          </w:p>
        </w:tc>
        <w:tc>
          <w:tcPr>
            <w:tcW w:w="0" w:type="auto"/>
            <w:noWrap/>
            <w:tcMar>
              <w:top w:w="0" w:type="dxa"/>
              <w:left w:w="0" w:type="dxa"/>
              <w:bottom w:w="30" w:type="dxa"/>
              <w:right w:w="0" w:type="dxa"/>
            </w:tcMar>
            <w:vAlign w:val="bottom"/>
            <w:hideMark/>
          </w:tcPr>
          <w:p w14:paraId="098AA64D"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gridSpan w:val="2"/>
            <w:tcBorders>
              <w:bottom w:val="single" w:sz="12" w:space="0" w:color="000000"/>
            </w:tcBorders>
            <w:noWrap/>
            <w:vAlign w:val="bottom"/>
            <w:hideMark/>
          </w:tcPr>
          <w:p w14:paraId="271A80E3" w14:textId="77777777" w:rsidR="00000000" w:rsidRDefault="002F725F">
            <w:pPr>
              <w:jc w:val="center"/>
              <w:rPr>
                <w:rFonts w:eastAsia="Times New Roman"/>
                <w:b/>
                <w:bCs/>
                <w:sz w:val="18"/>
                <w:szCs w:val="18"/>
              </w:rPr>
            </w:pPr>
            <w:r>
              <w:rPr>
                <w:rFonts w:eastAsia="Times New Roman"/>
                <w:b/>
                <w:bCs/>
                <w:sz w:val="18"/>
                <w:szCs w:val="18"/>
              </w:rPr>
              <w:t>CAGR</w:t>
            </w:r>
          </w:p>
        </w:tc>
        <w:tc>
          <w:tcPr>
            <w:tcW w:w="0" w:type="auto"/>
            <w:noWrap/>
            <w:tcMar>
              <w:top w:w="0" w:type="dxa"/>
              <w:left w:w="0" w:type="dxa"/>
              <w:bottom w:w="30" w:type="dxa"/>
              <w:right w:w="0" w:type="dxa"/>
            </w:tcMar>
            <w:vAlign w:val="bottom"/>
            <w:hideMark/>
          </w:tcPr>
          <w:p w14:paraId="3ECF3EAF"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noWrap/>
            <w:tcMar>
              <w:top w:w="0" w:type="dxa"/>
              <w:left w:w="0" w:type="dxa"/>
              <w:bottom w:w="30" w:type="dxa"/>
              <w:right w:w="0" w:type="dxa"/>
            </w:tcMar>
            <w:vAlign w:val="bottom"/>
            <w:hideMark/>
          </w:tcPr>
          <w:p w14:paraId="2FA49E96"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gridSpan w:val="2"/>
            <w:tcBorders>
              <w:bottom w:val="single" w:sz="12" w:space="0" w:color="000000"/>
            </w:tcBorders>
            <w:noWrap/>
            <w:vAlign w:val="bottom"/>
            <w:hideMark/>
          </w:tcPr>
          <w:p w14:paraId="5964A041" w14:textId="77777777" w:rsidR="00000000" w:rsidRDefault="002F725F">
            <w:pPr>
              <w:jc w:val="center"/>
              <w:rPr>
                <w:rFonts w:eastAsia="Times New Roman"/>
                <w:b/>
                <w:bCs/>
                <w:sz w:val="18"/>
                <w:szCs w:val="18"/>
              </w:rPr>
            </w:pPr>
            <w:r>
              <w:rPr>
                <w:rFonts w:eastAsia="Times New Roman"/>
                <w:b/>
                <w:bCs/>
                <w:sz w:val="18"/>
                <w:szCs w:val="18"/>
              </w:rPr>
              <w:t>LTM</w:t>
            </w:r>
          </w:p>
        </w:tc>
        <w:tc>
          <w:tcPr>
            <w:tcW w:w="0" w:type="auto"/>
            <w:noWrap/>
            <w:tcMar>
              <w:top w:w="0" w:type="dxa"/>
              <w:left w:w="0" w:type="dxa"/>
              <w:bottom w:w="30" w:type="dxa"/>
              <w:right w:w="0" w:type="dxa"/>
            </w:tcMar>
            <w:vAlign w:val="bottom"/>
            <w:hideMark/>
          </w:tcPr>
          <w:p w14:paraId="0464CD8F"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noWrap/>
            <w:tcMar>
              <w:top w:w="0" w:type="dxa"/>
              <w:left w:w="0" w:type="dxa"/>
              <w:bottom w:w="30" w:type="dxa"/>
              <w:right w:w="0" w:type="dxa"/>
            </w:tcMar>
            <w:vAlign w:val="bottom"/>
            <w:hideMark/>
          </w:tcPr>
          <w:p w14:paraId="2A2EA8AA"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gridSpan w:val="2"/>
            <w:tcBorders>
              <w:bottom w:val="single" w:sz="12" w:space="0" w:color="000000"/>
            </w:tcBorders>
            <w:noWrap/>
            <w:vAlign w:val="bottom"/>
            <w:hideMark/>
          </w:tcPr>
          <w:p w14:paraId="5B0940B2" w14:textId="77777777" w:rsidR="00000000" w:rsidRDefault="002F725F">
            <w:pPr>
              <w:jc w:val="center"/>
              <w:rPr>
                <w:rFonts w:eastAsia="Times New Roman"/>
                <w:b/>
                <w:bCs/>
                <w:sz w:val="18"/>
                <w:szCs w:val="18"/>
              </w:rPr>
            </w:pPr>
            <w:r>
              <w:rPr>
                <w:rFonts w:eastAsia="Times New Roman"/>
                <w:b/>
                <w:bCs/>
                <w:sz w:val="18"/>
                <w:szCs w:val="18"/>
              </w:rPr>
              <w:t>2026</w:t>
            </w:r>
          </w:p>
        </w:tc>
        <w:tc>
          <w:tcPr>
            <w:tcW w:w="0" w:type="auto"/>
            <w:noWrap/>
            <w:tcMar>
              <w:top w:w="0" w:type="dxa"/>
              <w:left w:w="0" w:type="dxa"/>
              <w:bottom w:w="30" w:type="dxa"/>
              <w:right w:w="0" w:type="dxa"/>
            </w:tcMar>
            <w:vAlign w:val="bottom"/>
            <w:hideMark/>
          </w:tcPr>
          <w:p w14:paraId="0D03DCAF"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noWrap/>
            <w:tcMar>
              <w:top w:w="0" w:type="dxa"/>
              <w:left w:w="0" w:type="dxa"/>
              <w:bottom w:w="30" w:type="dxa"/>
              <w:right w:w="0" w:type="dxa"/>
            </w:tcMar>
            <w:vAlign w:val="bottom"/>
            <w:hideMark/>
          </w:tcPr>
          <w:p w14:paraId="6835EE41"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gridSpan w:val="2"/>
            <w:tcBorders>
              <w:bottom w:val="single" w:sz="12" w:space="0" w:color="000000"/>
            </w:tcBorders>
            <w:noWrap/>
            <w:vAlign w:val="bottom"/>
            <w:hideMark/>
          </w:tcPr>
          <w:p w14:paraId="780214CB" w14:textId="77777777" w:rsidR="00000000" w:rsidRDefault="002F725F">
            <w:pPr>
              <w:jc w:val="center"/>
              <w:rPr>
                <w:rFonts w:eastAsia="Times New Roman"/>
                <w:b/>
                <w:bCs/>
                <w:sz w:val="18"/>
                <w:szCs w:val="18"/>
              </w:rPr>
            </w:pPr>
            <w:r>
              <w:rPr>
                <w:rFonts w:eastAsia="Times New Roman"/>
                <w:b/>
                <w:bCs/>
                <w:sz w:val="18"/>
                <w:szCs w:val="18"/>
              </w:rPr>
              <w:t>2027</w:t>
            </w:r>
          </w:p>
        </w:tc>
        <w:tc>
          <w:tcPr>
            <w:tcW w:w="0" w:type="auto"/>
            <w:noWrap/>
            <w:tcMar>
              <w:top w:w="0" w:type="dxa"/>
              <w:left w:w="0" w:type="dxa"/>
              <w:bottom w:w="30" w:type="dxa"/>
              <w:right w:w="0" w:type="dxa"/>
            </w:tcMar>
            <w:vAlign w:val="bottom"/>
            <w:hideMark/>
          </w:tcPr>
          <w:p w14:paraId="02E4A025"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noWrap/>
            <w:tcMar>
              <w:top w:w="0" w:type="dxa"/>
              <w:left w:w="0" w:type="dxa"/>
              <w:bottom w:w="30" w:type="dxa"/>
              <w:right w:w="0" w:type="dxa"/>
            </w:tcMar>
            <w:vAlign w:val="bottom"/>
            <w:hideMark/>
          </w:tcPr>
          <w:p w14:paraId="17E04A3D"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gridSpan w:val="2"/>
            <w:tcBorders>
              <w:bottom w:val="single" w:sz="12" w:space="0" w:color="000000"/>
            </w:tcBorders>
            <w:noWrap/>
            <w:vAlign w:val="bottom"/>
            <w:hideMark/>
          </w:tcPr>
          <w:p w14:paraId="128CD2BE" w14:textId="77777777" w:rsidR="00000000" w:rsidRDefault="002F725F">
            <w:pPr>
              <w:jc w:val="center"/>
              <w:rPr>
                <w:rFonts w:eastAsia="Times New Roman"/>
                <w:b/>
                <w:bCs/>
                <w:sz w:val="18"/>
                <w:szCs w:val="18"/>
              </w:rPr>
            </w:pPr>
            <w:r>
              <w:rPr>
                <w:rFonts w:eastAsia="Times New Roman"/>
                <w:b/>
                <w:bCs/>
                <w:sz w:val="18"/>
                <w:szCs w:val="18"/>
              </w:rPr>
              <w:t>CAGR</w:t>
            </w:r>
          </w:p>
        </w:tc>
        <w:tc>
          <w:tcPr>
            <w:tcW w:w="0" w:type="auto"/>
            <w:noWrap/>
            <w:tcMar>
              <w:top w:w="0" w:type="dxa"/>
              <w:left w:w="0" w:type="dxa"/>
              <w:bottom w:w="30" w:type="dxa"/>
              <w:right w:w="0" w:type="dxa"/>
            </w:tcMar>
            <w:vAlign w:val="bottom"/>
            <w:hideMark/>
          </w:tcPr>
          <w:p w14:paraId="3F7D7F91"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noWrap/>
            <w:tcMar>
              <w:top w:w="0" w:type="dxa"/>
              <w:left w:w="0" w:type="dxa"/>
              <w:bottom w:w="30" w:type="dxa"/>
              <w:right w:w="0" w:type="dxa"/>
            </w:tcMar>
            <w:vAlign w:val="bottom"/>
            <w:hideMark/>
          </w:tcPr>
          <w:p w14:paraId="4C93AE86"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gridSpan w:val="2"/>
            <w:tcBorders>
              <w:bottom w:val="single" w:sz="12" w:space="0" w:color="000000"/>
            </w:tcBorders>
            <w:noWrap/>
            <w:vAlign w:val="bottom"/>
            <w:hideMark/>
          </w:tcPr>
          <w:p w14:paraId="589B2425" w14:textId="77777777" w:rsidR="00000000" w:rsidRDefault="002F725F">
            <w:pPr>
              <w:jc w:val="center"/>
              <w:rPr>
                <w:rFonts w:eastAsia="Times New Roman"/>
                <w:b/>
                <w:bCs/>
                <w:sz w:val="18"/>
                <w:szCs w:val="18"/>
              </w:rPr>
            </w:pPr>
            <w:r>
              <w:rPr>
                <w:rFonts w:eastAsia="Times New Roman"/>
                <w:b/>
                <w:bCs/>
                <w:sz w:val="18"/>
                <w:szCs w:val="18"/>
              </w:rPr>
              <w:t>LTM</w:t>
            </w:r>
          </w:p>
        </w:tc>
        <w:tc>
          <w:tcPr>
            <w:tcW w:w="0" w:type="auto"/>
            <w:noWrap/>
            <w:tcMar>
              <w:top w:w="0" w:type="dxa"/>
              <w:left w:w="0" w:type="dxa"/>
              <w:bottom w:w="30" w:type="dxa"/>
              <w:right w:w="0" w:type="dxa"/>
            </w:tcMar>
            <w:vAlign w:val="bottom"/>
            <w:hideMark/>
          </w:tcPr>
          <w:p w14:paraId="52C674A2"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noWrap/>
            <w:tcMar>
              <w:top w:w="0" w:type="dxa"/>
              <w:left w:w="0" w:type="dxa"/>
              <w:bottom w:w="30" w:type="dxa"/>
              <w:right w:w="0" w:type="dxa"/>
            </w:tcMar>
            <w:vAlign w:val="bottom"/>
            <w:hideMark/>
          </w:tcPr>
          <w:p w14:paraId="227558D9"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gridSpan w:val="2"/>
            <w:tcBorders>
              <w:bottom w:val="single" w:sz="12" w:space="0" w:color="000000"/>
            </w:tcBorders>
            <w:noWrap/>
            <w:vAlign w:val="bottom"/>
            <w:hideMark/>
          </w:tcPr>
          <w:p w14:paraId="0ADE4930" w14:textId="77777777" w:rsidR="00000000" w:rsidRDefault="002F725F">
            <w:pPr>
              <w:jc w:val="center"/>
              <w:rPr>
                <w:rFonts w:eastAsia="Times New Roman"/>
                <w:b/>
                <w:bCs/>
                <w:sz w:val="18"/>
                <w:szCs w:val="18"/>
              </w:rPr>
            </w:pPr>
            <w:r>
              <w:rPr>
                <w:rFonts w:eastAsia="Times New Roman"/>
                <w:b/>
                <w:bCs/>
                <w:sz w:val="18"/>
                <w:szCs w:val="18"/>
              </w:rPr>
              <w:t>2026</w:t>
            </w:r>
          </w:p>
        </w:tc>
        <w:tc>
          <w:tcPr>
            <w:tcW w:w="0" w:type="auto"/>
            <w:noWrap/>
            <w:tcMar>
              <w:top w:w="0" w:type="dxa"/>
              <w:left w:w="0" w:type="dxa"/>
              <w:bottom w:w="30" w:type="dxa"/>
              <w:right w:w="0" w:type="dxa"/>
            </w:tcMar>
            <w:vAlign w:val="bottom"/>
            <w:hideMark/>
          </w:tcPr>
          <w:p w14:paraId="0CAA6D70"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noWrap/>
            <w:tcMar>
              <w:top w:w="0" w:type="dxa"/>
              <w:left w:w="0" w:type="dxa"/>
              <w:bottom w:w="30" w:type="dxa"/>
              <w:right w:w="0" w:type="dxa"/>
            </w:tcMar>
            <w:vAlign w:val="bottom"/>
            <w:hideMark/>
          </w:tcPr>
          <w:p w14:paraId="0135219B"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gridSpan w:val="2"/>
            <w:tcBorders>
              <w:bottom w:val="single" w:sz="12" w:space="0" w:color="000000"/>
            </w:tcBorders>
            <w:noWrap/>
            <w:vAlign w:val="bottom"/>
            <w:hideMark/>
          </w:tcPr>
          <w:p w14:paraId="6E56E876" w14:textId="77777777" w:rsidR="00000000" w:rsidRDefault="002F725F">
            <w:pPr>
              <w:jc w:val="center"/>
              <w:rPr>
                <w:rFonts w:eastAsia="Times New Roman"/>
                <w:b/>
                <w:bCs/>
                <w:sz w:val="18"/>
                <w:szCs w:val="18"/>
              </w:rPr>
            </w:pPr>
            <w:r>
              <w:rPr>
                <w:rFonts w:eastAsia="Times New Roman"/>
                <w:b/>
                <w:bCs/>
                <w:sz w:val="18"/>
                <w:szCs w:val="18"/>
              </w:rPr>
              <w:t>2027</w:t>
            </w:r>
          </w:p>
        </w:tc>
        <w:tc>
          <w:tcPr>
            <w:tcW w:w="0" w:type="auto"/>
            <w:noWrap/>
            <w:tcMar>
              <w:top w:w="0" w:type="dxa"/>
              <w:left w:w="0" w:type="dxa"/>
              <w:bottom w:w="30" w:type="dxa"/>
              <w:right w:w="0" w:type="dxa"/>
            </w:tcMar>
            <w:vAlign w:val="bottom"/>
            <w:hideMark/>
          </w:tcPr>
          <w:p w14:paraId="1720D6B4"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noWrap/>
            <w:tcMar>
              <w:top w:w="0" w:type="dxa"/>
              <w:left w:w="0" w:type="dxa"/>
              <w:bottom w:w="30" w:type="dxa"/>
              <w:right w:w="0" w:type="dxa"/>
            </w:tcMar>
            <w:vAlign w:val="bottom"/>
            <w:hideMark/>
          </w:tcPr>
          <w:p w14:paraId="61D982B1"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gridSpan w:val="2"/>
            <w:tcBorders>
              <w:bottom w:val="single" w:sz="12" w:space="0" w:color="000000"/>
            </w:tcBorders>
            <w:noWrap/>
            <w:vAlign w:val="bottom"/>
            <w:hideMark/>
          </w:tcPr>
          <w:p w14:paraId="7077AF31" w14:textId="77777777" w:rsidR="00000000" w:rsidRDefault="002F725F">
            <w:pPr>
              <w:jc w:val="center"/>
              <w:rPr>
                <w:rFonts w:eastAsia="Times New Roman"/>
                <w:b/>
                <w:bCs/>
                <w:sz w:val="18"/>
                <w:szCs w:val="18"/>
              </w:rPr>
            </w:pPr>
            <w:r>
              <w:rPr>
                <w:rFonts w:eastAsia="Times New Roman"/>
                <w:b/>
                <w:bCs/>
                <w:sz w:val="18"/>
                <w:szCs w:val="18"/>
              </w:rPr>
              <w:t>AVG</w:t>
            </w:r>
          </w:p>
        </w:tc>
        <w:tc>
          <w:tcPr>
            <w:tcW w:w="0" w:type="auto"/>
            <w:noWrap/>
            <w:tcMar>
              <w:top w:w="0" w:type="dxa"/>
              <w:left w:w="0" w:type="dxa"/>
              <w:bottom w:w="30" w:type="dxa"/>
              <w:right w:w="0" w:type="dxa"/>
            </w:tcMar>
            <w:vAlign w:val="bottom"/>
            <w:hideMark/>
          </w:tcPr>
          <w:p w14:paraId="3A88E469"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noWrap/>
            <w:tcMar>
              <w:top w:w="0" w:type="dxa"/>
              <w:left w:w="0" w:type="dxa"/>
              <w:bottom w:w="30" w:type="dxa"/>
              <w:right w:w="0" w:type="dxa"/>
            </w:tcMar>
            <w:vAlign w:val="bottom"/>
            <w:hideMark/>
          </w:tcPr>
          <w:p w14:paraId="30AF627E"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gridSpan w:val="2"/>
            <w:tcBorders>
              <w:bottom w:val="single" w:sz="12" w:space="0" w:color="000000"/>
            </w:tcBorders>
            <w:noWrap/>
            <w:vAlign w:val="bottom"/>
            <w:hideMark/>
          </w:tcPr>
          <w:p w14:paraId="53624727" w14:textId="77777777" w:rsidR="00000000" w:rsidRDefault="002F725F">
            <w:pPr>
              <w:jc w:val="center"/>
              <w:rPr>
                <w:rFonts w:eastAsia="Times New Roman"/>
                <w:b/>
                <w:bCs/>
                <w:sz w:val="18"/>
                <w:szCs w:val="18"/>
              </w:rPr>
            </w:pPr>
            <w:r>
              <w:rPr>
                <w:rFonts w:eastAsia="Times New Roman"/>
                <w:b/>
                <w:bCs/>
                <w:sz w:val="18"/>
                <w:szCs w:val="18"/>
              </w:rPr>
              <w:t>LTM</w:t>
            </w:r>
          </w:p>
        </w:tc>
        <w:tc>
          <w:tcPr>
            <w:tcW w:w="0" w:type="auto"/>
            <w:noWrap/>
            <w:tcMar>
              <w:top w:w="0" w:type="dxa"/>
              <w:left w:w="0" w:type="dxa"/>
              <w:bottom w:w="30" w:type="dxa"/>
              <w:right w:w="0" w:type="dxa"/>
            </w:tcMar>
            <w:vAlign w:val="bottom"/>
            <w:hideMark/>
          </w:tcPr>
          <w:p w14:paraId="7C5072AA"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noWrap/>
            <w:tcMar>
              <w:top w:w="0" w:type="dxa"/>
              <w:left w:w="0" w:type="dxa"/>
              <w:bottom w:w="30" w:type="dxa"/>
              <w:right w:w="0" w:type="dxa"/>
            </w:tcMar>
            <w:vAlign w:val="bottom"/>
            <w:hideMark/>
          </w:tcPr>
          <w:p w14:paraId="354BD93F"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gridSpan w:val="2"/>
            <w:tcBorders>
              <w:bottom w:val="single" w:sz="12" w:space="0" w:color="000000"/>
            </w:tcBorders>
            <w:noWrap/>
            <w:vAlign w:val="bottom"/>
            <w:hideMark/>
          </w:tcPr>
          <w:p w14:paraId="39DA1889" w14:textId="77777777" w:rsidR="00000000" w:rsidRDefault="002F725F">
            <w:pPr>
              <w:jc w:val="center"/>
              <w:rPr>
                <w:rFonts w:eastAsia="Times New Roman"/>
                <w:b/>
                <w:bCs/>
                <w:sz w:val="18"/>
                <w:szCs w:val="18"/>
              </w:rPr>
            </w:pPr>
            <w:r>
              <w:rPr>
                <w:rFonts w:eastAsia="Times New Roman"/>
                <w:b/>
                <w:bCs/>
                <w:sz w:val="18"/>
                <w:szCs w:val="18"/>
              </w:rPr>
              <w:t>2026</w:t>
            </w:r>
          </w:p>
        </w:tc>
        <w:tc>
          <w:tcPr>
            <w:tcW w:w="0" w:type="auto"/>
            <w:noWrap/>
            <w:tcMar>
              <w:top w:w="0" w:type="dxa"/>
              <w:left w:w="0" w:type="dxa"/>
              <w:bottom w:w="30" w:type="dxa"/>
              <w:right w:w="0" w:type="dxa"/>
            </w:tcMar>
            <w:vAlign w:val="bottom"/>
            <w:hideMark/>
          </w:tcPr>
          <w:p w14:paraId="7EEC00A7"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noWrap/>
            <w:tcMar>
              <w:top w:w="0" w:type="dxa"/>
              <w:left w:w="0" w:type="dxa"/>
              <w:bottom w:w="30" w:type="dxa"/>
              <w:right w:w="0" w:type="dxa"/>
            </w:tcMar>
            <w:vAlign w:val="bottom"/>
            <w:hideMark/>
          </w:tcPr>
          <w:p w14:paraId="3EE21269" w14:textId="77777777" w:rsidR="00000000" w:rsidRDefault="002F725F">
            <w:pPr>
              <w:jc w:val="center"/>
              <w:rPr>
                <w:rFonts w:eastAsia="Times New Roman"/>
                <w:b/>
                <w:bCs/>
                <w:sz w:val="18"/>
                <w:szCs w:val="18"/>
              </w:rPr>
            </w:pPr>
            <w:r>
              <w:rPr>
                <w:rFonts w:eastAsia="Times New Roman"/>
                <w:b/>
                <w:bCs/>
                <w:sz w:val="18"/>
                <w:szCs w:val="18"/>
              </w:rPr>
              <w:t> </w:t>
            </w:r>
          </w:p>
        </w:tc>
        <w:tc>
          <w:tcPr>
            <w:tcW w:w="0" w:type="auto"/>
            <w:gridSpan w:val="2"/>
            <w:tcBorders>
              <w:bottom w:val="single" w:sz="12" w:space="0" w:color="000000"/>
            </w:tcBorders>
            <w:noWrap/>
            <w:vAlign w:val="bottom"/>
            <w:hideMark/>
          </w:tcPr>
          <w:p w14:paraId="01E916D9" w14:textId="77777777" w:rsidR="00000000" w:rsidRDefault="002F725F">
            <w:pPr>
              <w:jc w:val="center"/>
              <w:rPr>
                <w:rFonts w:eastAsia="Times New Roman"/>
                <w:b/>
                <w:bCs/>
                <w:sz w:val="18"/>
                <w:szCs w:val="18"/>
              </w:rPr>
            </w:pPr>
            <w:r>
              <w:rPr>
                <w:rFonts w:eastAsia="Times New Roman"/>
                <w:b/>
                <w:bCs/>
                <w:sz w:val="18"/>
                <w:szCs w:val="18"/>
              </w:rPr>
              <w:t>2027</w:t>
            </w:r>
          </w:p>
        </w:tc>
        <w:tc>
          <w:tcPr>
            <w:tcW w:w="0" w:type="auto"/>
            <w:noWrap/>
            <w:tcMar>
              <w:top w:w="0" w:type="dxa"/>
              <w:left w:w="0" w:type="dxa"/>
              <w:bottom w:w="30" w:type="dxa"/>
              <w:right w:w="0" w:type="dxa"/>
            </w:tcMar>
            <w:vAlign w:val="bottom"/>
            <w:hideMark/>
          </w:tcPr>
          <w:p w14:paraId="661E27FF" w14:textId="77777777" w:rsidR="00000000" w:rsidRDefault="002F725F">
            <w:pPr>
              <w:jc w:val="center"/>
              <w:rPr>
                <w:rFonts w:eastAsia="Times New Roman"/>
                <w:b/>
                <w:bCs/>
                <w:sz w:val="18"/>
                <w:szCs w:val="18"/>
              </w:rPr>
            </w:pPr>
            <w:r>
              <w:rPr>
                <w:rFonts w:eastAsia="Times New Roman"/>
                <w:b/>
                <w:bCs/>
                <w:sz w:val="18"/>
                <w:szCs w:val="18"/>
              </w:rPr>
              <w:t> </w:t>
            </w:r>
          </w:p>
        </w:tc>
      </w:tr>
      <w:tr w:rsidR="002F725F" w14:paraId="67765BF4" w14:textId="77777777">
        <w:trPr>
          <w:divId w:val="415980837"/>
        </w:trPr>
        <w:tc>
          <w:tcPr>
            <w:tcW w:w="200" w:type="pct"/>
            <w:shd w:val="clear" w:color="auto" w:fill="CCEEFF"/>
            <w:tcMar>
              <w:top w:w="0" w:type="dxa"/>
              <w:left w:w="180" w:type="dxa"/>
              <w:bottom w:w="0" w:type="dxa"/>
              <w:right w:w="0" w:type="dxa"/>
            </w:tcMar>
            <w:vAlign w:val="bottom"/>
            <w:hideMark/>
          </w:tcPr>
          <w:p w14:paraId="1B0D99CA" w14:textId="77777777" w:rsidR="00000000" w:rsidRDefault="002F725F">
            <w:pPr>
              <w:ind w:hanging="180"/>
              <w:rPr>
                <w:rFonts w:eastAsia="Times New Roman"/>
                <w:sz w:val="18"/>
                <w:szCs w:val="18"/>
              </w:rPr>
            </w:pPr>
            <w:r>
              <w:rPr>
                <w:rFonts w:eastAsia="Times New Roman"/>
                <w:sz w:val="18"/>
                <w:szCs w:val="18"/>
              </w:rPr>
              <w:t>Ab&amp;B Bio-Tech CO., LTD. JS</w:t>
            </w:r>
          </w:p>
        </w:tc>
        <w:tc>
          <w:tcPr>
            <w:tcW w:w="50" w:type="pct"/>
            <w:shd w:val="clear" w:color="auto" w:fill="CCEEFF"/>
            <w:vAlign w:val="bottom"/>
            <w:hideMark/>
          </w:tcPr>
          <w:p w14:paraId="73D1A4B5"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4CA8BB26" w14:textId="77777777" w:rsidR="00000000" w:rsidRDefault="002F725F">
            <w:pPr>
              <w:rPr>
                <w:rFonts w:eastAsia="Times New Roman"/>
                <w:sz w:val="18"/>
                <w:szCs w:val="18"/>
              </w:rPr>
            </w:pPr>
            <w:r>
              <w:rPr>
                <w:rFonts w:eastAsia="Times New Roman"/>
                <w:sz w:val="18"/>
                <w:szCs w:val="18"/>
              </w:rPr>
              <w:t> </w:t>
            </w:r>
          </w:p>
        </w:tc>
        <w:tc>
          <w:tcPr>
            <w:tcW w:w="250" w:type="pct"/>
            <w:shd w:val="clear" w:color="auto" w:fill="CCEEFF"/>
            <w:vAlign w:val="bottom"/>
            <w:hideMark/>
          </w:tcPr>
          <w:p w14:paraId="00208357" w14:textId="77777777" w:rsidR="00000000" w:rsidRDefault="002F725F">
            <w:pPr>
              <w:jc w:val="right"/>
              <w:rPr>
                <w:rFonts w:eastAsia="Times New Roman"/>
                <w:sz w:val="18"/>
                <w:szCs w:val="18"/>
              </w:rPr>
            </w:pPr>
            <w:r>
              <w:rPr>
                <w:rFonts w:eastAsia="Times New Roman"/>
                <w:sz w:val="18"/>
                <w:szCs w:val="18"/>
              </w:rPr>
              <w:t>NA</w:t>
            </w:r>
          </w:p>
        </w:tc>
        <w:tc>
          <w:tcPr>
            <w:tcW w:w="50" w:type="pct"/>
            <w:shd w:val="clear" w:color="auto" w:fill="CCEEFF"/>
            <w:vAlign w:val="bottom"/>
            <w:hideMark/>
          </w:tcPr>
          <w:p w14:paraId="7A5B4E9C"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1BE3A4BF"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0733EECF" w14:textId="77777777" w:rsidR="00000000" w:rsidRDefault="002F725F">
            <w:pPr>
              <w:rPr>
                <w:rFonts w:eastAsia="Times New Roman"/>
                <w:sz w:val="18"/>
                <w:szCs w:val="18"/>
              </w:rPr>
            </w:pPr>
            <w:r>
              <w:rPr>
                <w:rFonts w:eastAsia="Times New Roman"/>
                <w:sz w:val="18"/>
                <w:szCs w:val="18"/>
              </w:rPr>
              <w:t> </w:t>
            </w:r>
          </w:p>
        </w:tc>
        <w:tc>
          <w:tcPr>
            <w:tcW w:w="250" w:type="pct"/>
            <w:shd w:val="clear" w:color="auto" w:fill="CCEEFF"/>
            <w:vAlign w:val="bottom"/>
            <w:hideMark/>
          </w:tcPr>
          <w:p w14:paraId="6E5D303F" w14:textId="77777777" w:rsidR="00000000" w:rsidRDefault="002F725F">
            <w:pPr>
              <w:jc w:val="right"/>
              <w:rPr>
                <w:rFonts w:eastAsia="Times New Roman"/>
                <w:sz w:val="18"/>
                <w:szCs w:val="18"/>
              </w:rPr>
            </w:pPr>
            <w:r>
              <w:rPr>
                <w:rFonts w:eastAsia="Times New Roman"/>
                <w:sz w:val="18"/>
                <w:szCs w:val="18"/>
              </w:rPr>
              <w:t>517.0</w:t>
            </w:r>
          </w:p>
        </w:tc>
        <w:tc>
          <w:tcPr>
            <w:tcW w:w="50" w:type="pct"/>
            <w:shd w:val="clear" w:color="auto" w:fill="CCEEFF"/>
            <w:vAlign w:val="bottom"/>
            <w:hideMark/>
          </w:tcPr>
          <w:p w14:paraId="0810D1CF" w14:textId="77777777" w:rsidR="00000000" w:rsidRDefault="002F725F">
            <w:pPr>
              <w:rPr>
                <w:rFonts w:eastAsia="Times New Roman"/>
                <w:sz w:val="18"/>
                <w:szCs w:val="18"/>
              </w:rPr>
            </w:pPr>
            <w:r>
              <w:rPr>
                <w:rFonts w:eastAsia="Times New Roman"/>
                <w:sz w:val="18"/>
                <w:szCs w:val="18"/>
              </w:rPr>
              <w:t>%</w:t>
            </w:r>
          </w:p>
        </w:tc>
        <w:tc>
          <w:tcPr>
            <w:tcW w:w="50" w:type="pct"/>
            <w:shd w:val="clear" w:color="auto" w:fill="CCEEFF"/>
            <w:vAlign w:val="bottom"/>
            <w:hideMark/>
          </w:tcPr>
          <w:p w14:paraId="084D9B7D"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2452C11C" w14:textId="77777777" w:rsidR="00000000" w:rsidRDefault="002F725F">
            <w:pPr>
              <w:rPr>
                <w:rFonts w:eastAsia="Times New Roman"/>
                <w:sz w:val="18"/>
                <w:szCs w:val="18"/>
              </w:rPr>
            </w:pPr>
            <w:r>
              <w:rPr>
                <w:rFonts w:eastAsia="Times New Roman"/>
                <w:sz w:val="18"/>
                <w:szCs w:val="18"/>
              </w:rPr>
              <w:t> </w:t>
            </w:r>
          </w:p>
        </w:tc>
        <w:tc>
          <w:tcPr>
            <w:tcW w:w="250" w:type="pct"/>
            <w:shd w:val="clear" w:color="auto" w:fill="CCEEFF"/>
            <w:vAlign w:val="bottom"/>
            <w:hideMark/>
          </w:tcPr>
          <w:p w14:paraId="15C71994" w14:textId="77777777" w:rsidR="00000000" w:rsidRDefault="002F725F">
            <w:pPr>
              <w:jc w:val="right"/>
              <w:rPr>
                <w:rFonts w:eastAsia="Times New Roman"/>
                <w:sz w:val="18"/>
                <w:szCs w:val="18"/>
              </w:rPr>
            </w:pPr>
            <w:r>
              <w:rPr>
                <w:rFonts w:eastAsia="Times New Roman"/>
                <w:sz w:val="18"/>
                <w:szCs w:val="18"/>
              </w:rPr>
              <w:t>NA</w:t>
            </w:r>
          </w:p>
        </w:tc>
        <w:tc>
          <w:tcPr>
            <w:tcW w:w="50" w:type="pct"/>
            <w:shd w:val="clear" w:color="auto" w:fill="CCEEFF"/>
            <w:vAlign w:val="bottom"/>
            <w:hideMark/>
          </w:tcPr>
          <w:p w14:paraId="122D0468"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640EC1C0"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252BD6E4" w14:textId="77777777" w:rsidR="00000000" w:rsidRDefault="002F725F">
            <w:pPr>
              <w:rPr>
                <w:rFonts w:eastAsia="Times New Roman"/>
                <w:sz w:val="18"/>
                <w:szCs w:val="18"/>
              </w:rPr>
            </w:pPr>
            <w:r>
              <w:rPr>
                <w:rFonts w:eastAsia="Times New Roman"/>
                <w:sz w:val="18"/>
                <w:szCs w:val="18"/>
              </w:rPr>
              <w:t> </w:t>
            </w:r>
          </w:p>
        </w:tc>
        <w:tc>
          <w:tcPr>
            <w:tcW w:w="250" w:type="pct"/>
            <w:shd w:val="clear" w:color="auto" w:fill="CCEEFF"/>
            <w:vAlign w:val="bottom"/>
            <w:hideMark/>
          </w:tcPr>
          <w:p w14:paraId="1DDFB123" w14:textId="77777777" w:rsidR="00000000" w:rsidRDefault="002F725F">
            <w:pPr>
              <w:jc w:val="right"/>
              <w:rPr>
                <w:rFonts w:eastAsia="Times New Roman"/>
                <w:sz w:val="18"/>
                <w:szCs w:val="18"/>
              </w:rPr>
            </w:pPr>
            <w:r>
              <w:rPr>
                <w:rFonts w:eastAsia="Times New Roman"/>
                <w:sz w:val="18"/>
                <w:szCs w:val="18"/>
              </w:rPr>
              <w:t>NA</w:t>
            </w:r>
          </w:p>
        </w:tc>
        <w:tc>
          <w:tcPr>
            <w:tcW w:w="50" w:type="pct"/>
            <w:shd w:val="clear" w:color="auto" w:fill="CCEEFF"/>
            <w:vAlign w:val="bottom"/>
            <w:hideMark/>
          </w:tcPr>
          <w:p w14:paraId="299B4A0F"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4574D9B8"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2ED1517E" w14:textId="77777777" w:rsidR="00000000" w:rsidRDefault="002F725F">
            <w:pPr>
              <w:rPr>
                <w:rFonts w:eastAsia="Times New Roman"/>
                <w:sz w:val="18"/>
                <w:szCs w:val="18"/>
              </w:rPr>
            </w:pPr>
            <w:r>
              <w:rPr>
                <w:rFonts w:eastAsia="Times New Roman"/>
                <w:sz w:val="18"/>
                <w:szCs w:val="18"/>
              </w:rPr>
              <w:t> </w:t>
            </w:r>
          </w:p>
        </w:tc>
        <w:tc>
          <w:tcPr>
            <w:tcW w:w="250" w:type="pct"/>
            <w:shd w:val="clear" w:color="auto" w:fill="CCEEFF"/>
            <w:vAlign w:val="bottom"/>
            <w:hideMark/>
          </w:tcPr>
          <w:p w14:paraId="2F302CF6" w14:textId="77777777" w:rsidR="00000000" w:rsidRDefault="002F725F">
            <w:pPr>
              <w:jc w:val="right"/>
              <w:rPr>
                <w:rFonts w:eastAsia="Times New Roman"/>
                <w:sz w:val="18"/>
                <w:szCs w:val="18"/>
              </w:rPr>
            </w:pPr>
            <w:r>
              <w:rPr>
                <w:rFonts w:eastAsia="Times New Roman"/>
                <w:sz w:val="18"/>
                <w:szCs w:val="18"/>
              </w:rPr>
              <w:t>NA</w:t>
            </w:r>
          </w:p>
        </w:tc>
        <w:tc>
          <w:tcPr>
            <w:tcW w:w="50" w:type="pct"/>
            <w:shd w:val="clear" w:color="auto" w:fill="CCEEFF"/>
            <w:vAlign w:val="bottom"/>
            <w:hideMark/>
          </w:tcPr>
          <w:p w14:paraId="66399934"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4AB756CD"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7689DA6D" w14:textId="77777777" w:rsidR="00000000" w:rsidRDefault="002F725F">
            <w:pPr>
              <w:rPr>
                <w:rFonts w:eastAsia="Times New Roman"/>
                <w:sz w:val="18"/>
                <w:szCs w:val="18"/>
              </w:rPr>
            </w:pPr>
            <w:r>
              <w:rPr>
                <w:rFonts w:eastAsia="Times New Roman"/>
                <w:sz w:val="18"/>
                <w:szCs w:val="18"/>
              </w:rPr>
              <w:t> </w:t>
            </w:r>
          </w:p>
        </w:tc>
        <w:tc>
          <w:tcPr>
            <w:tcW w:w="250" w:type="pct"/>
            <w:shd w:val="clear" w:color="auto" w:fill="CCEEFF"/>
            <w:vAlign w:val="bottom"/>
            <w:hideMark/>
          </w:tcPr>
          <w:p w14:paraId="218D6D47" w14:textId="77777777" w:rsidR="00000000" w:rsidRDefault="002F725F">
            <w:pPr>
              <w:jc w:val="right"/>
              <w:rPr>
                <w:rFonts w:eastAsia="Times New Roman"/>
                <w:sz w:val="18"/>
                <w:szCs w:val="18"/>
              </w:rPr>
            </w:pPr>
            <w:r>
              <w:rPr>
                <w:rFonts w:eastAsia="Times New Roman"/>
                <w:sz w:val="18"/>
                <w:szCs w:val="18"/>
              </w:rPr>
              <w:t>NM</w:t>
            </w:r>
          </w:p>
        </w:tc>
        <w:tc>
          <w:tcPr>
            <w:tcW w:w="50" w:type="pct"/>
            <w:shd w:val="clear" w:color="auto" w:fill="CCEEFF"/>
            <w:vAlign w:val="bottom"/>
            <w:hideMark/>
          </w:tcPr>
          <w:p w14:paraId="49A60300"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00CDF869"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78BF8CB6" w14:textId="77777777" w:rsidR="00000000" w:rsidRDefault="002F725F">
            <w:pPr>
              <w:rPr>
                <w:rFonts w:eastAsia="Times New Roman"/>
                <w:sz w:val="18"/>
                <w:szCs w:val="18"/>
              </w:rPr>
            </w:pPr>
            <w:r>
              <w:rPr>
                <w:rFonts w:eastAsia="Times New Roman"/>
                <w:sz w:val="18"/>
                <w:szCs w:val="18"/>
              </w:rPr>
              <w:t> </w:t>
            </w:r>
          </w:p>
        </w:tc>
        <w:tc>
          <w:tcPr>
            <w:tcW w:w="250" w:type="pct"/>
            <w:shd w:val="clear" w:color="auto" w:fill="CCEEFF"/>
            <w:vAlign w:val="bottom"/>
            <w:hideMark/>
          </w:tcPr>
          <w:p w14:paraId="678627A3" w14:textId="77777777" w:rsidR="00000000" w:rsidRDefault="002F725F">
            <w:pPr>
              <w:jc w:val="right"/>
              <w:rPr>
                <w:rFonts w:eastAsia="Times New Roman"/>
                <w:sz w:val="18"/>
                <w:szCs w:val="18"/>
              </w:rPr>
            </w:pPr>
            <w:r>
              <w:rPr>
                <w:rFonts w:eastAsia="Times New Roman"/>
                <w:sz w:val="18"/>
                <w:szCs w:val="18"/>
              </w:rPr>
              <w:t>NA</w:t>
            </w:r>
          </w:p>
        </w:tc>
        <w:tc>
          <w:tcPr>
            <w:tcW w:w="50" w:type="pct"/>
            <w:shd w:val="clear" w:color="auto" w:fill="CCEEFF"/>
            <w:vAlign w:val="bottom"/>
            <w:hideMark/>
          </w:tcPr>
          <w:p w14:paraId="20AB97D2"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71EC1393"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08B7E8C4" w14:textId="77777777" w:rsidR="00000000" w:rsidRDefault="002F725F">
            <w:pPr>
              <w:rPr>
                <w:rFonts w:eastAsia="Times New Roman"/>
                <w:sz w:val="18"/>
                <w:szCs w:val="18"/>
              </w:rPr>
            </w:pPr>
            <w:r>
              <w:rPr>
                <w:rFonts w:eastAsia="Times New Roman"/>
                <w:sz w:val="18"/>
                <w:szCs w:val="18"/>
              </w:rPr>
              <w:t> </w:t>
            </w:r>
          </w:p>
        </w:tc>
        <w:tc>
          <w:tcPr>
            <w:tcW w:w="250" w:type="pct"/>
            <w:shd w:val="clear" w:color="auto" w:fill="CCEEFF"/>
            <w:vAlign w:val="bottom"/>
            <w:hideMark/>
          </w:tcPr>
          <w:p w14:paraId="12694C25" w14:textId="77777777" w:rsidR="00000000" w:rsidRDefault="002F725F">
            <w:pPr>
              <w:jc w:val="right"/>
              <w:rPr>
                <w:rFonts w:eastAsia="Times New Roman"/>
                <w:sz w:val="18"/>
                <w:szCs w:val="18"/>
              </w:rPr>
            </w:pPr>
            <w:r>
              <w:rPr>
                <w:rFonts w:eastAsia="Times New Roman"/>
                <w:sz w:val="18"/>
                <w:szCs w:val="18"/>
              </w:rPr>
              <w:t>NA</w:t>
            </w:r>
          </w:p>
        </w:tc>
        <w:tc>
          <w:tcPr>
            <w:tcW w:w="50" w:type="pct"/>
            <w:shd w:val="clear" w:color="auto" w:fill="CCEEFF"/>
            <w:vAlign w:val="bottom"/>
            <w:hideMark/>
          </w:tcPr>
          <w:p w14:paraId="6C9AEFF8"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0EF4F6B5"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66A929BC" w14:textId="77777777" w:rsidR="00000000" w:rsidRDefault="002F725F">
            <w:pPr>
              <w:rPr>
                <w:rFonts w:eastAsia="Times New Roman"/>
                <w:sz w:val="18"/>
                <w:szCs w:val="18"/>
              </w:rPr>
            </w:pPr>
            <w:r>
              <w:rPr>
                <w:rFonts w:eastAsia="Times New Roman"/>
                <w:sz w:val="18"/>
                <w:szCs w:val="18"/>
              </w:rPr>
              <w:t> </w:t>
            </w:r>
          </w:p>
        </w:tc>
        <w:tc>
          <w:tcPr>
            <w:tcW w:w="250" w:type="pct"/>
            <w:shd w:val="clear" w:color="auto" w:fill="CCEEFF"/>
            <w:vAlign w:val="bottom"/>
            <w:hideMark/>
          </w:tcPr>
          <w:p w14:paraId="02B3030B" w14:textId="77777777" w:rsidR="00000000" w:rsidRDefault="002F725F">
            <w:pPr>
              <w:jc w:val="right"/>
              <w:rPr>
                <w:rFonts w:eastAsia="Times New Roman"/>
                <w:sz w:val="18"/>
                <w:szCs w:val="18"/>
              </w:rPr>
            </w:pPr>
            <w:r>
              <w:rPr>
                <w:rFonts w:eastAsia="Times New Roman"/>
                <w:sz w:val="18"/>
                <w:szCs w:val="18"/>
              </w:rPr>
              <w:t>NM</w:t>
            </w:r>
          </w:p>
        </w:tc>
        <w:tc>
          <w:tcPr>
            <w:tcW w:w="50" w:type="pct"/>
            <w:shd w:val="clear" w:color="auto" w:fill="CCEEFF"/>
            <w:vAlign w:val="bottom"/>
            <w:hideMark/>
          </w:tcPr>
          <w:p w14:paraId="28886622"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13C2F57B"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395032F8" w14:textId="77777777" w:rsidR="00000000" w:rsidRDefault="002F725F">
            <w:pPr>
              <w:rPr>
                <w:rFonts w:eastAsia="Times New Roman"/>
                <w:sz w:val="18"/>
                <w:szCs w:val="18"/>
              </w:rPr>
            </w:pPr>
            <w:r>
              <w:rPr>
                <w:rFonts w:eastAsia="Times New Roman"/>
                <w:sz w:val="18"/>
                <w:szCs w:val="18"/>
              </w:rPr>
              <w:t> </w:t>
            </w:r>
          </w:p>
        </w:tc>
        <w:tc>
          <w:tcPr>
            <w:tcW w:w="250" w:type="pct"/>
            <w:shd w:val="clear" w:color="auto" w:fill="CCEEFF"/>
            <w:vAlign w:val="bottom"/>
            <w:hideMark/>
          </w:tcPr>
          <w:p w14:paraId="54C03247" w14:textId="77777777" w:rsidR="00000000" w:rsidRDefault="002F725F">
            <w:pPr>
              <w:jc w:val="right"/>
              <w:rPr>
                <w:rFonts w:eastAsia="Times New Roman"/>
                <w:sz w:val="18"/>
                <w:szCs w:val="18"/>
              </w:rPr>
            </w:pPr>
            <w:r>
              <w:rPr>
                <w:rFonts w:eastAsia="Times New Roman"/>
                <w:sz w:val="18"/>
                <w:szCs w:val="18"/>
              </w:rPr>
              <w:t>-50.4</w:t>
            </w:r>
          </w:p>
        </w:tc>
        <w:tc>
          <w:tcPr>
            <w:tcW w:w="50" w:type="pct"/>
            <w:shd w:val="clear" w:color="auto" w:fill="CCEEFF"/>
            <w:vAlign w:val="bottom"/>
            <w:hideMark/>
          </w:tcPr>
          <w:p w14:paraId="6C55B3FE" w14:textId="77777777" w:rsidR="00000000" w:rsidRDefault="002F725F">
            <w:pPr>
              <w:rPr>
                <w:rFonts w:eastAsia="Times New Roman"/>
                <w:sz w:val="18"/>
                <w:szCs w:val="18"/>
              </w:rPr>
            </w:pPr>
            <w:r>
              <w:rPr>
                <w:rFonts w:eastAsia="Times New Roman"/>
                <w:sz w:val="18"/>
                <w:szCs w:val="18"/>
              </w:rPr>
              <w:t>%</w:t>
            </w:r>
          </w:p>
        </w:tc>
        <w:tc>
          <w:tcPr>
            <w:tcW w:w="50" w:type="pct"/>
            <w:shd w:val="clear" w:color="auto" w:fill="CCEEFF"/>
            <w:vAlign w:val="bottom"/>
            <w:hideMark/>
          </w:tcPr>
          <w:p w14:paraId="2EE70E30"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7118051A" w14:textId="77777777" w:rsidR="00000000" w:rsidRDefault="002F725F">
            <w:pPr>
              <w:rPr>
                <w:rFonts w:eastAsia="Times New Roman"/>
                <w:sz w:val="18"/>
                <w:szCs w:val="18"/>
              </w:rPr>
            </w:pPr>
            <w:r>
              <w:rPr>
                <w:rFonts w:eastAsia="Times New Roman"/>
                <w:sz w:val="18"/>
                <w:szCs w:val="18"/>
              </w:rPr>
              <w:t> </w:t>
            </w:r>
          </w:p>
        </w:tc>
        <w:tc>
          <w:tcPr>
            <w:tcW w:w="250" w:type="pct"/>
            <w:shd w:val="clear" w:color="auto" w:fill="CCEEFF"/>
            <w:vAlign w:val="bottom"/>
            <w:hideMark/>
          </w:tcPr>
          <w:p w14:paraId="4188A317" w14:textId="77777777" w:rsidR="00000000" w:rsidRDefault="002F725F">
            <w:pPr>
              <w:jc w:val="right"/>
              <w:rPr>
                <w:rFonts w:eastAsia="Times New Roman"/>
                <w:sz w:val="18"/>
                <w:szCs w:val="18"/>
              </w:rPr>
            </w:pPr>
            <w:r>
              <w:rPr>
                <w:rFonts w:eastAsia="Times New Roman"/>
                <w:sz w:val="18"/>
                <w:szCs w:val="18"/>
              </w:rPr>
              <w:t>NA</w:t>
            </w:r>
          </w:p>
        </w:tc>
        <w:tc>
          <w:tcPr>
            <w:tcW w:w="50" w:type="pct"/>
            <w:shd w:val="clear" w:color="auto" w:fill="CCEEFF"/>
            <w:vAlign w:val="bottom"/>
            <w:hideMark/>
          </w:tcPr>
          <w:p w14:paraId="31E591E2"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4F1A4D7D" w14:textId="77777777" w:rsidR="00000000" w:rsidRDefault="002F725F">
            <w:pPr>
              <w:rPr>
                <w:rFonts w:eastAsia="Times New Roman"/>
                <w:sz w:val="18"/>
                <w:szCs w:val="18"/>
              </w:rPr>
            </w:pPr>
            <w:r>
              <w:rPr>
                <w:rFonts w:eastAsia="Times New Roman"/>
                <w:sz w:val="18"/>
                <w:szCs w:val="18"/>
              </w:rPr>
              <w:t> </w:t>
            </w:r>
          </w:p>
        </w:tc>
        <w:tc>
          <w:tcPr>
            <w:tcW w:w="50" w:type="pct"/>
            <w:shd w:val="clear" w:color="auto" w:fill="CCEEFF"/>
            <w:vAlign w:val="bottom"/>
            <w:hideMark/>
          </w:tcPr>
          <w:p w14:paraId="3F1B8BB4" w14:textId="77777777" w:rsidR="00000000" w:rsidRDefault="002F725F">
            <w:pPr>
              <w:rPr>
                <w:rFonts w:eastAsia="Times New Roman"/>
                <w:sz w:val="18"/>
                <w:szCs w:val="18"/>
              </w:rPr>
            </w:pPr>
            <w:r>
              <w:rPr>
                <w:rFonts w:eastAsia="Times New Roman"/>
                <w:sz w:val="18"/>
                <w:szCs w:val="18"/>
              </w:rPr>
              <w:t> </w:t>
            </w:r>
          </w:p>
        </w:tc>
        <w:tc>
          <w:tcPr>
            <w:tcW w:w="250" w:type="pct"/>
            <w:shd w:val="clear" w:color="auto" w:fill="CCEEFF"/>
            <w:vAlign w:val="bottom"/>
            <w:hideMark/>
          </w:tcPr>
          <w:p w14:paraId="1ECB4352" w14:textId="77777777" w:rsidR="00000000" w:rsidRDefault="002F725F">
            <w:pPr>
              <w:jc w:val="right"/>
              <w:rPr>
                <w:rFonts w:eastAsia="Times New Roman"/>
                <w:sz w:val="18"/>
                <w:szCs w:val="18"/>
              </w:rPr>
            </w:pPr>
            <w:r>
              <w:rPr>
                <w:rFonts w:eastAsia="Times New Roman"/>
                <w:sz w:val="18"/>
                <w:szCs w:val="18"/>
              </w:rPr>
              <w:t>NA</w:t>
            </w:r>
          </w:p>
        </w:tc>
        <w:tc>
          <w:tcPr>
            <w:tcW w:w="50" w:type="pct"/>
            <w:shd w:val="clear" w:color="auto" w:fill="CCEEFF"/>
            <w:vAlign w:val="bottom"/>
            <w:hideMark/>
          </w:tcPr>
          <w:p w14:paraId="76E26CD7" w14:textId="77777777" w:rsidR="00000000" w:rsidRDefault="002F725F">
            <w:pPr>
              <w:rPr>
                <w:rFonts w:eastAsia="Times New Roman"/>
                <w:sz w:val="18"/>
                <w:szCs w:val="18"/>
              </w:rPr>
            </w:pPr>
            <w:r>
              <w:rPr>
                <w:rFonts w:eastAsia="Times New Roman"/>
                <w:sz w:val="18"/>
                <w:szCs w:val="18"/>
              </w:rPr>
              <w:t> </w:t>
            </w:r>
          </w:p>
        </w:tc>
      </w:tr>
      <w:tr w:rsidR="002F725F" w14:paraId="0222EAE8" w14:textId="77777777">
        <w:trPr>
          <w:divId w:val="415980837"/>
        </w:trPr>
        <w:tc>
          <w:tcPr>
            <w:tcW w:w="0" w:type="auto"/>
            <w:shd w:val="clear" w:color="auto" w:fill="FFFFFF"/>
            <w:tcMar>
              <w:top w:w="0" w:type="dxa"/>
              <w:left w:w="180" w:type="dxa"/>
              <w:bottom w:w="0" w:type="dxa"/>
              <w:right w:w="0" w:type="dxa"/>
            </w:tcMar>
            <w:vAlign w:val="bottom"/>
            <w:hideMark/>
          </w:tcPr>
          <w:p w14:paraId="42B2968D" w14:textId="77777777" w:rsidR="00000000" w:rsidRDefault="002F725F">
            <w:pPr>
              <w:ind w:hanging="180"/>
              <w:rPr>
                <w:rFonts w:eastAsia="Times New Roman"/>
                <w:sz w:val="18"/>
                <w:szCs w:val="18"/>
              </w:rPr>
            </w:pPr>
            <w:r>
              <w:rPr>
                <w:rFonts w:eastAsia="Times New Roman"/>
                <w:sz w:val="18"/>
                <w:szCs w:val="18"/>
              </w:rPr>
              <w:t>AIM Vaccine Co., Ltd.</w:t>
            </w:r>
          </w:p>
        </w:tc>
        <w:tc>
          <w:tcPr>
            <w:tcW w:w="0" w:type="auto"/>
            <w:shd w:val="clear" w:color="auto" w:fill="FFFFFF"/>
            <w:vAlign w:val="bottom"/>
            <w:hideMark/>
          </w:tcPr>
          <w:p w14:paraId="5846832D"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24233B07"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69C41AC" w14:textId="77777777" w:rsidR="00000000" w:rsidRDefault="002F725F">
            <w:pPr>
              <w:jc w:val="right"/>
              <w:rPr>
                <w:rFonts w:eastAsia="Times New Roman"/>
                <w:sz w:val="18"/>
                <w:szCs w:val="18"/>
              </w:rPr>
            </w:pPr>
            <w:r>
              <w:rPr>
                <w:rFonts w:eastAsia="Times New Roman"/>
                <w:sz w:val="18"/>
                <w:szCs w:val="18"/>
              </w:rPr>
              <w:t>-6.5</w:t>
            </w:r>
          </w:p>
        </w:tc>
        <w:tc>
          <w:tcPr>
            <w:tcW w:w="0" w:type="auto"/>
            <w:shd w:val="clear" w:color="auto" w:fill="FFFFFF"/>
            <w:vAlign w:val="bottom"/>
            <w:hideMark/>
          </w:tcPr>
          <w:p w14:paraId="63906449"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356427A7"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5E51F10E"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899998E" w14:textId="77777777" w:rsidR="00000000" w:rsidRDefault="002F725F">
            <w:pPr>
              <w:jc w:val="right"/>
              <w:rPr>
                <w:rFonts w:eastAsia="Times New Roman"/>
                <w:sz w:val="18"/>
                <w:szCs w:val="18"/>
              </w:rPr>
            </w:pPr>
            <w:r>
              <w:rPr>
                <w:rFonts w:eastAsia="Times New Roman"/>
                <w:sz w:val="18"/>
                <w:szCs w:val="18"/>
              </w:rPr>
              <w:t>6.6</w:t>
            </w:r>
          </w:p>
        </w:tc>
        <w:tc>
          <w:tcPr>
            <w:tcW w:w="0" w:type="auto"/>
            <w:shd w:val="clear" w:color="auto" w:fill="FFFFFF"/>
            <w:vAlign w:val="bottom"/>
            <w:hideMark/>
          </w:tcPr>
          <w:p w14:paraId="07A48C8B"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4EB06D90"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61680893"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6F1DD261" w14:textId="77777777" w:rsidR="00000000" w:rsidRDefault="002F725F">
            <w:pPr>
              <w:jc w:val="right"/>
              <w:rPr>
                <w:rFonts w:eastAsia="Times New Roman"/>
                <w:sz w:val="18"/>
                <w:szCs w:val="18"/>
              </w:rPr>
            </w:pPr>
            <w:r>
              <w:rPr>
                <w:rFonts w:eastAsia="Times New Roman"/>
                <w:sz w:val="18"/>
                <w:szCs w:val="18"/>
              </w:rPr>
              <w:t>NA</w:t>
            </w:r>
          </w:p>
        </w:tc>
        <w:tc>
          <w:tcPr>
            <w:tcW w:w="0" w:type="auto"/>
            <w:shd w:val="clear" w:color="auto" w:fill="FFFFFF"/>
            <w:vAlign w:val="bottom"/>
            <w:hideMark/>
          </w:tcPr>
          <w:p w14:paraId="661CD16A"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A9ACB36"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1F72D28D"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13042F7C" w14:textId="77777777" w:rsidR="00000000" w:rsidRDefault="002F725F">
            <w:pPr>
              <w:jc w:val="right"/>
              <w:rPr>
                <w:rFonts w:eastAsia="Times New Roman"/>
                <w:sz w:val="18"/>
                <w:szCs w:val="18"/>
              </w:rPr>
            </w:pPr>
            <w:r>
              <w:rPr>
                <w:rFonts w:eastAsia="Times New Roman"/>
                <w:sz w:val="18"/>
                <w:szCs w:val="18"/>
              </w:rPr>
              <w:t>NA</w:t>
            </w:r>
          </w:p>
        </w:tc>
        <w:tc>
          <w:tcPr>
            <w:tcW w:w="0" w:type="auto"/>
            <w:shd w:val="clear" w:color="auto" w:fill="FFFFFF"/>
            <w:vAlign w:val="bottom"/>
            <w:hideMark/>
          </w:tcPr>
          <w:p w14:paraId="229E6DB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32E475ED"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18CDA8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13A7D67E" w14:textId="77777777" w:rsidR="00000000" w:rsidRDefault="002F725F">
            <w:pPr>
              <w:jc w:val="right"/>
              <w:rPr>
                <w:rFonts w:eastAsia="Times New Roman"/>
                <w:sz w:val="18"/>
                <w:szCs w:val="18"/>
              </w:rPr>
            </w:pPr>
            <w:r>
              <w:rPr>
                <w:rFonts w:eastAsia="Times New Roman"/>
                <w:sz w:val="18"/>
                <w:szCs w:val="18"/>
              </w:rPr>
              <w:t>NM</w:t>
            </w:r>
          </w:p>
        </w:tc>
        <w:tc>
          <w:tcPr>
            <w:tcW w:w="0" w:type="auto"/>
            <w:shd w:val="clear" w:color="auto" w:fill="FFFFFF"/>
            <w:vAlign w:val="bottom"/>
            <w:hideMark/>
          </w:tcPr>
          <w:p w14:paraId="28DC5FC4"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2952A5D4"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62B07A03"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2745ABEE" w14:textId="77777777" w:rsidR="00000000" w:rsidRDefault="002F725F">
            <w:pPr>
              <w:jc w:val="right"/>
              <w:rPr>
                <w:rFonts w:eastAsia="Times New Roman"/>
                <w:sz w:val="18"/>
                <w:szCs w:val="18"/>
              </w:rPr>
            </w:pPr>
            <w:r>
              <w:rPr>
                <w:rFonts w:eastAsia="Times New Roman"/>
                <w:sz w:val="18"/>
                <w:szCs w:val="18"/>
              </w:rPr>
              <w:t>NM</w:t>
            </w:r>
          </w:p>
        </w:tc>
        <w:tc>
          <w:tcPr>
            <w:tcW w:w="0" w:type="auto"/>
            <w:shd w:val="clear" w:color="auto" w:fill="FFFFFF"/>
            <w:vAlign w:val="bottom"/>
            <w:hideMark/>
          </w:tcPr>
          <w:p w14:paraId="36E19BBC"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8203FB6"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5838D65F"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1784EFA1" w14:textId="77777777" w:rsidR="00000000" w:rsidRDefault="002F725F">
            <w:pPr>
              <w:jc w:val="right"/>
              <w:rPr>
                <w:rFonts w:eastAsia="Times New Roman"/>
                <w:sz w:val="18"/>
                <w:szCs w:val="18"/>
              </w:rPr>
            </w:pPr>
            <w:r>
              <w:rPr>
                <w:rFonts w:eastAsia="Times New Roman"/>
                <w:sz w:val="18"/>
                <w:szCs w:val="18"/>
              </w:rPr>
              <w:t>NA</w:t>
            </w:r>
          </w:p>
        </w:tc>
        <w:tc>
          <w:tcPr>
            <w:tcW w:w="0" w:type="auto"/>
            <w:shd w:val="clear" w:color="auto" w:fill="FFFFFF"/>
            <w:vAlign w:val="bottom"/>
            <w:hideMark/>
          </w:tcPr>
          <w:p w14:paraId="61E9A34A"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5B2A49BD"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05BBB2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5A281C7D" w14:textId="77777777" w:rsidR="00000000" w:rsidRDefault="002F725F">
            <w:pPr>
              <w:jc w:val="right"/>
              <w:rPr>
                <w:rFonts w:eastAsia="Times New Roman"/>
                <w:sz w:val="18"/>
                <w:szCs w:val="18"/>
              </w:rPr>
            </w:pPr>
            <w:r>
              <w:rPr>
                <w:rFonts w:eastAsia="Times New Roman"/>
                <w:sz w:val="18"/>
                <w:szCs w:val="18"/>
              </w:rPr>
              <w:t>NA</w:t>
            </w:r>
          </w:p>
        </w:tc>
        <w:tc>
          <w:tcPr>
            <w:tcW w:w="0" w:type="auto"/>
            <w:shd w:val="clear" w:color="auto" w:fill="FFFFFF"/>
            <w:vAlign w:val="bottom"/>
            <w:hideMark/>
          </w:tcPr>
          <w:p w14:paraId="4FD9C64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0982BA4"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18CF25F8"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5DF06A71" w14:textId="77777777" w:rsidR="00000000" w:rsidRDefault="002F725F">
            <w:pPr>
              <w:jc w:val="right"/>
              <w:rPr>
                <w:rFonts w:eastAsia="Times New Roman"/>
                <w:sz w:val="18"/>
                <w:szCs w:val="18"/>
              </w:rPr>
            </w:pPr>
            <w:r>
              <w:rPr>
                <w:rFonts w:eastAsia="Times New Roman"/>
                <w:sz w:val="18"/>
                <w:szCs w:val="18"/>
              </w:rPr>
              <w:t>-62.5</w:t>
            </w:r>
          </w:p>
        </w:tc>
        <w:tc>
          <w:tcPr>
            <w:tcW w:w="0" w:type="auto"/>
            <w:shd w:val="clear" w:color="auto" w:fill="FFFFFF"/>
            <w:vAlign w:val="bottom"/>
            <w:hideMark/>
          </w:tcPr>
          <w:p w14:paraId="6B305899"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38C3E6D6"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4E7B5FF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6E1D0707" w14:textId="77777777" w:rsidR="00000000" w:rsidRDefault="002F725F">
            <w:pPr>
              <w:jc w:val="right"/>
              <w:rPr>
                <w:rFonts w:eastAsia="Times New Roman"/>
                <w:sz w:val="18"/>
                <w:szCs w:val="18"/>
              </w:rPr>
            </w:pPr>
            <w:r>
              <w:rPr>
                <w:rFonts w:eastAsia="Times New Roman"/>
                <w:sz w:val="18"/>
                <w:szCs w:val="18"/>
              </w:rPr>
              <w:t>-7.3</w:t>
            </w:r>
          </w:p>
        </w:tc>
        <w:tc>
          <w:tcPr>
            <w:tcW w:w="0" w:type="auto"/>
            <w:shd w:val="clear" w:color="auto" w:fill="FFFFFF"/>
            <w:vAlign w:val="bottom"/>
            <w:hideMark/>
          </w:tcPr>
          <w:p w14:paraId="6AA38D41"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1F6EDE3E"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B50AC03"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60E3F7D5" w14:textId="77777777" w:rsidR="00000000" w:rsidRDefault="002F725F">
            <w:pPr>
              <w:jc w:val="right"/>
              <w:rPr>
                <w:rFonts w:eastAsia="Times New Roman"/>
                <w:sz w:val="18"/>
                <w:szCs w:val="18"/>
              </w:rPr>
            </w:pPr>
            <w:r>
              <w:rPr>
                <w:rFonts w:eastAsia="Times New Roman"/>
                <w:sz w:val="18"/>
                <w:szCs w:val="18"/>
              </w:rPr>
              <w:t>NA</w:t>
            </w:r>
          </w:p>
        </w:tc>
        <w:tc>
          <w:tcPr>
            <w:tcW w:w="0" w:type="auto"/>
            <w:shd w:val="clear" w:color="auto" w:fill="FFFFFF"/>
            <w:vAlign w:val="bottom"/>
            <w:hideMark/>
          </w:tcPr>
          <w:p w14:paraId="24A79340"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4BC8D52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2A6A111"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D7E1031" w14:textId="77777777" w:rsidR="00000000" w:rsidRDefault="002F725F">
            <w:pPr>
              <w:jc w:val="right"/>
              <w:rPr>
                <w:rFonts w:eastAsia="Times New Roman"/>
                <w:sz w:val="18"/>
                <w:szCs w:val="18"/>
              </w:rPr>
            </w:pPr>
            <w:r>
              <w:rPr>
                <w:rFonts w:eastAsia="Times New Roman"/>
                <w:sz w:val="18"/>
                <w:szCs w:val="18"/>
              </w:rPr>
              <w:t>NA</w:t>
            </w:r>
          </w:p>
        </w:tc>
        <w:tc>
          <w:tcPr>
            <w:tcW w:w="0" w:type="auto"/>
            <w:shd w:val="clear" w:color="auto" w:fill="FFFFFF"/>
            <w:vAlign w:val="bottom"/>
            <w:hideMark/>
          </w:tcPr>
          <w:p w14:paraId="6840344A" w14:textId="77777777" w:rsidR="00000000" w:rsidRDefault="002F725F">
            <w:pPr>
              <w:rPr>
                <w:rFonts w:eastAsia="Times New Roman"/>
                <w:sz w:val="18"/>
                <w:szCs w:val="18"/>
              </w:rPr>
            </w:pPr>
            <w:r>
              <w:rPr>
                <w:rFonts w:eastAsia="Times New Roman"/>
                <w:sz w:val="18"/>
                <w:szCs w:val="18"/>
              </w:rPr>
              <w:t> </w:t>
            </w:r>
          </w:p>
        </w:tc>
      </w:tr>
      <w:tr w:rsidR="002F725F" w14:paraId="7C688627" w14:textId="77777777">
        <w:trPr>
          <w:divId w:val="415980837"/>
        </w:trPr>
        <w:tc>
          <w:tcPr>
            <w:tcW w:w="0" w:type="auto"/>
            <w:shd w:val="clear" w:color="auto" w:fill="CCEEFF"/>
            <w:tcMar>
              <w:top w:w="0" w:type="dxa"/>
              <w:left w:w="180" w:type="dxa"/>
              <w:bottom w:w="0" w:type="dxa"/>
              <w:right w:w="0" w:type="dxa"/>
            </w:tcMar>
            <w:vAlign w:val="bottom"/>
            <w:hideMark/>
          </w:tcPr>
          <w:p w14:paraId="109A689A" w14:textId="77777777" w:rsidR="00000000" w:rsidRDefault="002F725F">
            <w:pPr>
              <w:ind w:hanging="180"/>
              <w:rPr>
                <w:rFonts w:eastAsia="Times New Roman"/>
                <w:sz w:val="18"/>
                <w:szCs w:val="18"/>
              </w:rPr>
            </w:pPr>
            <w:r>
              <w:rPr>
                <w:rFonts w:eastAsia="Times New Roman"/>
                <w:sz w:val="18"/>
                <w:szCs w:val="18"/>
              </w:rPr>
              <w:t>Bavarian Nordic A/S</w:t>
            </w:r>
          </w:p>
        </w:tc>
        <w:tc>
          <w:tcPr>
            <w:tcW w:w="0" w:type="auto"/>
            <w:shd w:val="clear" w:color="auto" w:fill="CCEEFF"/>
            <w:vAlign w:val="bottom"/>
            <w:hideMark/>
          </w:tcPr>
          <w:p w14:paraId="0EAB96C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67C3BE3C"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5B65E640" w14:textId="77777777" w:rsidR="00000000" w:rsidRDefault="002F725F">
            <w:pPr>
              <w:jc w:val="right"/>
              <w:rPr>
                <w:rFonts w:eastAsia="Times New Roman"/>
                <w:sz w:val="18"/>
                <w:szCs w:val="18"/>
              </w:rPr>
            </w:pPr>
            <w:r>
              <w:rPr>
                <w:rFonts w:eastAsia="Times New Roman"/>
                <w:sz w:val="18"/>
                <w:szCs w:val="18"/>
              </w:rPr>
              <w:t>-6.0</w:t>
            </w:r>
          </w:p>
        </w:tc>
        <w:tc>
          <w:tcPr>
            <w:tcW w:w="0" w:type="auto"/>
            <w:shd w:val="clear" w:color="auto" w:fill="CCEEFF"/>
            <w:vAlign w:val="bottom"/>
            <w:hideMark/>
          </w:tcPr>
          <w:p w14:paraId="6F3F1903"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62AF7A47"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00F2EF1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02CB9536" w14:textId="77777777" w:rsidR="00000000" w:rsidRDefault="002F725F">
            <w:pPr>
              <w:jc w:val="right"/>
              <w:rPr>
                <w:rFonts w:eastAsia="Times New Roman"/>
                <w:sz w:val="18"/>
                <w:szCs w:val="18"/>
              </w:rPr>
            </w:pPr>
            <w:r>
              <w:rPr>
                <w:rFonts w:eastAsia="Times New Roman"/>
                <w:sz w:val="18"/>
                <w:szCs w:val="18"/>
              </w:rPr>
              <w:t>9.2</w:t>
            </w:r>
          </w:p>
        </w:tc>
        <w:tc>
          <w:tcPr>
            <w:tcW w:w="0" w:type="auto"/>
            <w:shd w:val="clear" w:color="auto" w:fill="CCEEFF"/>
            <w:vAlign w:val="bottom"/>
            <w:hideMark/>
          </w:tcPr>
          <w:p w14:paraId="5727E726"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30DB7A6D"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6EF47C1D"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344A608B" w14:textId="77777777" w:rsidR="00000000" w:rsidRDefault="002F725F">
            <w:pPr>
              <w:jc w:val="right"/>
              <w:rPr>
                <w:rFonts w:eastAsia="Times New Roman"/>
                <w:sz w:val="18"/>
                <w:szCs w:val="18"/>
              </w:rPr>
            </w:pPr>
            <w:r>
              <w:rPr>
                <w:rFonts w:eastAsia="Times New Roman"/>
                <w:sz w:val="18"/>
                <w:szCs w:val="18"/>
              </w:rPr>
              <w:t>-17.2</w:t>
            </w:r>
          </w:p>
        </w:tc>
        <w:tc>
          <w:tcPr>
            <w:tcW w:w="0" w:type="auto"/>
            <w:shd w:val="clear" w:color="auto" w:fill="CCEEFF"/>
            <w:vAlign w:val="bottom"/>
            <w:hideMark/>
          </w:tcPr>
          <w:p w14:paraId="24667FA7"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0B3BE444"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13B0B9D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7DD5CB89" w14:textId="77777777" w:rsidR="00000000" w:rsidRDefault="002F725F">
            <w:pPr>
              <w:jc w:val="right"/>
              <w:rPr>
                <w:rFonts w:eastAsia="Times New Roman"/>
                <w:sz w:val="18"/>
                <w:szCs w:val="18"/>
              </w:rPr>
            </w:pPr>
            <w:r>
              <w:rPr>
                <w:rFonts w:eastAsia="Times New Roman"/>
                <w:sz w:val="18"/>
                <w:szCs w:val="18"/>
              </w:rPr>
              <w:t>6.3</w:t>
            </w:r>
          </w:p>
        </w:tc>
        <w:tc>
          <w:tcPr>
            <w:tcW w:w="0" w:type="auto"/>
            <w:shd w:val="clear" w:color="auto" w:fill="CCEEFF"/>
            <w:vAlign w:val="bottom"/>
            <w:hideMark/>
          </w:tcPr>
          <w:p w14:paraId="0DEE3897"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06FDA90A"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C4A903E"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638C696C" w14:textId="77777777" w:rsidR="00000000" w:rsidRDefault="002F725F">
            <w:pPr>
              <w:jc w:val="right"/>
              <w:rPr>
                <w:rFonts w:eastAsia="Times New Roman"/>
                <w:sz w:val="18"/>
                <w:szCs w:val="18"/>
              </w:rPr>
            </w:pPr>
            <w:r>
              <w:rPr>
                <w:rFonts w:eastAsia="Times New Roman"/>
                <w:sz w:val="18"/>
                <w:szCs w:val="18"/>
              </w:rPr>
              <w:t>76.2</w:t>
            </w:r>
          </w:p>
        </w:tc>
        <w:tc>
          <w:tcPr>
            <w:tcW w:w="0" w:type="auto"/>
            <w:shd w:val="clear" w:color="auto" w:fill="CCEEFF"/>
            <w:vAlign w:val="bottom"/>
            <w:hideMark/>
          </w:tcPr>
          <w:p w14:paraId="1CB53857"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6F3F2ED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65F56BD0"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1335E5E7" w14:textId="77777777" w:rsidR="00000000" w:rsidRDefault="002F725F">
            <w:pPr>
              <w:jc w:val="right"/>
              <w:rPr>
                <w:rFonts w:eastAsia="Times New Roman"/>
                <w:sz w:val="18"/>
                <w:szCs w:val="18"/>
              </w:rPr>
            </w:pPr>
            <w:r>
              <w:rPr>
                <w:rFonts w:eastAsia="Times New Roman"/>
                <w:sz w:val="18"/>
                <w:szCs w:val="18"/>
              </w:rPr>
              <w:t>3.7</w:t>
            </w:r>
          </w:p>
        </w:tc>
        <w:tc>
          <w:tcPr>
            <w:tcW w:w="0" w:type="auto"/>
            <w:shd w:val="clear" w:color="auto" w:fill="CCEEFF"/>
            <w:vAlign w:val="bottom"/>
            <w:hideMark/>
          </w:tcPr>
          <w:p w14:paraId="15C19282"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3E1E328F"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27866DA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6B2A0B2A" w14:textId="77777777" w:rsidR="00000000" w:rsidRDefault="002F725F">
            <w:pPr>
              <w:jc w:val="right"/>
              <w:rPr>
                <w:rFonts w:eastAsia="Times New Roman"/>
                <w:sz w:val="18"/>
                <w:szCs w:val="18"/>
              </w:rPr>
            </w:pPr>
            <w:r>
              <w:rPr>
                <w:rFonts w:eastAsia="Times New Roman"/>
                <w:sz w:val="18"/>
                <w:szCs w:val="18"/>
              </w:rPr>
              <w:t>-17.2</w:t>
            </w:r>
          </w:p>
        </w:tc>
        <w:tc>
          <w:tcPr>
            <w:tcW w:w="0" w:type="auto"/>
            <w:shd w:val="clear" w:color="auto" w:fill="CCEEFF"/>
            <w:vAlign w:val="bottom"/>
            <w:hideMark/>
          </w:tcPr>
          <w:p w14:paraId="46FB467D"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30CC098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1E96F510"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204418F1" w14:textId="77777777" w:rsidR="00000000" w:rsidRDefault="002F725F">
            <w:pPr>
              <w:jc w:val="right"/>
              <w:rPr>
                <w:rFonts w:eastAsia="Times New Roman"/>
                <w:sz w:val="18"/>
                <w:szCs w:val="18"/>
              </w:rPr>
            </w:pPr>
            <w:r>
              <w:rPr>
                <w:rFonts w:eastAsia="Times New Roman"/>
                <w:sz w:val="18"/>
                <w:szCs w:val="18"/>
              </w:rPr>
              <w:t>16.4</w:t>
            </w:r>
          </w:p>
        </w:tc>
        <w:tc>
          <w:tcPr>
            <w:tcW w:w="0" w:type="auto"/>
            <w:shd w:val="clear" w:color="auto" w:fill="CCEEFF"/>
            <w:vAlign w:val="bottom"/>
            <w:hideMark/>
          </w:tcPr>
          <w:p w14:paraId="6F7D9CE1"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40F860F2"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13ABEB79"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5754657" w14:textId="77777777" w:rsidR="00000000" w:rsidRDefault="002F725F">
            <w:pPr>
              <w:jc w:val="right"/>
              <w:rPr>
                <w:rFonts w:eastAsia="Times New Roman"/>
                <w:sz w:val="18"/>
                <w:szCs w:val="18"/>
              </w:rPr>
            </w:pPr>
            <w:r>
              <w:rPr>
                <w:rFonts w:eastAsia="Times New Roman"/>
                <w:sz w:val="18"/>
                <w:szCs w:val="18"/>
              </w:rPr>
              <w:t>30.7</w:t>
            </w:r>
          </w:p>
        </w:tc>
        <w:tc>
          <w:tcPr>
            <w:tcW w:w="0" w:type="auto"/>
            <w:shd w:val="clear" w:color="auto" w:fill="CCEEFF"/>
            <w:vAlign w:val="bottom"/>
            <w:hideMark/>
          </w:tcPr>
          <w:p w14:paraId="3F185916"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241E86E6"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229DA3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5AA5D782" w14:textId="77777777" w:rsidR="00000000" w:rsidRDefault="002F725F">
            <w:pPr>
              <w:jc w:val="right"/>
              <w:rPr>
                <w:rFonts w:eastAsia="Times New Roman"/>
                <w:sz w:val="18"/>
                <w:szCs w:val="18"/>
              </w:rPr>
            </w:pPr>
            <w:r>
              <w:rPr>
                <w:rFonts w:eastAsia="Times New Roman"/>
                <w:sz w:val="18"/>
                <w:szCs w:val="18"/>
              </w:rPr>
              <w:t>26.7</w:t>
            </w:r>
          </w:p>
        </w:tc>
        <w:tc>
          <w:tcPr>
            <w:tcW w:w="0" w:type="auto"/>
            <w:shd w:val="clear" w:color="auto" w:fill="CCEEFF"/>
            <w:vAlign w:val="bottom"/>
            <w:hideMark/>
          </w:tcPr>
          <w:p w14:paraId="27497A68"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48E9BC00"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9DE2C22"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6B4FEFE9" w14:textId="77777777" w:rsidR="00000000" w:rsidRDefault="002F725F">
            <w:pPr>
              <w:jc w:val="right"/>
              <w:rPr>
                <w:rFonts w:eastAsia="Times New Roman"/>
                <w:sz w:val="18"/>
                <w:szCs w:val="18"/>
              </w:rPr>
            </w:pPr>
            <w:r>
              <w:rPr>
                <w:rFonts w:eastAsia="Times New Roman"/>
                <w:sz w:val="18"/>
                <w:szCs w:val="18"/>
              </w:rPr>
              <w:t>26.7</w:t>
            </w:r>
          </w:p>
        </w:tc>
        <w:tc>
          <w:tcPr>
            <w:tcW w:w="0" w:type="auto"/>
            <w:shd w:val="clear" w:color="auto" w:fill="CCEEFF"/>
            <w:vAlign w:val="bottom"/>
            <w:hideMark/>
          </w:tcPr>
          <w:p w14:paraId="74B3BC7F"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2E5341E8"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B143F2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62C81EF3" w14:textId="77777777" w:rsidR="00000000" w:rsidRDefault="002F725F">
            <w:pPr>
              <w:jc w:val="right"/>
              <w:rPr>
                <w:rFonts w:eastAsia="Times New Roman"/>
                <w:sz w:val="18"/>
                <w:szCs w:val="18"/>
              </w:rPr>
            </w:pPr>
            <w:r>
              <w:rPr>
                <w:rFonts w:eastAsia="Times New Roman"/>
                <w:sz w:val="18"/>
                <w:szCs w:val="18"/>
              </w:rPr>
              <w:t>29.2</w:t>
            </w:r>
          </w:p>
        </w:tc>
        <w:tc>
          <w:tcPr>
            <w:tcW w:w="0" w:type="auto"/>
            <w:shd w:val="clear" w:color="auto" w:fill="CCEEFF"/>
            <w:vAlign w:val="bottom"/>
            <w:hideMark/>
          </w:tcPr>
          <w:p w14:paraId="32583150" w14:textId="77777777" w:rsidR="00000000" w:rsidRDefault="002F725F">
            <w:pPr>
              <w:rPr>
                <w:rFonts w:eastAsia="Times New Roman"/>
                <w:sz w:val="18"/>
                <w:szCs w:val="18"/>
              </w:rPr>
            </w:pPr>
            <w:r>
              <w:rPr>
                <w:rFonts w:eastAsia="Times New Roman"/>
                <w:sz w:val="18"/>
                <w:szCs w:val="18"/>
              </w:rPr>
              <w:t>%</w:t>
            </w:r>
          </w:p>
        </w:tc>
      </w:tr>
      <w:tr w:rsidR="002F725F" w14:paraId="4DE90A36" w14:textId="77777777">
        <w:trPr>
          <w:divId w:val="415980837"/>
        </w:trPr>
        <w:tc>
          <w:tcPr>
            <w:tcW w:w="0" w:type="auto"/>
            <w:shd w:val="clear" w:color="auto" w:fill="FFFFFF"/>
            <w:tcMar>
              <w:top w:w="0" w:type="dxa"/>
              <w:left w:w="180" w:type="dxa"/>
              <w:bottom w:w="0" w:type="dxa"/>
              <w:right w:w="0" w:type="dxa"/>
            </w:tcMar>
            <w:vAlign w:val="bottom"/>
            <w:hideMark/>
          </w:tcPr>
          <w:p w14:paraId="50EF79EE" w14:textId="77777777" w:rsidR="00000000" w:rsidRDefault="002F725F">
            <w:pPr>
              <w:ind w:hanging="180"/>
              <w:rPr>
                <w:rFonts w:eastAsia="Times New Roman"/>
                <w:sz w:val="18"/>
                <w:szCs w:val="18"/>
              </w:rPr>
            </w:pPr>
            <w:r>
              <w:rPr>
                <w:rFonts w:eastAsia="Times New Roman"/>
                <w:sz w:val="18"/>
                <w:szCs w:val="18"/>
              </w:rPr>
              <w:t>CanSino Biologics Inc.</w:t>
            </w:r>
          </w:p>
        </w:tc>
        <w:tc>
          <w:tcPr>
            <w:tcW w:w="0" w:type="auto"/>
            <w:shd w:val="clear" w:color="auto" w:fill="FFFFFF"/>
            <w:vAlign w:val="bottom"/>
            <w:hideMark/>
          </w:tcPr>
          <w:p w14:paraId="0E2591B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5254667C"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AEC7BB1" w14:textId="77777777" w:rsidR="00000000" w:rsidRDefault="002F725F">
            <w:pPr>
              <w:jc w:val="right"/>
              <w:rPr>
                <w:rFonts w:eastAsia="Times New Roman"/>
                <w:sz w:val="18"/>
                <w:szCs w:val="18"/>
              </w:rPr>
            </w:pPr>
            <w:r>
              <w:rPr>
                <w:rFonts w:eastAsia="Times New Roman"/>
                <w:sz w:val="18"/>
                <w:szCs w:val="18"/>
              </w:rPr>
              <w:t>1.1</w:t>
            </w:r>
          </w:p>
        </w:tc>
        <w:tc>
          <w:tcPr>
            <w:tcW w:w="0" w:type="auto"/>
            <w:shd w:val="clear" w:color="auto" w:fill="FFFFFF"/>
            <w:vAlign w:val="bottom"/>
            <w:hideMark/>
          </w:tcPr>
          <w:p w14:paraId="2D51E435"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39AC93D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2CB100CA"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1D78231F" w14:textId="77777777" w:rsidR="00000000" w:rsidRDefault="002F725F">
            <w:pPr>
              <w:jc w:val="right"/>
              <w:rPr>
                <w:rFonts w:eastAsia="Times New Roman"/>
                <w:sz w:val="18"/>
                <w:szCs w:val="18"/>
              </w:rPr>
            </w:pPr>
            <w:r>
              <w:rPr>
                <w:rFonts w:eastAsia="Times New Roman"/>
                <w:sz w:val="18"/>
                <w:szCs w:val="18"/>
              </w:rPr>
              <w:t>26.2</w:t>
            </w:r>
          </w:p>
        </w:tc>
        <w:tc>
          <w:tcPr>
            <w:tcW w:w="0" w:type="auto"/>
            <w:shd w:val="clear" w:color="auto" w:fill="FFFFFF"/>
            <w:vAlign w:val="bottom"/>
            <w:hideMark/>
          </w:tcPr>
          <w:p w14:paraId="24E818A8"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7706A7F0"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5565AA42"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38417A6C" w14:textId="77777777" w:rsidR="00000000" w:rsidRDefault="002F725F">
            <w:pPr>
              <w:jc w:val="right"/>
              <w:rPr>
                <w:rFonts w:eastAsia="Times New Roman"/>
                <w:sz w:val="18"/>
                <w:szCs w:val="18"/>
              </w:rPr>
            </w:pPr>
            <w:r>
              <w:rPr>
                <w:rFonts w:eastAsia="Times New Roman"/>
                <w:sz w:val="18"/>
                <w:szCs w:val="18"/>
              </w:rPr>
              <w:t>32.8</w:t>
            </w:r>
          </w:p>
        </w:tc>
        <w:tc>
          <w:tcPr>
            <w:tcW w:w="0" w:type="auto"/>
            <w:shd w:val="clear" w:color="auto" w:fill="FFFFFF"/>
            <w:vAlign w:val="bottom"/>
            <w:hideMark/>
          </w:tcPr>
          <w:p w14:paraId="43024FE9"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4AC06CD8"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531C741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59E2CC3" w14:textId="77777777" w:rsidR="00000000" w:rsidRDefault="002F725F">
            <w:pPr>
              <w:jc w:val="right"/>
              <w:rPr>
                <w:rFonts w:eastAsia="Times New Roman"/>
                <w:sz w:val="18"/>
                <w:szCs w:val="18"/>
              </w:rPr>
            </w:pPr>
            <w:r>
              <w:rPr>
                <w:rFonts w:eastAsia="Times New Roman"/>
                <w:sz w:val="18"/>
                <w:szCs w:val="18"/>
              </w:rPr>
              <w:t>25.3</w:t>
            </w:r>
          </w:p>
        </w:tc>
        <w:tc>
          <w:tcPr>
            <w:tcW w:w="0" w:type="auto"/>
            <w:shd w:val="clear" w:color="auto" w:fill="FFFFFF"/>
            <w:vAlign w:val="bottom"/>
            <w:hideMark/>
          </w:tcPr>
          <w:p w14:paraId="2027F43B"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37D14889"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2D88616"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79CDD6B" w14:textId="77777777" w:rsidR="00000000" w:rsidRDefault="002F725F">
            <w:pPr>
              <w:jc w:val="right"/>
              <w:rPr>
                <w:rFonts w:eastAsia="Times New Roman"/>
                <w:sz w:val="18"/>
                <w:szCs w:val="18"/>
              </w:rPr>
            </w:pPr>
            <w:r>
              <w:rPr>
                <w:rFonts w:eastAsia="Times New Roman"/>
                <w:sz w:val="18"/>
                <w:szCs w:val="18"/>
              </w:rPr>
              <w:t>NM</w:t>
            </w:r>
          </w:p>
        </w:tc>
        <w:tc>
          <w:tcPr>
            <w:tcW w:w="0" w:type="auto"/>
            <w:shd w:val="clear" w:color="auto" w:fill="FFFFFF"/>
            <w:vAlign w:val="bottom"/>
            <w:hideMark/>
          </w:tcPr>
          <w:p w14:paraId="57E75392"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607DF210"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5ABC2A79"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FB65BEA" w14:textId="77777777" w:rsidR="00000000" w:rsidRDefault="002F725F">
            <w:pPr>
              <w:jc w:val="right"/>
              <w:rPr>
                <w:rFonts w:eastAsia="Times New Roman"/>
                <w:sz w:val="18"/>
                <w:szCs w:val="18"/>
              </w:rPr>
            </w:pPr>
            <w:r>
              <w:rPr>
                <w:rFonts w:eastAsia="Times New Roman"/>
                <w:sz w:val="18"/>
                <w:szCs w:val="18"/>
              </w:rPr>
              <w:t>NA</w:t>
            </w:r>
          </w:p>
        </w:tc>
        <w:tc>
          <w:tcPr>
            <w:tcW w:w="0" w:type="auto"/>
            <w:shd w:val="clear" w:color="auto" w:fill="FFFFFF"/>
            <w:vAlign w:val="bottom"/>
            <w:hideMark/>
          </w:tcPr>
          <w:p w14:paraId="11F118CC"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6950F617"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61FDC218"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5F0C0894" w14:textId="77777777" w:rsidR="00000000" w:rsidRDefault="002F725F">
            <w:pPr>
              <w:jc w:val="right"/>
              <w:rPr>
                <w:rFonts w:eastAsia="Times New Roman"/>
                <w:sz w:val="18"/>
                <w:szCs w:val="18"/>
              </w:rPr>
            </w:pPr>
            <w:r>
              <w:rPr>
                <w:rFonts w:eastAsia="Times New Roman"/>
                <w:sz w:val="18"/>
                <w:szCs w:val="18"/>
              </w:rPr>
              <w:t>278.6</w:t>
            </w:r>
          </w:p>
        </w:tc>
        <w:tc>
          <w:tcPr>
            <w:tcW w:w="0" w:type="auto"/>
            <w:shd w:val="clear" w:color="auto" w:fill="FFFFFF"/>
            <w:vAlign w:val="bottom"/>
            <w:hideMark/>
          </w:tcPr>
          <w:p w14:paraId="6BB20B40"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28668F43"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192BE4F"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59B7C51" w14:textId="77777777" w:rsidR="00000000" w:rsidRDefault="002F725F">
            <w:pPr>
              <w:jc w:val="right"/>
              <w:rPr>
                <w:rFonts w:eastAsia="Times New Roman"/>
                <w:sz w:val="18"/>
                <w:szCs w:val="18"/>
              </w:rPr>
            </w:pPr>
            <w:r>
              <w:rPr>
                <w:rFonts w:eastAsia="Times New Roman"/>
                <w:sz w:val="18"/>
                <w:szCs w:val="18"/>
              </w:rPr>
              <w:t>87.5</w:t>
            </w:r>
          </w:p>
        </w:tc>
        <w:tc>
          <w:tcPr>
            <w:tcW w:w="0" w:type="auto"/>
            <w:shd w:val="clear" w:color="auto" w:fill="FFFFFF"/>
            <w:vAlign w:val="bottom"/>
            <w:hideMark/>
          </w:tcPr>
          <w:p w14:paraId="68FD224A"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521967C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33AFBAB4"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79A4AB4" w14:textId="77777777" w:rsidR="00000000" w:rsidRDefault="002F725F">
            <w:pPr>
              <w:jc w:val="right"/>
              <w:rPr>
                <w:rFonts w:eastAsia="Times New Roman"/>
                <w:sz w:val="18"/>
                <w:szCs w:val="18"/>
              </w:rPr>
            </w:pPr>
            <w:r>
              <w:rPr>
                <w:rFonts w:eastAsia="Times New Roman"/>
                <w:sz w:val="18"/>
                <w:szCs w:val="18"/>
              </w:rPr>
              <w:t>-141.9</w:t>
            </w:r>
          </w:p>
        </w:tc>
        <w:tc>
          <w:tcPr>
            <w:tcW w:w="0" w:type="auto"/>
            <w:shd w:val="clear" w:color="auto" w:fill="FFFFFF"/>
            <w:vAlign w:val="bottom"/>
            <w:hideMark/>
          </w:tcPr>
          <w:p w14:paraId="7530C7E2"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6B7129E7"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6F61660C"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694C031" w14:textId="77777777" w:rsidR="00000000" w:rsidRDefault="002F725F">
            <w:pPr>
              <w:jc w:val="right"/>
              <w:rPr>
                <w:rFonts w:eastAsia="Times New Roman"/>
                <w:sz w:val="18"/>
                <w:szCs w:val="18"/>
              </w:rPr>
            </w:pPr>
            <w:r>
              <w:rPr>
                <w:rFonts w:eastAsia="Times New Roman"/>
                <w:sz w:val="18"/>
                <w:szCs w:val="18"/>
              </w:rPr>
              <w:t>7.5</w:t>
            </w:r>
          </w:p>
        </w:tc>
        <w:tc>
          <w:tcPr>
            <w:tcW w:w="0" w:type="auto"/>
            <w:shd w:val="clear" w:color="auto" w:fill="FFFFFF"/>
            <w:vAlign w:val="bottom"/>
            <w:hideMark/>
          </w:tcPr>
          <w:p w14:paraId="139DC596"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26B1BE4C"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BDE22EF"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63EEDC93" w14:textId="77777777" w:rsidR="00000000" w:rsidRDefault="002F725F">
            <w:pPr>
              <w:jc w:val="right"/>
              <w:rPr>
                <w:rFonts w:eastAsia="Times New Roman"/>
                <w:sz w:val="18"/>
                <w:szCs w:val="18"/>
              </w:rPr>
            </w:pPr>
            <w:r>
              <w:rPr>
                <w:rFonts w:eastAsia="Times New Roman"/>
                <w:sz w:val="18"/>
                <w:szCs w:val="18"/>
              </w:rPr>
              <w:t>21.3</w:t>
            </w:r>
          </w:p>
        </w:tc>
        <w:tc>
          <w:tcPr>
            <w:tcW w:w="0" w:type="auto"/>
            <w:shd w:val="clear" w:color="auto" w:fill="FFFFFF"/>
            <w:vAlign w:val="bottom"/>
            <w:hideMark/>
          </w:tcPr>
          <w:p w14:paraId="5D90E49E"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1A9F6CD9"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11F8670"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61756D13" w14:textId="77777777" w:rsidR="00000000" w:rsidRDefault="002F725F">
            <w:pPr>
              <w:jc w:val="right"/>
              <w:rPr>
                <w:rFonts w:eastAsia="Times New Roman"/>
                <w:sz w:val="18"/>
                <w:szCs w:val="18"/>
              </w:rPr>
            </w:pPr>
            <w:r>
              <w:rPr>
                <w:rFonts w:eastAsia="Times New Roman"/>
                <w:sz w:val="18"/>
                <w:szCs w:val="18"/>
              </w:rPr>
              <w:t>31.8</w:t>
            </w:r>
          </w:p>
        </w:tc>
        <w:tc>
          <w:tcPr>
            <w:tcW w:w="0" w:type="auto"/>
            <w:shd w:val="clear" w:color="auto" w:fill="FFFFFF"/>
            <w:vAlign w:val="bottom"/>
            <w:hideMark/>
          </w:tcPr>
          <w:p w14:paraId="70E64B70" w14:textId="77777777" w:rsidR="00000000" w:rsidRDefault="002F725F">
            <w:pPr>
              <w:rPr>
                <w:rFonts w:eastAsia="Times New Roman"/>
                <w:sz w:val="18"/>
                <w:szCs w:val="18"/>
              </w:rPr>
            </w:pPr>
            <w:r>
              <w:rPr>
                <w:rFonts w:eastAsia="Times New Roman"/>
                <w:sz w:val="18"/>
                <w:szCs w:val="18"/>
              </w:rPr>
              <w:t>%</w:t>
            </w:r>
          </w:p>
        </w:tc>
      </w:tr>
      <w:tr w:rsidR="002F725F" w14:paraId="7EAA5678" w14:textId="77777777">
        <w:trPr>
          <w:divId w:val="415980837"/>
        </w:trPr>
        <w:tc>
          <w:tcPr>
            <w:tcW w:w="0" w:type="auto"/>
            <w:shd w:val="clear" w:color="auto" w:fill="CCEEFF"/>
            <w:tcMar>
              <w:top w:w="0" w:type="dxa"/>
              <w:left w:w="180" w:type="dxa"/>
              <w:bottom w:w="0" w:type="dxa"/>
              <w:right w:w="0" w:type="dxa"/>
            </w:tcMar>
            <w:vAlign w:val="bottom"/>
            <w:hideMark/>
          </w:tcPr>
          <w:p w14:paraId="0039A3A5" w14:textId="77777777" w:rsidR="00000000" w:rsidRDefault="002F725F">
            <w:pPr>
              <w:ind w:hanging="180"/>
              <w:rPr>
                <w:rFonts w:eastAsia="Times New Roman"/>
                <w:sz w:val="18"/>
                <w:szCs w:val="18"/>
              </w:rPr>
            </w:pPr>
            <w:r>
              <w:rPr>
                <w:rFonts w:eastAsia="Times New Roman"/>
                <w:sz w:val="18"/>
                <w:szCs w:val="18"/>
              </w:rPr>
              <w:t>Clover Biopharmaceuticals, Ltd.</w:t>
            </w:r>
          </w:p>
        </w:tc>
        <w:tc>
          <w:tcPr>
            <w:tcW w:w="0" w:type="auto"/>
            <w:shd w:val="clear" w:color="auto" w:fill="CCEEFF"/>
            <w:vAlign w:val="bottom"/>
            <w:hideMark/>
          </w:tcPr>
          <w:p w14:paraId="3E47A53E"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5D9B0D1F"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20533F12" w14:textId="77777777" w:rsidR="00000000" w:rsidRDefault="002F725F">
            <w:pPr>
              <w:jc w:val="right"/>
              <w:rPr>
                <w:rFonts w:eastAsia="Times New Roman"/>
                <w:sz w:val="18"/>
                <w:szCs w:val="18"/>
              </w:rPr>
            </w:pPr>
            <w:r>
              <w:rPr>
                <w:rFonts w:eastAsia="Times New Roman"/>
                <w:sz w:val="18"/>
                <w:szCs w:val="18"/>
              </w:rPr>
              <w:t>NA</w:t>
            </w:r>
          </w:p>
        </w:tc>
        <w:tc>
          <w:tcPr>
            <w:tcW w:w="0" w:type="auto"/>
            <w:shd w:val="clear" w:color="auto" w:fill="CCEEFF"/>
            <w:vAlign w:val="bottom"/>
            <w:hideMark/>
          </w:tcPr>
          <w:p w14:paraId="34A76317"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1491431F"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23C8C6F8"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6885CF3D" w14:textId="77777777" w:rsidR="00000000" w:rsidRDefault="002F725F">
            <w:pPr>
              <w:jc w:val="right"/>
              <w:rPr>
                <w:rFonts w:eastAsia="Times New Roman"/>
                <w:sz w:val="18"/>
                <w:szCs w:val="18"/>
              </w:rPr>
            </w:pPr>
            <w:r>
              <w:rPr>
                <w:rFonts w:eastAsia="Times New Roman"/>
                <w:sz w:val="18"/>
                <w:szCs w:val="18"/>
              </w:rPr>
              <w:t>79.2</w:t>
            </w:r>
          </w:p>
        </w:tc>
        <w:tc>
          <w:tcPr>
            <w:tcW w:w="0" w:type="auto"/>
            <w:shd w:val="clear" w:color="auto" w:fill="CCEEFF"/>
            <w:vAlign w:val="bottom"/>
            <w:hideMark/>
          </w:tcPr>
          <w:p w14:paraId="706C4B5F"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05947127"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2AC59F8A"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7A8637B6" w14:textId="77777777" w:rsidR="00000000" w:rsidRDefault="002F725F">
            <w:pPr>
              <w:jc w:val="right"/>
              <w:rPr>
                <w:rFonts w:eastAsia="Times New Roman"/>
                <w:sz w:val="18"/>
                <w:szCs w:val="18"/>
              </w:rPr>
            </w:pPr>
            <w:r>
              <w:rPr>
                <w:rFonts w:eastAsia="Times New Roman"/>
                <w:sz w:val="18"/>
                <w:szCs w:val="18"/>
              </w:rPr>
              <w:t>NA</w:t>
            </w:r>
          </w:p>
        </w:tc>
        <w:tc>
          <w:tcPr>
            <w:tcW w:w="0" w:type="auto"/>
            <w:shd w:val="clear" w:color="auto" w:fill="CCEEFF"/>
            <w:vAlign w:val="bottom"/>
            <w:hideMark/>
          </w:tcPr>
          <w:p w14:paraId="0A14455F"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6B5F18D"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D009639"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2A8FE70B" w14:textId="77777777" w:rsidR="00000000" w:rsidRDefault="002F725F">
            <w:pPr>
              <w:jc w:val="right"/>
              <w:rPr>
                <w:rFonts w:eastAsia="Times New Roman"/>
                <w:sz w:val="18"/>
                <w:szCs w:val="18"/>
              </w:rPr>
            </w:pPr>
            <w:r>
              <w:rPr>
                <w:rFonts w:eastAsia="Times New Roman"/>
                <w:sz w:val="18"/>
                <w:szCs w:val="18"/>
              </w:rPr>
              <w:t>NA</w:t>
            </w:r>
          </w:p>
        </w:tc>
        <w:tc>
          <w:tcPr>
            <w:tcW w:w="0" w:type="auto"/>
            <w:shd w:val="clear" w:color="auto" w:fill="CCEEFF"/>
            <w:vAlign w:val="bottom"/>
            <w:hideMark/>
          </w:tcPr>
          <w:p w14:paraId="6D9F5EC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16039A3D"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2340D494"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0927F102" w14:textId="77777777" w:rsidR="00000000" w:rsidRDefault="002F725F">
            <w:pPr>
              <w:jc w:val="right"/>
              <w:rPr>
                <w:rFonts w:eastAsia="Times New Roman"/>
                <w:sz w:val="18"/>
                <w:szCs w:val="18"/>
              </w:rPr>
            </w:pPr>
            <w:r>
              <w:rPr>
                <w:rFonts w:eastAsia="Times New Roman"/>
                <w:sz w:val="18"/>
                <w:szCs w:val="18"/>
              </w:rPr>
              <w:t>NA</w:t>
            </w:r>
          </w:p>
        </w:tc>
        <w:tc>
          <w:tcPr>
            <w:tcW w:w="0" w:type="auto"/>
            <w:shd w:val="clear" w:color="auto" w:fill="CCEEFF"/>
            <w:vAlign w:val="bottom"/>
            <w:hideMark/>
          </w:tcPr>
          <w:p w14:paraId="5C5598E4"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5AD74163"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0EF455A6"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E867D3F" w14:textId="77777777" w:rsidR="00000000" w:rsidRDefault="002F725F">
            <w:pPr>
              <w:jc w:val="right"/>
              <w:rPr>
                <w:rFonts w:eastAsia="Times New Roman"/>
                <w:sz w:val="18"/>
                <w:szCs w:val="18"/>
              </w:rPr>
            </w:pPr>
            <w:r>
              <w:rPr>
                <w:rFonts w:eastAsia="Times New Roman"/>
                <w:sz w:val="18"/>
                <w:szCs w:val="18"/>
              </w:rPr>
              <w:t>NM</w:t>
            </w:r>
          </w:p>
        </w:tc>
        <w:tc>
          <w:tcPr>
            <w:tcW w:w="0" w:type="auto"/>
            <w:shd w:val="clear" w:color="auto" w:fill="CCEEFF"/>
            <w:vAlign w:val="bottom"/>
            <w:hideMark/>
          </w:tcPr>
          <w:p w14:paraId="187FBFB8"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77EAA38C"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7F912A6A"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7F152EBF" w14:textId="77777777" w:rsidR="00000000" w:rsidRDefault="002F725F">
            <w:pPr>
              <w:jc w:val="right"/>
              <w:rPr>
                <w:rFonts w:eastAsia="Times New Roman"/>
                <w:sz w:val="18"/>
                <w:szCs w:val="18"/>
              </w:rPr>
            </w:pPr>
            <w:r>
              <w:rPr>
                <w:rFonts w:eastAsia="Times New Roman"/>
                <w:sz w:val="18"/>
                <w:szCs w:val="18"/>
              </w:rPr>
              <w:t>NA</w:t>
            </w:r>
          </w:p>
        </w:tc>
        <w:tc>
          <w:tcPr>
            <w:tcW w:w="0" w:type="auto"/>
            <w:shd w:val="clear" w:color="auto" w:fill="CCEEFF"/>
            <w:vAlign w:val="bottom"/>
            <w:hideMark/>
          </w:tcPr>
          <w:p w14:paraId="6AAF5A88"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64310B11"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8826816"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DDFF6D2" w14:textId="77777777" w:rsidR="00000000" w:rsidRDefault="002F725F">
            <w:pPr>
              <w:jc w:val="right"/>
              <w:rPr>
                <w:rFonts w:eastAsia="Times New Roman"/>
                <w:sz w:val="18"/>
                <w:szCs w:val="18"/>
              </w:rPr>
            </w:pPr>
            <w:r>
              <w:rPr>
                <w:rFonts w:eastAsia="Times New Roman"/>
                <w:sz w:val="18"/>
                <w:szCs w:val="18"/>
              </w:rPr>
              <w:t>NA</w:t>
            </w:r>
          </w:p>
        </w:tc>
        <w:tc>
          <w:tcPr>
            <w:tcW w:w="0" w:type="auto"/>
            <w:shd w:val="clear" w:color="auto" w:fill="CCEEFF"/>
            <w:vAlign w:val="bottom"/>
            <w:hideMark/>
          </w:tcPr>
          <w:p w14:paraId="240CC689"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19292CFF"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5BAFE117"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055B20E0" w14:textId="77777777" w:rsidR="00000000" w:rsidRDefault="002F725F">
            <w:pPr>
              <w:jc w:val="right"/>
              <w:rPr>
                <w:rFonts w:eastAsia="Times New Roman"/>
                <w:sz w:val="18"/>
                <w:szCs w:val="18"/>
              </w:rPr>
            </w:pPr>
            <w:r>
              <w:rPr>
                <w:rFonts w:eastAsia="Times New Roman"/>
                <w:sz w:val="18"/>
                <w:szCs w:val="18"/>
              </w:rPr>
              <w:t>NM</w:t>
            </w:r>
          </w:p>
        </w:tc>
        <w:tc>
          <w:tcPr>
            <w:tcW w:w="0" w:type="auto"/>
            <w:shd w:val="clear" w:color="auto" w:fill="CCEEFF"/>
            <w:vAlign w:val="bottom"/>
            <w:hideMark/>
          </w:tcPr>
          <w:p w14:paraId="1408EBF9"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3551649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0E8C79A7"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3E23C71F" w14:textId="77777777" w:rsidR="00000000" w:rsidRDefault="002F725F">
            <w:pPr>
              <w:jc w:val="right"/>
              <w:rPr>
                <w:rFonts w:eastAsia="Times New Roman"/>
                <w:sz w:val="18"/>
                <w:szCs w:val="18"/>
              </w:rPr>
            </w:pPr>
            <w:r>
              <w:rPr>
                <w:rFonts w:eastAsia="Times New Roman"/>
                <w:sz w:val="18"/>
                <w:szCs w:val="18"/>
              </w:rPr>
              <w:t>NM</w:t>
            </w:r>
          </w:p>
        </w:tc>
        <w:tc>
          <w:tcPr>
            <w:tcW w:w="0" w:type="auto"/>
            <w:shd w:val="clear" w:color="auto" w:fill="CCEEFF"/>
            <w:vAlign w:val="bottom"/>
            <w:hideMark/>
          </w:tcPr>
          <w:p w14:paraId="7D9AC6BA"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35C6BEF0"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2497D049"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6F1E44DA" w14:textId="77777777" w:rsidR="00000000" w:rsidRDefault="002F725F">
            <w:pPr>
              <w:jc w:val="right"/>
              <w:rPr>
                <w:rFonts w:eastAsia="Times New Roman"/>
                <w:sz w:val="18"/>
                <w:szCs w:val="18"/>
              </w:rPr>
            </w:pPr>
            <w:r>
              <w:rPr>
                <w:rFonts w:eastAsia="Times New Roman"/>
                <w:sz w:val="18"/>
                <w:szCs w:val="18"/>
              </w:rPr>
              <w:t>NA</w:t>
            </w:r>
          </w:p>
        </w:tc>
        <w:tc>
          <w:tcPr>
            <w:tcW w:w="0" w:type="auto"/>
            <w:shd w:val="clear" w:color="auto" w:fill="CCEEFF"/>
            <w:vAlign w:val="bottom"/>
            <w:hideMark/>
          </w:tcPr>
          <w:p w14:paraId="7744523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1312B491"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FA5D526"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27EEEEAB" w14:textId="77777777" w:rsidR="00000000" w:rsidRDefault="002F725F">
            <w:pPr>
              <w:jc w:val="right"/>
              <w:rPr>
                <w:rFonts w:eastAsia="Times New Roman"/>
                <w:sz w:val="18"/>
                <w:szCs w:val="18"/>
              </w:rPr>
            </w:pPr>
            <w:r>
              <w:rPr>
                <w:rFonts w:eastAsia="Times New Roman"/>
                <w:sz w:val="18"/>
                <w:szCs w:val="18"/>
              </w:rPr>
              <w:t>NA</w:t>
            </w:r>
          </w:p>
        </w:tc>
        <w:tc>
          <w:tcPr>
            <w:tcW w:w="0" w:type="auto"/>
            <w:shd w:val="clear" w:color="auto" w:fill="CCEEFF"/>
            <w:vAlign w:val="bottom"/>
            <w:hideMark/>
          </w:tcPr>
          <w:p w14:paraId="1446E420" w14:textId="77777777" w:rsidR="00000000" w:rsidRDefault="002F725F">
            <w:pPr>
              <w:rPr>
                <w:rFonts w:eastAsia="Times New Roman"/>
                <w:sz w:val="18"/>
                <w:szCs w:val="18"/>
              </w:rPr>
            </w:pPr>
            <w:r>
              <w:rPr>
                <w:rFonts w:eastAsia="Times New Roman"/>
                <w:sz w:val="18"/>
                <w:szCs w:val="18"/>
              </w:rPr>
              <w:t> </w:t>
            </w:r>
          </w:p>
        </w:tc>
      </w:tr>
      <w:tr w:rsidR="002F725F" w14:paraId="70DA2E1C" w14:textId="77777777">
        <w:trPr>
          <w:divId w:val="415980837"/>
        </w:trPr>
        <w:tc>
          <w:tcPr>
            <w:tcW w:w="0" w:type="auto"/>
            <w:shd w:val="clear" w:color="auto" w:fill="FFFFFF"/>
            <w:tcMar>
              <w:top w:w="0" w:type="dxa"/>
              <w:left w:w="180" w:type="dxa"/>
              <w:bottom w:w="0" w:type="dxa"/>
              <w:right w:w="0" w:type="dxa"/>
            </w:tcMar>
            <w:vAlign w:val="bottom"/>
            <w:hideMark/>
          </w:tcPr>
          <w:p w14:paraId="67C4384C" w14:textId="77777777" w:rsidR="00000000" w:rsidRDefault="002F725F">
            <w:pPr>
              <w:ind w:hanging="180"/>
              <w:rPr>
                <w:rFonts w:eastAsia="Times New Roman"/>
                <w:sz w:val="18"/>
                <w:szCs w:val="18"/>
              </w:rPr>
            </w:pPr>
            <w:r>
              <w:rPr>
                <w:rFonts w:eastAsia="Times New Roman"/>
                <w:sz w:val="18"/>
                <w:szCs w:val="18"/>
              </w:rPr>
              <w:t>Kamada Ltd.</w:t>
            </w:r>
          </w:p>
        </w:tc>
        <w:tc>
          <w:tcPr>
            <w:tcW w:w="0" w:type="auto"/>
            <w:shd w:val="clear" w:color="auto" w:fill="FFFFFF"/>
            <w:vAlign w:val="bottom"/>
            <w:hideMark/>
          </w:tcPr>
          <w:p w14:paraId="6DB09B71"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2B48241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99DE293" w14:textId="77777777" w:rsidR="00000000" w:rsidRDefault="002F725F">
            <w:pPr>
              <w:jc w:val="right"/>
              <w:rPr>
                <w:rFonts w:eastAsia="Times New Roman"/>
                <w:sz w:val="18"/>
                <w:szCs w:val="18"/>
              </w:rPr>
            </w:pPr>
            <w:r>
              <w:rPr>
                <w:rFonts w:eastAsia="Times New Roman"/>
                <w:sz w:val="18"/>
                <w:szCs w:val="18"/>
              </w:rPr>
              <w:t>11.7</w:t>
            </w:r>
          </w:p>
        </w:tc>
        <w:tc>
          <w:tcPr>
            <w:tcW w:w="0" w:type="auto"/>
            <w:shd w:val="clear" w:color="auto" w:fill="FFFFFF"/>
            <w:vAlign w:val="bottom"/>
            <w:hideMark/>
          </w:tcPr>
          <w:p w14:paraId="0909CED0"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584FB7E2"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54E4D6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27FBCB93" w14:textId="77777777" w:rsidR="00000000" w:rsidRDefault="002F725F">
            <w:pPr>
              <w:jc w:val="right"/>
              <w:rPr>
                <w:rFonts w:eastAsia="Times New Roman"/>
                <w:sz w:val="18"/>
                <w:szCs w:val="18"/>
              </w:rPr>
            </w:pPr>
            <w:r>
              <w:rPr>
                <w:rFonts w:eastAsia="Times New Roman"/>
                <w:sz w:val="18"/>
                <w:szCs w:val="18"/>
              </w:rPr>
              <w:t>12.1</w:t>
            </w:r>
          </w:p>
        </w:tc>
        <w:tc>
          <w:tcPr>
            <w:tcW w:w="0" w:type="auto"/>
            <w:shd w:val="clear" w:color="auto" w:fill="FFFFFF"/>
            <w:vAlign w:val="bottom"/>
            <w:hideMark/>
          </w:tcPr>
          <w:p w14:paraId="01BD7C81"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5D5E19E2"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E13D5B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59FA7318" w14:textId="77777777" w:rsidR="00000000" w:rsidRDefault="002F725F">
            <w:pPr>
              <w:jc w:val="right"/>
              <w:rPr>
                <w:rFonts w:eastAsia="Times New Roman"/>
                <w:sz w:val="18"/>
                <w:szCs w:val="18"/>
              </w:rPr>
            </w:pPr>
            <w:r>
              <w:rPr>
                <w:rFonts w:eastAsia="Times New Roman"/>
                <w:sz w:val="18"/>
                <w:szCs w:val="18"/>
              </w:rPr>
              <w:t>12.2</w:t>
            </w:r>
          </w:p>
        </w:tc>
        <w:tc>
          <w:tcPr>
            <w:tcW w:w="0" w:type="auto"/>
            <w:shd w:val="clear" w:color="auto" w:fill="FFFFFF"/>
            <w:vAlign w:val="bottom"/>
            <w:hideMark/>
          </w:tcPr>
          <w:p w14:paraId="781E40BF"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3BA6E83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D2706CF"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2D3CE69A" w14:textId="77777777" w:rsidR="00000000" w:rsidRDefault="002F725F">
            <w:pPr>
              <w:jc w:val="right"/>
              <w:rPr>
                <w:rFonts w:eastAsia="Times New Roman"/>
                <w:sz w:val="18"/>
                <w:szCs w:val="18"/>
              </w:rPr>
            </w:pPr>
            <w:r>
              <w:rPr>
                <w:rFonts w:eastAsia="Times New Roman"/>
                <w:sz w:val="18"/>
                <w:szCs w:val="18"/>
              </w:rPr>
              <w:t>12.8</w:t>
            </w:r>
          </w:p>
        </w:tc>
        <w:tc>
          <w:tcPr>
            <w:tcW w:w="0" w:type="auto"/>
            <w:shd w:val="clear" w:color="auto" w:fill="FFFFFF"/>
            <w:vAlign w:val="bottom"/>
            <w:hideMark/>
          </w:tcPr>
          <w:p w14:paraId="14676CA7"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5EBFF9D0"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5DF94C8"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6D5B6591" w14:textId="77777777" w:rsidR="00000000" w:rsidRDefault="002F725F">
            <w:pPr>
              <w:jc w:val="right"/>
              <w:rPr>
                <w:rFonts w:eastAsia="Times New Roman"/>
                <w:sz w:val="18"/>
                <w:szCs w:val="18"/>
              </w:rPr>
            </w:pPr>
            <w:r>
              <w:rPr>
                <w:rFonts w:eastAsia="Times New Roman"/>
                <w:sz w:val="18"/>
                <w:szCs w:val="18"/>
              </w:rPr>
              <w:t>33.3</w:t>
            </w:r>
          </w:p>
        </w:tc>
        <w:tc>
          <w:tcPr>
            <w:tcW w:w="0" w:type="auto"/>
            <w:shd w:val="clear" w:color="auto" w:fill="FFFFFF"/>
            <w:vAlign w:val="bottom"/>
            <w:hideMark/>
          </w:tcPr>
          <w:p w14:paraId="66544C42"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4AFE5F0F"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1B91AF8C"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3F085351" w14:textId="77777777" w:rsidR="00000000" w:rsidRDefault="002F725F">
            <w:pPr>
              <w:jc w:val="right"/>
              <w:rPr>
                <w:rFonts w:eastAsia="Times New Roman"/>
                <w:sz w:val="18"/>
                <w:szCs w:val="18"/>
              </w:rPr>
            </w:pPr>
            <w:r>
              <w:rPr>
                <w:rFonts w:eastAsia="Times New Roman"/>
                <w:sz w:val="18"/>
                <w:szCs w:val="18"/>
              </w:rPr>
              <w:t>22.1</w:t>
            </w:r>
          </w:p>
        </w:tc>
        <w:tc>
          <w:tcPr>
            <w:tcW w:w="0" w:type="auto"/>
            <w:shd w:val="clear" w:color="auto" w:fill="FFFFFF"/>
            <w:vAlign w:val="bottom"/>
            <w:hideMark/>
          </w:tcPr>
          <w:p w14:paraId="3D7132E0"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3AB99D28"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DCEE2F1"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4E52879" w14:textId="77777777" w:rsidR="00000000" w:rsidRDefault="002F725F">
            <w:pPr>
              <w:jc w:val="right"/>
              <w:rPr>
                <w:rFonts w:eastAsia="Times New Roman"/>
                <w:sz w:val="18"/>
                <w:szCs w:val="18"/>
              </w:rPr>
            </w:pPr>
            <w:r>
              <w:rPr>
                <w:rFonts w:eastAsia="Times New Roman"/>
                <w:sz w:val="18"/>
                <w:szCs w:val="18"/>
              </w:rPr>
              <w:t>9.1</w:t>
            </w:r>
          </w:p>
        </w:tc>
        <w:tc>
          <w:tcPr>
            <w:tcW w:w="0" w:type="auto"/>
            <w:shd w:val="clear" w:color="auto" w:fill="FFFFFF"/>
            <w:vAlign w:val="bottom"/>
            <w:hideMark/>
          </w:tcPr>
          <w:p w14:paraId="664E533E"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65DC4E9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4FBF9AE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4A62B32" w14:textId="77777777" w:rsidR="00000000" w:rsidRDefault="002F725F">
            <w:pPr>
              <w:jc w:val="right"/>
              <w:rPr>
                <w:rFonts w:eastAsia="Times New Roman"/>
                <w:sz w:val="18"/>
                <w:szCs w:val="18"/>
              </w:rPr>
            </w:pPr>
            <w:r>
              <w:rPr>
                <w:rFonts w:eastAsia="Times New Roman"/>
                <w:sz w:val="18"/>
                <w:szCs w:val="18"/>
              </w:rPr>
              <w:t>28.0</w:t>
            </w:r>
          </w:p>
        </w:tc>
        <w:tc>
          <w:tcPr>
            <w:tcW w:w="0" w:type="auto"/>
            <w:shd w:val="clear" w:color="auto" w:fill="FFFFFF"/>
            <w:vAlign w:val="bottom"/>
            <w:hideMark/>
          </w:tcPr>
          <w:p w14:paraId="75D3D522"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5AA46D7D"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109433A"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B64FAB7" w14:textId="77777777" w:rsidR="00000000" w:rsidRDefault="002F725F">
            <w:pPr>
              <w:jc w:val="right"/>
              <w:rPr>
                <w:rFonts w:eastAsia="Times New Roman"/>
                <w:sz w:val="18"/>
                <w:szCs w:val="18"/>
              </w:rPr>
            </w:pPr>
            <w:r>
              <w:rPr>
                <w:rFonts w:eastAsia="Times New Roman"/>
                <w:sz w:val="18"/>
                <w:szCs w:val="18"/>
              </w:rPr>
              <w:t>19.3</w:t>
            </w:r>
          </w:p>
        </w:tc>
        <w:tc>
          <w:tcPr>
            <w:tcW w:w="0" w:type="auto"/>
            <w:shd w:val="clear" w:color="auto" w:fill="FFFFFF"/>
            <w:vAlign w:val="bottom"/>
            <w:hideMark/>
          </w:tcPr>
          <w:p w14:paraId="3BF2EEA9"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71BA9B5D"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1EE7340D"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26C4948A" w14:textId="77777777" w:rsidR="00000000" w:rsidRDefault="002F725F">
            <w:pPr>
              <w:jc w:val="right"/>
              <w:rPr>
                <w:rFonts w:eastAsia="Times New Roman"/>
                <w:sz w:val="18"/>
                <w:szCs w:val="18"/>
              </w:rPr>
            </w:pPr>
            <w:r>
              <w:rPr>
                <w:rFonts w:eastAsia="Times New Roman"/>
                <w:sz w:val="18"/>
                <w:szCs w:val="18"/>
              </w:rPr>
              <w:t>21.9</w:t>
            </w:r>
          </w:p>
        </w:tc>
        <w:tc>
          <w:tcPr>
            <w:tcW w:w="0" w:type="auto"/>
            <w:shd w:val="clear" w:color="auto" w:fill="FFFFFF"/>
            <w:vAlign w:val="bottom"/>
            <w:hideMark/>
          </w:tcPr>
          <w:p w14:paraId="5E83465A"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6D2ECAD3"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37280294"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14F7C069" w14:textId="77777777" w:rsidR="00000000" w:rsidRDefault="002F725F">
            <w:pPr>
              <w:jc w:val="right"/>
              <w:rPr>
                <w:rFonts w:eastAsia="Times New Roman"/>
                <w:sz w:val="18"/>
                <w:szCs w:val="18"/>
              </w:rPr>
            </w:pPr>
            <w:r>
              <w:rPr>
                <w:rFonts w:eastAsia="Times New Roman"/>
                <w:sz w:val="18"/>
                <w:szCs w:val="18"/>
              </w:rPr>
              <w:t>21.3</w:t>
            </w:r>
          </w:p>
        </w:tc>
        <w:tc>
          <w:tcPr>
            <w:tcW w:w="0" w:type="auto"/>
            <w:shd w:val="clear" w:color="auto" w:fill="FFFFFF"/>
            <w:vAlign w:val="bottom"/>
            <w:hideMark/>
          </w:tcPr>
          <w:p w14:paraId="7F9D2B0C" w14:textId="77777777" w:rsidR="00000000" w:rsidRDefault="002F725F">
            <w:pPr>
              <w:rPr>
                <w:rFonts w:eastAsia="Times New Roman"/>
                <w:sz w:val="18"/>
                <w:szCs w:val="18"/>
              </w:rPr>
            </w:pPr>
            <w:r>
              <w:rPr>
                <w:rFonts w:eastAsia="Times New Roman"/>
                <w:sz w:val="18"/>
                <w:szCs w:val="18"/>
              </w:rPr>
              <w:t>%</w:t>
            </w:r>
          </w:p>
        </w:tc>
        <w:tc>
          <w:tcPr>
            <w:tcW w:w="0" w:type="auto"/>
            <w:shd w:val="clear" w:color="auto" w:fill="FFFFFF"/>
            <w:vAlign w:val="bottom"/>
            <w:hideMark/>
          </w:tcPr>
          <w:p w14:paraId="4B896052"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041187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C542536" w14:textId="77777777" w:rsidR="00000000" w:rsidRDefault="002F725F">
            <w:pPr>
              <w:jc w:val="right"/>
              <w:rPr>
                <w:rFonts w:eastAsia="Times New Roman"/>
                <w:sz w:val="18"/>
                <w:szCs w:val="18"/>
              </w:rPr>
            </w:pPr>
            <w:r>
              <w:rPr>
                <w:rFonts w:eastAsia="Times New Roman"/>
                <w:sz w:val="18"/>
                <w:szCs w:val="18"/>
              </w:rPr>
              <w:t>24.2</w:t>
            </w:r>
          </w:p>
        </w:tc>
        <w:tc>
          <w:tcPr>
            <w:tcW w:w="0" w:type="auto"/>
            <w:shd w:val="clear" w:color="auto" w:fill="FFFFFF"/>
            <w:vAlign w:val="bottom"/>
            <w:hideMark/>
          </w:tcPr>
          <w:p w14:paraId="132440E4" w14:textId="77777777" w:rsidR="00000000" w:rsidRDefault="002F725F">
            <w:pPr>
              <w:rPr>
                <w:rFonts w:eastAsia="Times New Roman"/>
                <w:sz w:val="18"/>
                <w:szCs w:val="18"/>
              </w:rPr>
            </w:pPr>
            <w:r>
              <w:rPr>
                <w:rFonts w:eastAsia="Times New Roman"/>
                <w:sz w:val="18"/>
                <w:szCs w:val="18"/>
              </w:rPr>
              <w:t>%</w:t>
            </w:r>
          </w:p>
        </w:tc>
      </w:tr>
      <w:tr w:rsidR="002F725F" w14:paraId="4F2B8248" w14:textId="77777777">
        <w:trPr>
          <w:divId w:val="415980837"/>
        </w:trPr>
        <w:tc>
          <w:tcPr>
            <w:tcW w:w="0" w:type="auto"/>
            <w:shd w:val="clear" w:color="auto" w:fill="CCEEFF"/>
            <w:tcMar>
              <w:top w:w="0" w:type="dxa"/>
              <w:left w:w="180" w:type="dxa"/>
              <w:bottom w:w="0" w:type="dxa"/>
              <w:right w:w="0" w:type="dxa"/>
            </w:tcMar>
            <w:vAlign w:val="bottom"/>
            <w:hideMark/>
          </w:tcPr>
          <w:p w14:paraId="7D27ECB7" w14:textId="77777777" w:rsidR="00000000" w:rsidRDefault="002F725F">
            <w:pPr>
              <w:ind w:hanging="180"/>
              <w:rPr>
                <w:rFonts w:eastAsia="Times New Roman"/>
                <w:sz w:val="18"/>
                <w:szCs w:val="18"/>
              </w:rPr>
            </w:pPr>
            <w:r>
              <w:rPr>
                <w:rFonts w:eastAsia="Times New Roman"/>
                <w:sz w:val="18"/>
                <w:szCs w:val="18"/>
              </w:rPr>
              <w:t>Sanofi</w:t>
            </w:r>
          </w:p>
        </w:tc>
        <w:tc>
          <w:tcPr>
            <w:tcW w:w="0" w:type="auto"/>
            <w:shd w:val="clear" w:color="auto" w:fill="CCEEFF"/>
            <w:vAlign w:val="bottom"/>
            <w:hideMark/>
          </w:tcPr>
          <w:p w14:paraId="7FB1351E"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4C4FBDDA"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2A333B13" w14:textId="77777777" w:rsidR="00000000" w:rsidRDefault="002F725F">
            <w:pPr>
              <w:jc w:val="right"/>
              <w:rPr>
                <w:rFonts w:eastAsia="Times New Roman"/>
                <w:sz w:val="18"/>
                <w:szCs w:val="18"/>
              </w:rPr>
            </w:pPr>
            <w:r>
              <w:rPr>
                <w:rFonts w:eastAsia="Times New Roman"/>
                <w:sz w:val="18"/>
                <w:szCs w:val="18"/>
              </w:rPr>
              <w:t>5.0</w:t>
            </w:r>
          </w:p>
        </w:tc>
        <w:tc>
          <w:tcPr>
            <w:tcW w:w="0" w:type="auto"/>
            <w:shd w:val="clear" w:color="auto" w:fill="CCEEFF"/>
            <w:vAlign w:val="bottom"/>
            <w:hideMark/>
          </w:tcPr>
          <w:p w14:paraId="0A6E0A71"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3A934FEB"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406DAD0F"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4A94E540" w14:textId="77777777" w:rsidR="00000000" w:rsidRDefault="002F725F">
            <w:pPr>
              <w:jc w:val="right"/>
              <w:rPr>
                <w:rFonts w:eastAsia="Times New Roman"/>
                <w:sz w:val="18"/>
                <w:szCs w:val="18"/>
              </w:rPr>
            </w:pPr>
            <w:r>
              <w:rPr>
                <w:rFonts w:eastAsia="Times New Roman"/>
                <w:sz w:val="18"/>
                <w:szCs w:val="18"/>
              </w:rPr>
              <w:t>5.5</w:t>
            </w:r>
          </w:p>
        </w:tc>
        <w:tc>
          <w:tcPr>
            <w:tcW w:w="0" w:type="auto"/>
            <w:shd w:val="clear" w:color="auto" w:fill="CCEEFF"/>
            <w:vAlign w:val="bottom"/>
            <w:hideMark/>
          </w:tcPr>
          <w:p w14:paraId="4D2BA90F"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1F017201"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157F43C4"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4E5780E8" w14:textId="77777777" w:rsidR="00000000" w:rsidRDefault="002F725F">
            <w:pPr>
              <w:jc w:val="right"/>
              <w:rPr>
                <w:rFonts w:eastAsia="Times New Roman"/>
                <w:sz w:val="18"/>
                <w:szCs w:val="18"/>
              </w:rPr>
            </w:pPr>
            <w:r>
              <w:rPr>
                <w:rFonts w:eastAsia="Times New Roman"/>
                <w:sz w:val="18"/>
                <w:szCs w:val="18"/>
              </w:rPr>
              <w:t>9.3</w:t>
            </w:r>
          </w:p>
        </w:tc>
        <w:tc>
          <w:tcPr>
            <w:tcW w:w="0" w:type="auto"/>
            <w:shd w:val="clear" w:color="auto" w:fill="CCEEFF"/>
            <w:vAlign w:val="bottom"/>
            <w:hideMark/>
          </w:tcPr>
          <w:p w14:paraId="0DF921CC"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29923699"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69455ADB"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24BB6425" w14:textId="77777777" w:rsidR="00000000" w:rsidRDefault="002F725F">
            <w:pPr>
              <w:jc w:val="right"/>
              <w:rPr>
                <w:rFonts w:eastAsia="Times New Roman"/>
                <w:sz w:val="18"/>
                <w:szCs w:val="18"/>
              </w:rPr>
            </w:pPr>
            <w:r>
              <w:rPr>
                <w:rFonts w:eastAsia="Times New Roman"/>
                <w:sz w:val="18"/>
                <w:szCs w:val="18"/>
              </w:rPr>
              <w:t>6.9</w:t>
            </w:r>
          </w:p>
        </w:tc>
        <w:tc>
          <w:tcPr>
            <w:tcW w:w="0" w:type="auto"/>
            <w:shd w:val="clear" w:color="auto" w:fill="CCEEFF"/>
            <w:vAlign w:val="bottom"/>
            <w:hideMark/>
          </w:tcPr>
          <w:p w14:paraId="43FD9816"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72C06A1E"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5AB3F0D7"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442B5055" w14:textId="77777777" w:rsidR="00000000" w:rsidRDefault="002F725F">
            <w:pPr>
              <w:jc w:val="right"/>
              <w:rPr>
                <w:rFonts w:eastAsia="Times New Roman"/>
                <w:sz w:val="18"/>
                <w:szCs w:val="18"/>
              </w:rPr>
            </w:pPr>
            <w:r>
              <w:rPr>
                <w:rFonts w:eastAsia="Times New Roman"/>
                <w:sz w:val="18"/>
                <w:szCs w:val="18"/>
              </w:rPr>
              <w:t>-1.1</w:t>
            </w:r>
          </w:p>
        </w:tc>
        <w:tc>
          <w:tcPr>
            <w:tcW w:w="0" w:type="auto"/>
            <w:shd w:val="clear" w:color="auto" w:fill="CCEEFF"/>
            <w:vAlign w:val="bottom"/>
            <w:hideMark/>
          </w:tcPr>
          <w:p w14:paraId="4CB599C1"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6DD868E3"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223CBC43"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0F0F0A1E" w14:textId="77777777" w:rsidR="00000000" w:rsidRDefault="002F725F">
            <w:pPr>
              <w:jc w:val="right"/>
              <w:rPr>
                <w:rFonts w:eastAsia="Times New Roman"/>
                <w:sz w:val="18"/>
                <w:szCs w:val="18"/>
              </w:rPr>
            </w:pPr>
            <w:r>
              <w:rPr>
                <w:rFonts w:eastAsia="Times New Roman"/>
                <w:sz w:val="18"/>
                <w:szCs w:val="18"/>
              </w:rPr>
              <w:t>8.3</w:t>
            </w:r>
          </w:p>
        </w:tc>
        <w:tc>
          <w:tcPr>
            <w:tcW w:w="0" w:type="auto"/>
            <w:shd w:val="clear" w:color="auto" w:fill="CCEEFF"/>
            <w:vAlign w:val="bottom"/>
            <w:hideMark/>
          </w:tcPr>
          <w:p w14:paraId="4F03E814"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63EB3688"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5197F57E"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4DB1C6CD" w14:textId="77777777" w:rsidR="00000000" w:rsidRDefault="002F725F">
            <w:pPr>
              <w:jc w:val="right"/>
              <w:rPr>
                <w:rFonts w:eastAsia="Times New Roman"/>
                <w:sz w:val="18"/>
                <w:szCs w:val="18"/>
              </w:rPr>
            </w:pPr>
            <w:r>
              <w:rPr>
                <w:rFonts w:eastAsia="Times New Roman"/>
                <w:sz w:val="18"/>
                <w:szCs w:val="18"/>
              </w:rPr>
              <w:t>9.5</w:t>
            </w:r>
          </w:p>
        </w:tc>
        <w:tc>
          <w:tcPr>
            <w:tcW w:w="0" w:type="auto"/>
            <w:shd w:val="clear" w:color="auto" w:fill="CCEEFF"/>
            <w:vAlign w:val="bottom"/>
            <w:hideMark/>
          </w:tcPr>
          <w:p w14:paraId="3824931F"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6E2CCE45"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47F22E3E"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30E4E00F" w14:textId="77777777" w:rsidR="00000000" w:rsidRDefault="002F725F">
            <w:pPr>
              <w:jc w:val="right"/>
              <w:rPr>
                <w:rFonts w:eastAsia="Times New Roman"/>
                <w:sz w:val="18"/>
                <w:szCs w:val="18"/>
              </w:rPr>
            </w:pPr>
            <w:r>
              <w:rPr>
                <w:rFonts w:eastAsia="Times New Roman"/>
                <w:sz w:val="18"/>
                <w:szCs w:val="18"/>
              </w:rPr>
              <w:t>8.2</w:t>
            </w:r>
          </w:p>
        </w:tc>
        <w:tc>
          <w:tcPr>
            <w:tcW w:w="0" w:type="auto"/>
            <w:shd w:val="clear" w:color="auto" w:fill="CCEEFF"/>
            <w:vAlign w:val="bottom"/>
            <w:hideMark/>
          </w:tcPr>
          <w:p w14:paraId="577469A1"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28051896"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668CF6D3"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48E5EFAB" w14:textId="77777777" w:rsidR="00000000" w:rsidRDefault="002F725F">
            <w:pPr>
              <w:jc w:val="right"/>
              <w:rPr>
                <w:rFonts w:eastAsia="Times New Roman"/>
                <w:sz w:val="18"/>
                <w:szCs w:val="18"/>
              </w:rPr>
            </w:pPr>
            <w:r>
              <w:rPr>
                <w:rFonts w:eastAsia="Times New Roman"/>
                <w:sz w:val="18"/>
                <w:szCs w:val="18"/>
              </w:rPr>
              <w:t>27.0</w:t>
            </w:r>
          </w:p>
        </w:tc>
        <w:tc>
          <w:tcPr>
            <w:tcW w:w="0" w:type="auto"/>
            <w:shd w:val="clear" w:color="auto" w:fill="CCEEFF"/>
            <w:vAlign w:val="bottom"/>
            <w:hideMark/>
          </w:tcPr>
          <w:p w14:paraId="382845FE"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7C11F710"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58402030"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2F1FC98D" w14:textId="77777777" w:rsidR="00000000" w:rsidRDefault="002F725F">
            <w:pPr>
              <w:jc w:val="right"/>
              <w:rPr>
                <w:rFonts w:eastAsia="Times New Roman"/>
                <w:sz w:val="18"/>
                <w:szCs w:val="18"/>
              </w:rPr>
            </w:pPr>
            <w:r>
              <w:rPr>
                <w:rFonts w:eastAsia="Times New Roman"/>
                <w:sz w:val="18"/>
                <w:szCs w:val="18"/>
              </w:rPr>
              <w:t>27.3</w:t>
            </w:r>
          </w:p>
        </w:tc>
        <w:tc>
          <w:tcPr>
            <w:tcW w:w="0" w:type="auto"/>
            <w:shd w:val="clear" w:color="auto" w:fill="CCEEFF"/>
            <w:vAlign w:val="bottom"/>
            <w:hideMark/>
          </w:tcPr>
          <w:p w14:paraId="7183E037"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6B3D8E72"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338E9DFB"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014F75B0" w14:textId="77777777" w:rsidR="00000000" w:rsidRDefault="002F725F">
            <w:pPr>
              <w:jc w:val="right"/>
              <w:rPr>
                <w:rFonts w:eastAsia="Times New Roman"/>
                <w:sz w:val="18"/>
                <w:szCs w:val="18"/>
              </w:rPr>
            </w:pPr>
            <w:r>
              <w:rPr>
                <w:rFonts w:eastAsia="Times New Roman"/>
                <w:sz w:val="18"/>
                <w:szCs w:val="18"/>
              </w:rPr>
              <w:t>29.3</w:t>
            </w:r>
          </w:p>
        </w:tc>
        <w:tc>
          <w:tcPr>
            <w:tcW w:w="0" w:type="auto"/>
            <w:shd w:val="clear" w:color="auto" w:fill="CCEEFF"/>
            <w:vAlign w:val="bottom"/>
            <w:hideMark/>
          </w:tcPr>
          <w:p w14:paraId="606289B2" w14:textId="77777777" w:rsidR="00000000" w:rsidRDefault="002F725F">
            <w:pPr>
              <w:rPr>
                <w:rFonts w:eastAsia="Times New Roman"/>
                <w:sz w:val="18"/>
                <w:szCs w:val="18"/>
              </w:rPr>
            </w:pPr>
            <w:r>
              <w:rPr>
                <w:rFonts w:eastAsia="Times New Roman"/>
                <w:sz w:val="18"/>
                <w:szCs w:val="18"/>
              </w:rPr>
              <w:t>%</w:t>
            </w:r>
          </w:p>
        </w:tc>
        <w:tc>
          <w:tcPr>
            <w:tcW w:w="0" w:type="auto"/>
            <w:shd w:val="clear" w:color="auto" w:fill="CCEEFF"/>
            <w:vAlign w:val="bottom"/>
            <w:hideMark/>
          </w:tcPr>
          <w:p w14:paraId="3F496AAD"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7E8E3B32" w14:textId="77777777" w:rsidR="00000000" w:rsidRDefault="002F725F">
            <w:pPr>
              <w:rPr>
                <w:rFonts w:eastAsia="Times New Roman"/>
                <w:sz w:val="18"/>
                <w:szCs w:val="18"/>
              </w:rPr>
            </w:pPr>
            <w:r>
              <w:rPr>
                <w:rFonts w:eastAsia="Times New Roman"/>
                <w:sz w:val="18"/>
                <w:szCs w:val="18"/>
              </w:rPr>
              <w:t> </w:t>
            </w:r>
          </w:p>
        </w:tc>
        <w:tc>
          <w:tcPr>
            <w:tcW w:w="0" w:type="auto"/>
            <w:tcBorders>
              <w:bottom w:val="single" w:sz="12" w:space="0" w:color="000000"/>
            </w:tcBorders>
            <w:shd w:val="clear" w:color="auto" w:fill="CCEEFF"/>
            <w:vAlign w:val="bottom"/>
            <w:hideMark/>
          </w:tcPr>
          <w:p w14:paraId="3181F0E4" w14:textId="77777777" w:rsidR="00000000" w:rsidRDefault="002F725F">
            <w:pPr>
              <w:jc w:val="right"/>
              <w:rPr>
                <w:rFonts w:eastAsia="Times New Roman"/>
                <w:sz w:val="18"/>
                <w:szCs w:val="18"/>
              </w:rPr>
            </w:pPr>
            <w:r>
              <w:rPr>
                <w:rFonts w:eastAsia="Times New Roman"/>
                <w:sz w:val="18"/>
                <w:szCs w:val="18"/>
              </w:rPr>
              <w:t>29.6</w:t>
            </w:r>
          </w:p>
        </w:tc>
        <w:tc>
          <w:tcPr>
            <w:tcW w:w="0" w:type="auto"/>
            <w:shd w:val="clear" w:color="auto" w:fill="CCEEFF"/>
            <w:vAlign w:val="bottom"/>
            <w:hideMark/>
          </w:tcPr>
          <w:p w14:paraId="61031AE4" w14:textId="77777777" w:rsidR="00000000" w:rsidRDefault="002F725F">
            <w:pPr>
              <w:rPr>
                <w:rFonts w:eastAsia="Times New Roman"/>
                <w:sz w:val="18"/>
                <w:szCs w:val="18"/>
              </w:rPr>
            </w:pPr>
            <w:r>
              <w:rPr>
                <w:rFonts w:eastAsia="Times New Roman"/>
                <w:sz w:val="18"/>
                <w:szCs w:val="18"/>
              </w:rPr>
              <w:t>%</w:t>
            </w:r>
          </w:p>
        </w:tc>
      </w:tr>
      <w:tr w:rsidR="002F725F" w14:paraId="6887F50B" w14:textId="77777777">
        <w:trPr>
          <w:divId w:val="415980837"/>
        </w:trPr>
        <w:tc>
          <w:tcPr>
            <w:tcW w:w="0" w:type="auto"/>
            <w:shd w:val="clear" w:color="auto" w:fill="FFFFFF"/>
            <w:tcMar>
              <w:top w:w="0" w:type="dxa"/>
              <w:left w:w="180" w:type="dxa"/>
              <w:bottom w:w="30" w:type="dxa"/>
              <w:right w:w="0" w:type="dxa"/>
            </w:tcMar>
            <w:vAlign w:val="bottom"/>
            <w:hideMark/>
          </w:tcPr>
          <w:p w14:paraId="5331DBBF" w14:textId="77777777" w:rsidR="00000000" w:rsidRDefault="002F725F">
            <w:pPr>
              <w:ind w:hanging="180"/>
              <w:rPr>
                <w:rFonts w:eastAsia="Times New Roman"/>
                <w:sz w:val="18"/>
                <w:szCs w:val="18"/>
              </w:rPr>
            </w:pPr>
            <w:r>
              <w:rPr>
                <w:rFonts w:eastAsia="Times New Roman"/>
                <w:sz w:val="18"/>
                <w:szCs w:val="18"/>
              </w:rPr>
              <w:t> </w:t>
            </w:r>
          </w:p>
        </w:tc>
        <w:tc>
          <w:tcPr>
            <w:tcW w:w="0" w:type="auto"/>
            <w:shd w:val="clear" w:color="auto" w:fill="FFFFFF"/>
            <w:vAlign w:val="bottom"/>
            <w:hideMark/>
          </w:tcPr>
          <w:p w14:paraId="3AC81530"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28E1B45F"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5D1637F"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FFFFFF"/>
            <w:tcMar>
              <w:top w:w="0" w:type="dxa"/>
              <w:left w:w="0" w:type="dxa"/>
              <w:bottom w:w="30" w:type="dxa"/>
              <w:right w:w="0" w:type="dxa"/>
            </w:tcMar>
            <w:vAlign w:val="bottom"/>
            <w:hideMark/>
          </w:tcPr>
          <w:p w14:paraId="7CE2E7CF"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27E3E6F6"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6D20417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97C1A65"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FFFFFF"/>
            <w:tcMar>
              <w:top w:w="0" w:type="dxa"/>
              <w:left w:w="0" w:type="dxa"/>
              <w:bottom w:w="30" w:type="dxa"/>
              <w:right w:w="0" w:type="dxa"/>
            </w:tcMar>
            <w:vAlign w:val="bottom"/>
            <w:hideMark/>
          </w:tcPr>
          <w:p w14:paraId="790D55F3"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FA75380"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213B11A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221A17D"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FFFFFF"/>
            <w:tcMar>
              <w:top w:w="0" w:type="dxa"/>
              <w:left w:w="0" w:type="dxa"/>
              <w:bottom w:w="30" w:type="dxa"/>
              <w:right w:w="0" w:type="dxa"/>
            </w:tcMar>
            <w:vAlign w:val="bottom"/>
            <w:hideMark/>
          </w:tcPr>
          <w:p w14:paraId="0F3D267C"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37FA1014"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F47AF7A"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4C23977D"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FFFFFF"/>
            <w:tcMar>
              <w:top w:w="0" w:type="dxa"/>
              <w:left w:w="0" w:type="dxa"/>
              <w:bottom w:w="30" w:type="dxa"/>
              <w:right w:w="0" w:type="dxa"/>
            </w:tcMar>
            <w:vAlign w:val="bottom"/>
            <w:hideMark/>
          </w:tcPr>
          <w:p w14:paraId="0C776AC8"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5C48425C"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5B26BD1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8318E0C"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FFFFFF"/>
            <w:tcMar>
              <w:top w:w="0" w:type="dxa"/>
              <w:left w:w="0" w:type="dxa"/>
              <w:bottom w:w="30" w:type="dxa"/>
              <w:right w:w="0" w:type="dxa"/>
            </w:tcMar>
            <w:vAlign w:val="bottom"/>
            <w:hideMark/>
          </w:tcPr>
          <w:p w14:paraId="20234903"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4B4CC3D"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270BF2F7"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1074A70E"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FFFFFF"/>
            <w:tcMar>
              <w:top w:w="0" w:type="dxa"/>
              <w:left w:w="0" w:type="dxa"/>
              <w:bottom w:w="30" w:type="dxa"/>
              <w:right w:w="0" w:type="dxa"/>
            </w:tcMar>
            <w:vAlign w:val="bottom"/>
            <w:hideMark/>
          </w:tcPr>
          <w:p w14:paraId="663975D6"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456A83F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22553974"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3A89DCC0"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FFFFFF"/>
            <w:tcMar>
              <w:top w:w="0" w:type="dxa"/>
              <w:left w:w="0" w:type="dxa"/>
              <w:bottom w:w="30" w:type="dxa"/>
              <w:right w:w="0" w:type="dxa"/>
            </w:tcMar>
            <w:vAlign w:val="bottom"/>
            <w:hideMark/>
          </w:tcPr>
          <w:p w14:paraId="55E681C6"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070D6279"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278771C2"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1223E2FD"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FFFFFF"/>
            <w:tcMar>
              <w:top w:w="0" w:type="dxa"/>
              <w:left w:w="0" w:type="dxa"/>
              <w:bottom w:w="30" w:type="dxa"/>
              <w:right w:w="0" w:type="dxa"/>
            </w:tcMar>
            <w:vAlign w:val="bottom"/>
            <w:hideMark/>
          </w:tcPr>
          <w:p w14:paraId="05C7D0A4"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5D9BD70D"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3E9605C2"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1C67BCDE"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FFFFFF"/>
            <w:tcMar>
              <w:top w:w="0" w:type="dxa"/>
              <w:left w:w="0" w:type="dxa"/>
              <w:bottom w:w="30" w:type="dxa"/>
              <w:right w:w="0" w:type="dxa"/>
            </w:tcMar>
            <w:vAlign w:val="bottom"/>
            <w:hideMark/>
          </w:tcPr>
          <w:p w14:paraId="52C55EDF"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8D58320"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321454F7"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510C68C3"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FFFFFF"/>
            <w:tcMar>
              <w:top w:w="0" w:type="dxa"/>
              <w:left w:w="0" w:type="dxa"/>
              <w:bottom w:w="30" w:type="dxa"/>
              <w:right w:w="0" w:type="dxa"/>
            </w:tcMar>
            <w:vAlign w:val="bottom"/>
            <w:hideMark/>
          </w:tcPr>
          <w:p w14:paraId="641BE34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1CEBA803"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179946EC"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6E427850"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FFFFFF"/>
            <w:tcMar>
              <w:top w:w="0" w:type="dxa"/>
              <w:left w:w="0" w:type="dxa"/>
              <w:bottom w:w="30" w:type="dxa"/>
              <w:right w:w="0" w:type="dxa"/>
            </w:tcMar>
            <w:vAlign w:val="bottom"/>
            <w:hideMark/>
          </w:tcPr>
          <w:p w14:paraId="070E9831"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55F13E7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22F6D4BE" w14:textId="77777777" w:rsidR="00000000" w:rsidRDefault="002F725F">
            <w:pPr>
              <w:rPr>
                <w:rFonts w:eastAsia="Times New Roman"/>
                <w:sz w:val="18"/>
                <w:szCs w:val="18"/>
              </w:rPr>
            </w:pPr>
            <w:r>
              <w:rPr>
                <w:rFonts w:eastAsia="Times New Roman"/>
                <w:sz w:val="18"/>
                <w:szCs w:val="18"/>
              </w:rPr>
              <w:t> </w:t>
            </w:r>
          </w:p>
        </w:tc>
        <w:tc>
          <w:tcPr>
            <w:tcW w:w="0" w:type="auto"/>
            <w:shd w:val="clear" w:color="auto" w:fill="FFFFFF"/>
            <w:vAlign w:val="bottom"/>
            <w:hideMark/>
          </w:tcPr>
          <w:p w14:paraId="724C519D"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FFFFFF"/>
            <w:tcMar>
              <w:top w:w="0" w:type="dxa"/>
              <w:left w:w="0" w:type="dxa"/>
              <w:bottom w:w="30" w:type="dxa"/>
              <w:right w:w="0" w:type="dxa"/>
            </w:tcMar>
            <w:vAlign w:val="bottom"/>
            <w:hideMark/>
          </w:tcPr>
          <w:p w14:paraId="74E3F702" w14:textId="77777777" w:rsidR="00000000" w:rsidRDefault="002F725F">
            <w:pPr>
              <w:rPr>
                <w:rFonts w:eastAsia="Times New Roman"/>
                <w:sz w:val="18"/>
                <w:szCs w:val="18"/>
              </w:rPr>
            </w:pPr>
            <w:r>
              <w:rPr>
                <w:rFonts w:eastAsia="Times New Roman"/>
                <w:sz w:val="18"/>
                <w:szCs w:val="18"/>
              </w:rPr>
              <w:t> </w:t>
            </w:r>
          </w:p>
        </w:tc>
      </w:tr>
      <w:tr w:rsidR="002F725F" w14:paraId="460F4B72" w14:textId="77777777">
        <w:trPr>
          <w:divId w:val="415980837"/>
        </w:trPr>
        <w:tc>
          <w:tcPr>
            <w:tcW w:w="0" w:type="auto"/>
            <w:shd w:val="clear" w:color="auto" w:fill="CCEEFF"/>
            <w:tcMar>
              <w:top w:w="0" w:type="dxa"/>
              <w:left w:w="180" w:type="dxa"/>
              <w:bottom w:w="0" w:type="dxa"/>
              <w:right w:w="0" w:type="dxa"/>
            </w:tcMar>
            <w:vAlign w:val="bottom"/>
            <w:hideMark/>
          </w:tcPr>
          <w:p w14:paraId="42D0A7CC" w14:textId="77777777" w:rsidR="00000000" w:rsidRDefault="002F725F">
            <w:pPr>
              <w:ind w:hanging="180"/>
              <w:rPr>
                <w:rFonts w:eastAsia="Times New Roman"/>
                <w:b/>
                <w:bCs/>
                <w:sz w:val="18"/>
                <w:szCs w:val="18"/>
              </w:rPr>
            </w:pPr>
            <w:r>
              <w:rPr>
                <w:rFonts w:eastAsia="Times New Roman"/>
                <w:b/>
                <w:bCs/>
                <w:sz w:val="18"/>
                <w:szCs w:val="18"/>
              </w:rPr>
              <w:t>Mean</w:t>
            </w:r>
          </w:p>
        </w:tc>
        <w:tc>
          <w:tcPr>
            <w:tcW w:w="0" w:type="auto"/>
            <w:shd w:val="clear" w:color="auto" w:fill="CCEEFF"/>
            <w:vAlign w:val="bottom"/>
            <w:hideMark/>
          </w:tcPr>
          <w:p w14:paraId="59C2202A"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0758CA0C"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744BD937" w14:textId="77777777" w:rsidR="00000000" w:rsidRDefault="002F725F">
            <w:pPr>
              <w:jc w:val="right"/>
              <w:rPr>
                <w:rFonts w:eastAsia="Times New Roman"/>
                <w:b/>
                <w:bCs/>
                <w:sz w:val="18"/>
                <w:szCs w:val="18"/>
              </w:rPr>
            </w:pPr>
            <w:r>
              <w:rPr>
                <w:rFonts w:eastAsia="Times New Roman"/>
                <w:b/>
                <w:bCs/>
                <w:sz w:val="18"/>
                <w:szCs w:val="18"/>
              </w:rPr>
              <w:t>1.1</w:t>
            </w:r>
          </w:p>
        </w:tc>
        <w:tc>
          <w:tcPr>
            <w:tcW w:w="0" w:type="auto"/>
            <w:shd w:val="clear" w:color="auto" w:fill="CCEEFF"/>
            <w:vAlign w:val="bottom"/>
            <w:hideMark/>
          </w:tcPr>
          <w:p w14:paraId="1CD90F4A"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CCEEFF"/>
            <w:vAlign w:val="bottom"/>
            <w:hideMark/>
          </w:tcPr>
          <w:p w14:paraId="4E2C4A8C"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1434AD56"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43EA72DD" w14:textId="77777777" w:rsidR="00000000" w:rsidRDefault="002F725F">
            <w:pPr>
              <w:jc w:val="right"/>
              <w:rPr>
                <w:rFonts w:eastAsia="Times New Roman"/>
                <w:b/>
                <w:bCs/>
                <w:sz w:val="18"/>
                <w:szCs w:val="18"/>
              </w:rPr>
            </w:pPr>
            <w:r>
              <w:rPr>
                <w:rFonts w:eastAsia="Times New Roman"/>
                <w:b/>
                <w:bCs/>
                <w:sz w:val="18"/>
                <w:szCs w:val="18"/>
              </w:rPr>
              <w:t>93.7</w:t>
            </w:r>
          </w:p>
        </w:tc>
        <w:tc>
          <w:tcPr>
            <w:tcW w:w="0" w:type="auto"/>
            <w:shd w:val="clear" w:color="auto" w:fill="CCEEFF"/>
            <w:vAlign w:val="bottom"/>
            <w:hideMark/>
          </w:tcPr>
          <w:p w14:paraId="14457216"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CCEEFF"/>
            <w:vAlign w:val="bottom"/>
            <w:hideMark/>
          </w:tcPr>
          <w:p w14:paraId="47367BC0"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103652B7"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0F0FE16B" w14:textId="77777777" w:rsidR="00000000" w:rsidRDefault="002F725F">
            <w:pPr>
              <w:jc w:val="right"/>
              <w:rPr>
                <w:rFonts w:eastAsia="Times New Roman"/>
                <w:b/>
                <w:bCs/>
                <w:sz w:val="18"/>
                <w:szCs w:val="18"/>
              </w:rPr>
            </w:pPr>
            <w:r>
              <w:rPr>
                <w:rFonts w:eastAsia="Times New Roman"/>
                <w:b/>
                <w:bCs/>
                <w:sz w:val="18"/>
                <w:szCs w:val="18"/>
              </w:rPr>
              <w:t>9.3</w:t>
            </w:r>
          </w:p>
        </w:tc>
        <w:tc>
          <w:tcPr>
            <w:tcW w:w="0" w:type="auto"/>
            <w:shd w:val="clear" w:color="auto" w:fill="CCEEFF"/>
            <w:vAlign w:val="bottom"/>
            <w:hideMark/>
          </w:tcPr>
          <w:p w14:paraId="6F477C6B"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CCEEFF"/>
            <w:vAlign w:val="bottom"/>
            <w:hideMark/>
          </w:tcPr>
          <w:p w14:paraId="247CF7B4"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69377E58"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10F6DA87" w14:textId="77777777" w:rsidR="00000000" w:rsidRDefault="002F725F">
            <w:pPr>
              <w:jc w:val="right"/>
              <w:rPr>
                <w:rFonts w:eastAsia="Times New Roman"/>
                <w:b/>
                <w:bCs/>
                <w:sz w:val="18"/>
                <w:szCs w:val="18"/>
              </w:rPr>
            </w:pPr>
            <w:r>
              <w:rPr>
                <w:rFonts w:eastAsia="Times New Roman"/>
                <w:b/>
                <w:bCs/>
                <w:sz w:val="18"/>
                <w:szCs w:val="18"/>
              </w:rPr>
              <w:t>12.8</w:t>
            </w:r>
          </w:p>
        </w:tc>
        <w:tc>
          <w:tcPr>
            <w:tcW w:w="0" w:type="auto"/>
            <w:shd w:val="clear" w:color="auto" w:fill="CCEEFF"/>
            <w:vAlign w:val="bottom"/>
            <w:hideMark/>
          </w:tcPr>
          <w:p w14:paraId="692A1760"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CCEEFF"/>
            <w:vAlign w:val="bottom"/>
            <w:hideMark/>
          </w:tcPr>
          <w:p w14:paraId="0ECFAFC5"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5096CFA3"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44A88D76" w14:textId="77777777" w:rsidR="00000000" w:rsidRDefault="002F725F">
            <w:pPr>
              <w:jc w:val="right"/>
              <w:rPr>
                <w:rFonts w:eastAsia="Times New Roman"/>
                <w:b/>
                <w:bCs/>
                <w:sz w:val="18"/>
                <w:szCs w:val="18"/>
              </w:rPr>
            </w:pPr>
            <w:r>
              <w:rPr>
                <w:rFonts w:eastAsia="Times New Roman"/>
                <w:b/>
                <w:bCs/>
                <w:sz w:val="18"/>
                <w:szCs w:val="18"/>
              </w:rPr>
              <w:t>36.1</w:t>
            </w:r>
          </w:p>
        </w:tc>
        <w:tc>
          <w:tcPr>
            <w:tcW w:w="0" w:type="auto"/>
            <w:shd w:val="clear" w:color="auto" w:fill="CCEEFF"/>
            <w:vAlign w:val="bottom"/>
            <w:hideMark/>
          </w:tcPr>
          <w:p w14:paraId="1147BB44"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CCEEFF"/>
            <w:vAlign w:val="bottom"/>
            <w:hideMark/>
          </w:tcPr>
          <w:p w14:paraId="07E7D98D"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6491B263"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44757AB3" w14:textId="77777777" w:rsidR="00000000" w:rsidRDefault="002F725F">
            <w:pPr>
              <w:jc w:val="right"/>
              <w:rPr>
                <w:rFonts w:eastAsia="Times New Roman"/>
                <w:b/>
                <w:bCs/>
                <w:sz w:val="18"/>
                <w:szCs w:val="18"/>
              </w:rPr>
            </w:pPr>
            <w:r>
              <w:rPr>
                <w:rFonts w:eastAsia="Times New Roman"/>
                <w:b/>
                <w:bCs/>
                <w:sz w:val="18"/>
                <w:szCs w:val="18"/>
              </w:rPr>
              <w:t>11.4</w:t>
            </w:r>
          </w:p>
        </w:tc>
        <w:tc>
          <w:tcPr>
            <w:tcW w:w="0" w:type="auto"/>
            <w:shd w:val="clear" w:color="auto" w:fill="CCEEFF"/>
            <w:vAlign w:val="bottom"/>
            <w:hideMark/>
          </w:tcPr>
          <w:p w14:paraId="69F0ECBB"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CCEEFF"/>
            <w:vAlign w:val="bottom"/>
            <w:hideMark/>
          </w:tcPr>
          <w:p w14:paraId="5AB6BB9E"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2F4875A4"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09D5D4DF" w14:textId="77777777" w:rsidR="00000000" w:rsidRDefault="002F725F">
            <w:pPr>
              <w:jc w:val="right"/>
              <w:rPr>
                <w:rFonts w:eastAsia="Times New Roman"/>
                <w:b/>
                <w:bCs/>
                <w:sz w:val="18"/>
                <w:szCs w:val="18"/>
              </w:rPr>
            </w:pPr>
            <w:r>
              <w:rPr>
                <w:rFonts w:eastAsia="Times New Roman"/>
                <w:b/>
                <w:bCs/>
                <w:sz w:val="18"/>
                <w:szCs w:val="18"/>
              </w:rPr>
              <w:t>70.0</w:t>
            </w:r>
          </w:p>
        </w:tc>
        <w:tc>
          <w:tcPr>
            <w:tcW w:w="0" w:type="auto"/>
            <w:shd w:val="clear" w:color="auto" w:fill="CCEEFF"/>
            <w:vAlign w:val="bottom"/>
            <w:hideMark/>
          </w:tcPr>
          <w:p w14:paraId="6B541CA4"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CCEEFF"/>
            <w:vAlign w:val="bottom"/>
            <w:hideMark/>
          </w:tcPr>
          <w:p w14:paraId="14DBB12C"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4B28A68C"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718A2039" w14:textId="77777777" w:rsidR="00000000" w:rsidRDefault="002F725F">
            <w:pPr>
              <w:jc w:val="right"/>
              <w:rPr>
                <w:rFonts w:eastAsia="Times New Roman"/>
                <w:b/>
                <w:bCs/>
                <w:sz w:val="18"/>
                <w:szCs w:val="18"/>
              </w:rPr>
            </w:pPr>
            <w:r>
              <w:rPr>
                <w:rFonts w:eastAsia="Times New Roman"/>
                <w:b/>
                <w:bCs/>
                <w:sz w:val="18"/>
                <w:szCs w:val="18"/>
              </w:rPr>
              <w:t>35.0</w:t>
            </w:r>
          </w:p>
        </w:tc>
        <w:tc>
          <w:tcPr>
            <w:tcW w:w="0" w:type="auto"/>
            <w:shd w:val="clear" w:color="auto" w:fill="CCEEFF"/>
            <w:vAlign w:val="bottom"/>
            <w:hideMark/>
          </w:tcPr>
          <w:p w14:paraId="5B0322F7"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CCEEFF"/>
            <w:vAlign w:val="bottom"/>
            <w:hideMark/>
          </w:tcPr>
          <w:p w14:paraId="22614C1A"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09B14A47"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717B4E8C" w14:textId="77777777" w:rsidR="00000000" w:rsidRDefault="002F725F">
            <w:pPr>
              <w:jc w:val="right"/>
              <w:rPr>
                <w:rFonts w:eastAsia="Times New Roman"/>
                <w:b/>
                <w:bCs/>
                <w:sz w:val="18"/>
                <w:szCs w:val="18"/>
              </w:rPr>
            </w:pPr>
            <w:r>
              <w:rPr>
                <w:rFonts w:eastAsia="Times New Roman"/>
                <w:b/>
                <w:bCs/>
                <w:sz w:val="18"/>
                <w:szCs w:val="18"/>
              </w:rPr>
              <w:t>-25.5</w:t>
            </w:r>
          </w:p>
        </w:tc>
        <w:tc>
          <w:tcPr>
            <w:tcW w:w="0" w:type="auto"/>
            <w:shd w:val="clear" w:color="auto" w:fill="CCEEFF"/>
            <w:vAlign w:val="bottom"/>
            <w:hideMark/>
          </w:tcPr>
          <w:p w14:paraId="22813903"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CCEEFF"/>
            <w:vAlign w:val="bottom"/>
            <w:hideMark/>
          </w:tcPr>
          <w:p w14:paraId="5274EE26"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6AE0FB46"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5414939B" w14:textId="77777777" w:rsidR="00000000" w:rsidRDefault="002F725F">
            <w:pPr>
              <w:jc w:val="right"/>
              <w:rPr>
                <w:rFonts w:eastAsia="Times New Roman"/>
                <w:b/>
                <w:bCs/>
                <w:sz w:val="18"/>
                <w:szCs w:val="18"/>
              </w:rPr>
            </w:pPr>
            <w:r>
              <w:rPr>
                <w:rFonts w:eastAsia="Times New Roman"/>
                <w:b/>
                <w:bCs/>
                <w:sz w:val="18"/>
                <w:szCs w:val="18"/>
              </w:rPr>
              <w:t>4.3</w:t>
            </w:r>
          </w:p>
        </w:tc>
        <w:tc>
          <w:tcPr>
            <w:tcW w:w="0" w:type="auto"/>
            <w:shd w:val="clear" w:color="auto" w:fill="CCEEFF"/>
            <w:vAlign w:val="bottom"/>
            <w:hideMark/>
          </w:tcPr>
          <w:p w14:paraId="346F7FCB"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CCEEFF"/>
            <w:vAlign w:val="bottom"/>
            <w:hideMark/>
          </w:tcPr>
          <w:p w14:paraId="34866A76"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23AEF0EF"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095DBFEB" w14:textId="77777777" w:rsidR="00000000" w:rsidRDefault="002F725F">
            <w:pPr>
              <w:jc w:val="right"/>
              <w:rPr>
                <w:rFonts w:eastAsia="Times New Roman"/>
                <w:b/>
                <w:bCs/>
                <w:sz w:val="18"/>
                <w:szCs w:val="18"/>
              </w:rPr>
            </w:pPr>
            <w:r>
              <w:rPr>
                <w:rFonts w:eastAsia="Times New Roman"/>
                <w:b/>
                <w:bCs/>
                <w:sz w:val="18"/>
                <w:szCs w:val="18"/>
              </w:rPr>
              <w:t>24.6</w:t>
            </w:r>
          </w:p>
        </w:tc>
        <w:tc>
          <w:tcPr>
            <w:tcW w:w="0" w:type="auto"/>
            <w:shd w:val="clear" w:color="auto" w:fill="CCEEFF"/>
            <w:vAlign w:val="bottom"/>
            <w:hideMark/>
          </w:tcPr>
          <w:p w14:paraId="6C984B99"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CCEEFF"/>
            <w:vAlign w:val="bottom"/>
            <w:hideMark/>
          </w:tcPr>
          <w:p w14:paraId="29991363"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70897888"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CCEEFF"/>
            <w:vAlign w:val="bottom"/>
            <w:hideMark/>
          </w:tcPr>
          <w:p w14:paraId="64E1E2C1" w14:textId="77777777" w:rsidR="00000000" w:rsidRDefault="002F725F">
            <w:pPr>
              <w:jc w:val="right"/>
              <w:rPr>
                <w:rFonts w:eastAsia="Times New Roman"/>
                <w:b/>
                <w:bCs/>
                <w:sz w:val="18"/>
                <w:szCs w:val="18"/>
              </w:rPr>
            </w:pPr>
            <w:r>
              <w:rPr>
                <w:rFonts w:eastAsia="Times New Roman"/>
                <w:b/>
                <w:bCs/>
                <w:sz w:val="18"/>
                <w:szCs w:val="18"/>
              </w:rPr>
              <w:t>28.7</w:t>
            </w:r>
          </w:p>
        </w:tc>
        <w:tc>
          <w:tcPr>
            <w:tcW w:w="0" w:type="auto"/>
            <w:shd w:val="clear" w:color="auto" w:fill="CCEEFF"/>
            <w:vAlign w:val="bottom"/>
            <w:hideMark/>
          </w:tcPr>
          <w:p w14:paraId="48C4EEF0" w14:textId="77777777" w:rsidR="00000000" w:rsidRDefault="002F725F">
            <w:pPr>
              <w:rPr>
                <w:rFonts w:eastAsia="Times New Roman"/>
                <w:b/>
                <w:bCs/>
                <w:sz w:val="18"/>
                <w:szCs w:val="18"/>
              </w:rPr>
            </w:pPr>
            <w:r>
              <w:rPr>
                <w:rFonts w:eastAsia="Times New Roman"/>
                <w:b/>
                <w:bCs/>
                <w:sz w:val="18"/>
                <w:szCs w:val="18"/>
              </w:rPr>
              <w:t>%</w:t>
            </w:r>
          </w:p>
        </w:tc>
      </w:tr>
      <w:tr w:rsidR="002F725F" w14:paraId="31A1D722" w14:textId="77777777">
        <w:trPr>
          <w:divId w:val="415980837"/>
        </w:trPr>
        <w:tc>
          <w:tcPr>
            <w:tcW w:w="0" w:type="auto"/>
            <w:shd w:val="clear" w:color="auto" w:fill="FFFFFF"/>
            <w:tcMar>
              <w:top w:w="0" w:type="dxa"/>
              <w:left w:w="180" w:type="dxa"/>
              <w:bottom w:w="30" w:type="dxa"/>
              <w:right w:w="0" w:type="dxa"/>
            </w:tcMar>
            <w:vAlign w:val="bottom"/>
            <w:hideMark/>
          </w:tcPr>
          <w:p w14:paraId="53CE4195" w14:textId="77777777" w:rsidR="00000000" w:rsidRDefault="002F725F">
            <w:pPr>
              <w:ind w:hanging="180"/>
              <w:rPr>
                <w:rFonts w:eastAsia="Times New Roman"/>
                <w:b/>
                <w:bCs/>
                <w:sz w:val="18"/>
                <w:szCs w:val="18"/>
              </w:rPr>
            </w:pPr>
            <w:r>
              <w:rPr>
                <w:rFonts w:eastAsia="Times New Roman"/>
                <w:b/>
                <w:bCs/>
                <w:sz w:val="18"/>
                <w:szCs w:val="18"/>
              </w:rPr>
              <w:t>Median</w:t>
            </w:r>
          </w:p>
        </w:tc>
        <w:tc>
          <w:tcPr>
            <w:tcW w:w="0" w:type="auto"/>
            <w:shd w:val="clear" w:color="auto" w:fill="FFFFFF"/>
            <w:vAlign w:val="bottom"/>
            <w:hideMark/>
          </w:tcPr>
          <w:p w14:paraId="2AB6E3EC"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455292B3"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0BD2BF30" w14:textId="77777777" w:rsidR="00000000" w:rsidRDefault="002F725F">
            <w:pPr>
              <w:jc w:val="right"/>
              <w:rPr>
                <w:rFonts w:eastAsia="Times New Roman"/>
                <w:b/>
                <w:bCs/>
                <w:sz w:val="18"/>
                <w:szCs w:val="18"/>
              </w:rPr>
            </w:pPr>
            <w:r>
              <w:rPr>
                <w:rFonts w:eastAsia="Times New Roman"/>
                <w:b/>
                <w:bCs/>
                <w:sz w:val="18"/>
                <w:szCs w:val="18"/>
              </w:rPr>
              <w:t>1.1</w:t>
            </w:r>
          </w:p>
        </w:tc>
        <w:tc>
          <w:tcPr>
            <w:tcW w:w="0" w:type="auto"/>
            <w:shd w:val="clear" w:color="auto" w:fill="FFFFFF"/>
            <w:tcMar>
              <w:top w:w="0" w:type="dxa"/>
              <w:left w:w="0" w:type="dxa"/>
              <w:bottom w:w="30" w:type="dxa"/>
              <w:right w:w="0" w:type="dxa"/>
            </w:tcMar>
            <w:vAlign w:val="bottom"/>
            <w:hideMark/>
          </w:tcPr>
          <w:p w14:paraId="2EFD45F7"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4571F10B"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3F390472"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096C4DE7" w14:textId="77777777" w:rsidR="00000000" w:rsidRDefault="002F725F">
            <w:pPr>
              <w:jc w:val="right"/>
              <w:rPr>
                <w:rFonts w:eastAsia="Times New Roman"/>
                <w:b/>
                <w:bCs/>
                <w:sz w:val="18"/>
                <w:szCs w:val="18"/>
              </w:rPr>
            </w:pPr>
            <w:r>
              <w:rPr>
                <w:rFonts w:eastAsia="Times New Roman"/>
                <w:b/>
                <w:bCs/>
                <w:sz w:val="18"/>
                <w:szCs w:val="18"/>
              </w:rPr>
              <w:t>12.1</w:t>
            </w:r>
          </w:p>
        </w:tc>
        <w:tc>
          <w:tcPr>
            <w:tcW w:w="0" w:type="auto"/>
            <w:shd w:val="clear" w:color="auto" w:fill="FFFFFF"/>
            <w:tcMar>
              <w:top w:w="0" w:type="dxa"/>
              <w:left w:w="0" w:type="dxa"/>
              <w:bottom w:w="30" w:type="dxa"/>
              <w:right w:w="0" w:type="dxa"/>
            </w:tcMar>
            <w:vAlign w:val="bottom"/>
            <w:hideMark/>
          </w:tcPr>
          <w:p w14:paraId="1AF54B25"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4F509512"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6173AA14"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2D50B99A" w14:textId="77777777" w:rsidR="00000000" w:rsidRDefault="002F725F">
            <w:pPr>
              <w:jc w:val="right"/>
              <w:rPr>
                <w:rFonts w:eastAsia="Times New Roman"/>
                <w:b/>
                <w:bCs/>
                <w:sz w:val="18"/>
                <w:szCs w:val="18"/>
              </w:rPr>
            </w:pPr>
            <w:r>
              <w:rPr>
                <w:rFonts w:eastAsia="Times New Roman"/>
                <w:b/>
                <w:bCs/>
                <w:sz w:val="18"/>
                <w:szCs w:val="18"/>
              </w:rPr>
              <w:t>10.8</w:t>
            </w:r>
          </w:p>
        </w:tc>
        <w:tc>
          <w:tcPr>
            <w:tcW w:w="0" w:type="auto"/>
            <w:shd w:val="clear" w:color="auto" w:fill="FFFFFF"/>
            <w:tcMar>
              <w:top w:w="0" w:type="dxa"/>
              <w:left w:w="0" w:type="dxa"/>
              <w:bottom w:w="30" w:type="dxa"/>
              <w:right w:w="0" w:type="dxa"/>
            </w:tcMar>
            <w:vAlign w:val="bottom"/>
            <w:hideMark/>
          </w:tcPr>
          <w:p w14:paraId="0CED17D9"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7EB89D92"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0B81DDA8"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10213400" w14:textId="77777777" w:rsidR="00000000" w:rsidRDefault="002F725F">
            <w:pPr>
              <w:jc w:val="right"/>
              <w:rPr>
                <w:rFonts w:eastAsia="Times New Roman"/>
                <w:b/>
                <w:bCs/>
                <w:sz w:val="18"/>
                <w:szCs w:val="18"/>
              </w:rPr>
            </w:pPr>
            <w:r>
              <w:rPr>
                <w:rFonts w:eastAsia="Times New Roman"/>
                <w:b/>
                <w:bCs/>
                <w:sz w:val="18"/>
                <w:szCs w:val="18"/>
              </w:rPr>
              <w:t>9.8</w:t>
            </w:r>
          </w:p>
        </w:tc>
        <w:tc>
          <w:tcPr>
            <w:tcW w:w="0" w:type="auto"/>
            <w:shd w:val="clear" w:color="auto" w:fill="FFFFFF"/>
            <w:tcMar>
              <w:top w:w="0" w:type="dxa"/>
              <w:left w:w="0" w:type="dxa"/>
              <w:bottom w:w="30" w:type="dxa"/>
              <w:right w:w="0" w:type="dxa"/>
            </w:tcMar>
            <w:vAlign w:val="bottom"/>
            <w:hideMark/>
          </w:tcPr>
          <w:p w14:paraId="64D49FCA"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4C0306A3"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2B227787"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6450477D" w14:textId="77777777" w:rsidR="00000000" w:rsidRDefault="002F725F">
            <w:pPr>
              <w:jc w:val="right"/>
              <w:rPr>
                <w:rFonts w:eastAsia="Times New Roman"/>
                <w:b/>
                <w:bCs/>
                <w:sz w:val="18"/>
                <w:szCs w:val="18"/>
              </w:rPr>
            </w:pPr>
            <w:r>
              <w:rPr>
                <w:rFonts w:eastAsia="Times New Roman"/>
                <w:b/>
                <w:bCs/>
                <w:sz w:val="18"/>
                <w:szCs w:val="18"/>
              </w:rPr>
              <w:t>33.3</w:t>
            </w:r>
          </w:p>
        </w:tc>
        <w:tc>
          <w:tcPr>
            <w:tcW w:w="0" w:type="auto"/>
            <w:shd w:val="clear" w:color="auto" w:fill="FFFFFF"/>
            <w:tcMar>
              <w:top w:w="0" w:type="dxa"/>
              <w:left w:w="0" w:type="dxa"/>
              <w:bottom w:w="30" w:type="dxa"/>
              <w:right w:w="0" w:type="dxa"/>
            </w:tcMar>
            <w:vAlign w:val="bottom"/>
            <w:hideMark/>
          </w:tcPr>
          <w:p w14:paraId="76D37141"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28ACCB91"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080A4462"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0CEE1AC1" w14:textId="77777777" w:rsidR="00000000" w:rsidRDefault="002F725F">
            <w:pPr>
              <w:jc w:val="right"/>
              <w:rPr>
                <w:rFonts w:eastAsia="Times New Roman"/>
                <w:b/>
                <w:bCs/>
                <w:sz w:val="18"/>
                <w:szCs w:val="18"/>
              </w:rPr>
            </w:pPr>
            <w:r>
              <w:rPr>
                <w:rFonts w:eastAsia="Times New Roman"/>
                <w:b/>
                <w:bCs/>
                <w:sz w:val="18"/>
                <w:szCs w:val="18"/>
              </w:rPr>
              <w:t>8.3</w:t>
            </w:r>
          </w:p>
        </w:tc>
        <w:tc>
          <w:tcPr>
            <w:tcW w:w="0" w:type="auto"/>
            <w:shd w:val="clear" w:color="auto" w:fill="FFFFFF"/>
            <w:tcMar>
              <w:top w:w="0" w:type="dxa"/>
              <w:left w:w="0" w:type="dxa"/>
              <w:bottom w:w="30" w:type="dxa"/>
              <w:right w:w="0" w:type="dxa"/>
            </w:tcMar>
            <w:vAlign w:val="bottom"/>
            <w:hideMark/>
          </w:tcPr>
          <w:p w14:paraId="2585059A"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7B34B437"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2FF2A8ED"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0B476B2F" w14:textId="77777777" w:rsidR="00000000" w:rsidRDefault="002F725F">
            <w:pPr>
              <w:jc w:val="right"/>
              <w:rPr>
                <w:rFonts w:eastAsia="Times New Roman"/>
                <w:b/>
                <w:bCs/>
                <w:sz w:val="18"/>
                <w:szCs w:val="18"/>
              </w:rPr>
            </w:pPr>
            <w:r>
              <w:rPr>
                <w:rFonts w:eastAsia="Times New Roman"/>
                <w:b/>
                <w:bCs/>
                <w:sz w:val="18"/>
                <w:szCs w:val="18"/>
              </w:rPr>
              <w:t>9.3</w:t>
            </w:r>
          </w:p>
        </w:tc>
        <w:tc>
          <w:tcPr>
            <w:tcW w:w="0" w:type="auto"/>
            <w:shd w:val="clear" w:color="auto" w:fill="FFFFFF"/>
            <w:tcMar>
              <w:top w:w="0" w:type="dxa"/>
              <w:left w:w="0" w:type="dxa"/>
              <w:bottom w:w="30" w:type="dxa"/>
              <w:right w:w="0" w:type="dxa"/>
            </w:tcMar>
            <w:vAlign w:val="bottom"/>
            <w:hideMark/>
          </w:tcPr>
          <w:p w14:paraId="4DE7B0CE"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4C76BAA8"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01E3A77C"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159CFB78" w14:textId="77777777" w:rsidR="00000000" w:rsidRDefault="002F725F">
            <w:pPr>
              <w:jc w:val="right"/>
              <w:rPr>
                <w:rFonts w:eastAsia="Times New Roman"/>
                <w:b/>
                <w:bCs/>
                <w:sz w:val="18"/>
                <w:szCs w:val="18"/>
              </w:rPr>
            </w:pPr>
            <w:r>
              <w:rPr>
                <w:rFonts w:eastAsia="Times New Roman"/>
                <w:b/>
                <w:bCs/>
                <w:sz w:val="18"/>
                <w:szCs w:val="18"/>
              </w:rPr>
              <w:t>22.2</w:t>
            </w:r>
          </w:p>
        </w:tc>
        <w:tc>
          <w:tcPr>
            <w:tcW w:w="0" w:type="auto"/>
            <w:shd w:val="clear" w:color="auto" w:fill="FFFFFF"/>
            <w:tcMar>
              <w:top w:w="0" w:type="dxa"/>
              <w:left w:w="0" w:type="dxa"/>
              <w:bottom w:w="30" w:type="dxa"/>
              <w:right w:w="0" w:type="dxa"/>
            </w:tcMar>
            <w:vAlign w:val="bottom"/>
            <w:hideMark/>
          </w:tcPr>
          <w:p w14:paraId="4267DFA5"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25FB9E80"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40FC5B02"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2C3C32A5" w14:textId="77777777" w:rsidR="00000000" w:rsidRDefault="002F725F">
            <w:pPr>
              <w:jc w:val="right"/>
              <w:rPr>
                <w:rFonts w:eastAsia="Times New Roman"/>
                <w:b/>
                <w:bCs/>
                <w:sz w:val="18"/>
                <w:szCs w:val="18"/>
              </w:rPr>
            </w:pPr>
            <w:r>
              <w:rPr>
                <w:rFonts w:eastAsia="Times New Roman"/>
                <w:b/>
                <w:bCs/>
                <w:sz w:val="18"/>
                <w:szCs w:val="18"/>
              </w:rPr>
              <w:t>19.3</w:t>
            </w:r>
          </w:p>
        </w:tc>
        <w:tc>
          <w:tcPr>
            <w:tcW w:w="0" w:type="auto"/>
            <w:shd w:val="clear" w:color="auto" w:fill="FFFFFF"/>
            <w:tcMar>
              <w:top w:w="0" w:type="dxa"/>
              <w:left w:w="0" w:type="dxa"/>
              <w:bottom w:w="30" w:type="dxa"/>
              <w:right w:w="0" w:type="dxa"/>
            </w:tcMar>
            <w:vAlign w:val="bottom"/>
            <w:hideMark/>
          </w:tcPr>
          <w:p w14:paraId="1C6FB265"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041B86FD"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2F165787"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072891B1" w14:textId="77777777" w:rsidR="00000000" w:rsidRDefault="002F725F">
            <w:pPr>
              <w:jc w:val="right"/>
              <w:rPr>
                <w:rFonts w:eastAsia="Times New Roman"/>
                <w:b/>
                <w:bCs/>
                <w:sz w:val="18"/>
                <w:szCs w:val="18"/>
              </w:rPr>
            </w:pPr>
            <w:r>
              <w:rPr>
                <w:rFonts w:eastAsia="Times New Roman"/>
                <w:b/>
                <w:bCs/>
                <w:sz w:val="18"/>
                <w:szCs w:val="18"/>
              </w:rPr>
              <w:t>14.7</w:t>
            </w:r>
          </w:p>
        </w:tc>
        <w:tc>
          <w:tcPr>
            <w:tcW w:w="0" w:type="auto"/>
            <w:shd w:val="clear" w:color="auto" w:fill="FFFFFF"/>
            <w:tcMar>
              <w:top w:w="0" w:type="dxa"/>
              <w:left w:w="0" w:type="dxa"/>
              <w:bottom w:w="30" w:type="dxa"/>
              <w:right w:w="0" w:type="dxa"/>
            </w:tcMar>
            <w:vAlign w:val="bottom"/>
            <w:hideMark/>
          </w:tcPr>
          <w:p w14:paraId="3A69D6E4"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0965CD63"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2184F94D"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055CCA81" w14:textId="77777777" w:rsidR="00000000" w:rsidRDefault="002F725F">
            <w:pPr>
              <w:jc w:val="right"/>
              <w:rPr>
                <w:rFonts w:eastAsia="Times New Roman"/>
                <w:b/>
                <w:bCs/>
                <w:sz w:val="18"/>
                <w:szCs w:val="18"/>
              </w:rPr>
            </w:pPr>
            <w:r>
              <w:rPr>
                <w:rFonts w:eastAsia="Times New Roman"/>
                <w:b/>
                <w:bCs/>
                <w:sz w:val="18"/>
                <w:szCs w:val="18"/>
              </w:rPr>
              <w:t>24.0</w:t>
            </w:r>
          </w:p>
        </w:tc>
        <w:tc>
          <w:tcPr>
            <w:tcW w:w="0" w:type="auto"/>
            <w:shd w:val="clear" w:color="auto" w:fill="FFFFFF"/>
            <w:tcMar>
              <w:top w:w="0" w:type="dxa"/>
              <w:left w:w="0" w:type="dxa"/>
              <w:bottom w:w="30" w:type="dxa"/>
              <w:right w:w="0" w:type="dxa"/>
            </w:tcMar>
            <w:vAlign w:val="bottom"/>
            <w:hideMark/>
          </w:tcPr>
          <w:p w14:paraId="53D16DEF"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24735712"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77E020EE"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6C5C5108" w14:textId="77777777" w:rsidR="00000000" w:rsidRDefault="002F725F">
            <w:pPr>
              <w:jc w:val="right"/>
              <w:rPr>
                <w:rFonts w:eastAsia="Times New Roman"/>
                <w:b/>
                <w:bCs/>
                <w:sz w:val="18"/>
                <w:szCs w:val="18"/>
              </w:rPr>
            </w:pPr>
            <w:r>
              <w:rPr>
                <w:rFonts w:eastAsia="Times New Roman"/>
                <w:b/>
                <w:bCs/>
                <w:sz w:val="18"/>
                <w:szCs w:val="18"/>
              </w:rPr>
              <w:t>29.4</w:t>
            </w:r>
          </w:p>
        </w:tc>
        <w:tc>
          <w:tcPr>
            <w:tcW w:w="0" w:type="auto"/>
            <w:shd w:val="clear" w:color="auto" w:fill="FFFFFF"/>
            <w:tcMar>
              <w:top w:w="0" w:type="dxa"/>
              <w:left w:w="0" w:type="dxa"/>
              <w:bottom w:w="30" w:type="dxa"/>
              <w:right w:w="0" w:type="dxa"/>
            </w:tcMar>
            <w:vAlign w:val="bottom"/>
            <w:hideMark/>
          </w:tcPr>
          <w:p w14:paraId="2C9D8270" w14:textId="77777777" w:rsidR="00000000" w:rsidRDefault="002F725F">
            <w:pPr>
              <w:rPr>
                <w:rFonts w:eastAsia="Times New Roman"/>
                <w:b/>
                <w:bCs/>
                <w:sz w:val="18"/>
                <w:szCs w:val="18"/>
              </w:rPr>
            </w:pPr>
            <w:r>
              <w:rPr>
                <w:rFonts w:eastAsia="Times New Roman"/>
                <w:b/>
                <w:bCs/>
                <w:sz w:val="18"/>
                <w:szCs w:val="18"/>
              </w:rPr>
              <w:t>%</w:t>
            </w:r>
          </w:p>
        </w:tc>
      </w:tr>
      <w:tr w:rsidR="002F725F" w14:paraId="52F944AD" w14:textId="77777777">
        <w:trPr>
          <w:divId w:val="415980837"/>
        </w:trPr>
        <w:tc>
          <w:tcPr>
            <w:tcW w:w="0" w:type="auto"/>
            <w:shd w:val="clear" w:color="auto" w:fill="CCEEFF"/>
            <w:tcMar>
              <w:top w:w="0" w:type="dxa"/>
              <w:left w:w="180" w:type="dxa"/>
              <w:bottom w:w="30" w:type="dxa"/>
              <w:right w:w="0" w:type="dxa"/>
            </w:tcMar>
            <w:vAlign w:val="bottom"/>
            <w:hideMark/>
          </w:tcPr>
          <w:p w14:paraId="28C70207" w14:textId="77777777" w:rsidR="00000000" w:rsidRDefault="002F725F">
            <w:pPr>
              <w:ind w:hanging="180"/>
              <w:rPr>
                <w:rFonts w:eastAsia="Times New Roman"/>
                <w:sz w:val="18"/>
                <w:szCs w:val="18"/>
              </w:rPr>
            </w:pPr>
            <w:r>
              <w:rPr>
                <w:rFonts w:eastAsia="Times New Roman"/>
                <w:sz w:val="18"/>
                <w:szCs w:val="18"/>
              </w:rPr>
              <w:t> </w:t>
            </w:r>
          </w:p>
        </w:tc>
        <w:tc>
          <w:tcPr>
            <w:tcW w:w="0" w:type="auto"/>
            <w:shd w:val="clear" w:color="auto" w:fill="CCEEFF"/>
            <w:vAlign w:val="bottom"/>
            <w:hideMark/>
          </w:tcPr>
          <w:p w14:paraId="75A595BD"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6C6E73A3"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64571758"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CCEEFF"/>
            <w:tcMar>
              <w:top w:w="0" w:type="dxa"/>
              <w:left w:w="0" w:type="dxa"/>
              <w:bottom w:w="30" w:type="dxa"/>
              <w:right w:w="0" w:type="dxa"/>
            </w:tcMar>
            <w:vAlign w:val="bottom"/>
            <w:hideMark/>
          </w:tcPr>
          <w:p w14:paraId="7C2770C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101F162F"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13A2B50F"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6408CBD3"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CCEEFF"/>
            <w:tcMar>
              <w:top w:w="0" w:type="dxa"/>
              <w:left w:w="0" w:type="dxa"/>
              <w:bottom w:w="30" w:type="dxa"/>
              <w:right w:w="0" w:type="dxa"/>
            </w:tcMar>
            <w:vAlign w:val="bottom"/>
            <w:hideMark/>
          </w:tcPr>
          <w:p w14:paraId="40805384"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1610BE1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1B58D7EA"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3A5FECE5"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CCEEFF"/>
            <w:tcMar>
              <w:top w:w="0" w:type="dxa"/>
              <w:left w:w="0" w:type="dxa"/>
              <w:bottom w:w="30" w:type="dxa"/>
              <w:right w:w="0" w:type="dxa"/>
            </w:tcMar>
            <w:vAlign w:val="bottom"/>
            <w:hideMark/>
          </w:tcPr>
          <w:p w14:paraId="0D0FF293"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37D99BAA"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32358D52"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B7B3DFB"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CCEEFF"/>
            <w:tcMar>
              <w:top w:w="0" w:type="dxa"/>
              <w:left w:w="0" w:type="dxa"/>
              <w:bottom w:w="30" w:type="dxa"/>
              <w:right w:w="0" w:type="dxa"/>
            </w:tcMar>
            <w:vAlign w:val="bottom"/>
            <w:hideMark/>
          </w:tcPr>
          <w:p w14:paraId="5205B30E"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3FB2F701"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FBAAFD0"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7F79F38"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CCEEFF"/>
            <w:tcMar>
              <w:top w:w="0" w:type="dxa"/>
              <w:left w:w="0" w:type="dxa"/>
              <w:bottom w:w="30" w:type="dxa"/>
              <w:right w:w="0" w:type="dxa"/>
            </w:tcMar>
            <w:vAlign w:val="bottom"/>
            <w:hideMark/>
          </w:tcPr>
          <w:p w14:paraId="01A40D53"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0D9FE4CC"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A193011"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355C5DE"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CCEEFF"/>
            <w:tcMar>
              <w:top w:w="0" w:type="dxa"/>
              <w:left w:w="0" w:type="dxa"/>
              <w:bottom w:w="30" w:type="dxa"/>
              <w:right w:w="0" w:type="dxa"/>
            </w:tcMar>
            <w:vAlign w:val="bottom"/>
            <w:hideMark/>
          </w:tcPr>
          <w:p w14:paraId="4C94B4F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7FEEF6A3"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0D78D10A"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6EF82FFE"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CCEEFF"/>
            <w:tcMar>
              <w:top w:w="0" w:type="dxa"/>
              <w:left w:w="0" w:type="dxa"/>
              <w:bottom w:w="30" w:type="dxa"/>
              <w:right w:w="0" w:type="dxa"/>
            </w:tcMar>
            <w:vAlign w:val="bottom"/>
            <w:hideMark/>
          </w:tcPr>
          <w:p w14:paraId="4256086D"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798E1FD3"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5C67E6E0"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1910F7B8"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CCEEFF"/>
            <w:tcMar>
              <w:top w:w="0" w:type="dxa"/>
              <w:left w:w="0" w:type="dxa"/>
              <w:bottom w:w="30" w:type="dxa"/>
              <w:right w:w="0" w:type="dxa"/>
            </w:tcMar>
            <w:vAlign w:val="bottom"/>
            <w:hideMark/>
          </w:tcPr>
          <w:p w14:paraId="3AFC073D"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71AE8E3E"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5093CD9E"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51441238"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CCEEFF"/>
            <w:tcMar>
              <w:top w:w="0" w:type="dxa"/>
              <w:left w:w="0" w:type="dxa"/>
              <w:bottom w:w="30" w:type="dxa"/>
              <w:right w:w="0" w:type="dxa"/>
            </w:tcMar>
            <w:vAlign w:val="bottom"/>
            <w:hideMark/>
          </w:tcPr>
          <w:p w14:paraId="3B7BD6CB"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18EC0B88"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3283157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69DAF40E"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CCEEFF"/>
            <w:tcMar>
              <w:top w:w="0" w:type="dxa"/>
              <w:left w:w="0" w:type="dxa"/>
              <w:bottom w:w="30" w:type="dxa"/>
              <w:right w:w="0" w:type="dxa"/>
            </w:tcMar>
            <w:vAlign w:val="bottom"/>
            <w:hideMark/>
          </w:tcPr>
          <w:p w14:paraId="0FD1B307"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7ACDC34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42C922F4"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394ED244"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CCEEFF"/>
            <w:tcMar>
              <w:top w:w="0" w:type="dxa"/>
              <w:left w:w="0" w:type="dxa"/>
              <w:bottom w:w="30" w:type="dxa"/>
              <w:right w:w="0" w:type="dxa"/>
            </w:tcMar>
            <w:vAlign w:val="bottom"/>
            <w:hideMark/>
          </w:tcPr>
          <w:p w14:paraId="1FE55C90"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3D1CBC55"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1271CF51" w14:textId="77777777" w:rsidR="00000000" w:rsidRDefault="002F725F">
            <w:pPr>
              <w:rPr>
                <w:rFonts w:eastAsia="Times New Roman"/>
                <w:sz w:val="18"/>
                <w:szCs w:val="18"/>
              </w:rPr>
            </w:pPr>
            <w:r>
              <w:rPr>
                <w:rFonts w:eastAsia="Times New Roman"/>
                <w:sz w:val="18"/>
                <w:szCs w:val="18"/>
              </w:rPr>
              <w:t> </w:t>
            </w:r>
          </w:p>
        </w:tc>
        <w:tc>
          <w:tcPr>
            <w:tcW w:w="0" w:type="auto"/>
            <w:shd w:val="clear" w:color="auto" w:fill="CCEEFF"/>
            <w:vAlign w:val="bottom"/>
            <w:hideMark/>
          </w:tcPr>
          <w:p w14:paraId="332B0003" w14:textId="77777777" w:rsidR="00000000" w:rsidRDefault="002F725F">
            <w:pPr>
              <w:jc w:val="right"/>
              <w:rPr>
                <w:rFonts w:eastAsia="Times New Roman"/>
                <w:sz w:val="18"/>
                <w:szCs w:val="18"/>
              </w:rPr>
            </w:pPr>
            <w:r>
              <w:rPr>
                <w:rFonts w:eastAsia="Times New Roman"/>
                <w:sz w:val="18"/>
                <w:szCs w:val="18"/>
              </w:rPr>
              <w:t> </w:t>
            </w:r>
          </w:p>
        </w:tc>
        <w:tc>
          <w:tcPr>
            <w:tcW w:w="0" w:type="auto"/>
            <w:shd w:val="clear" w:color="auto" w:fill="CCEEFF"/>
            <w:tcMar>
              <w:top w:w="0" w:type="dxa"/>
              <w:left w:w="0" w:type="dxa"/>
              <w:bottom w:w="30" w:type="dxa"/>
              <w:right w:w="0" w:type="dxa"/>
            </w:tcMar>
            <w:vAlign w:val="bottom"/>
            <w:hideMark/>
          </w:tcPr>
          <w:p w14:paraId="13AC45AA" w14:textId="77777777" w:rsidR="00000000" w:rsidRDefault="002F725F">
            <w:pPr>
              <w:rPr>
                <w:rFonts w:eastAsia="Times New Roman"/>
                <w:sz w:val="18"/>
                <w:szCs w:val="18"/>
              </w:rPr>
            </w:pPr>
            <w:r>
              <w:rPr>
                <w:rFonts w:eastAsia="Times New Roman"/>
                <w:sz w:val="18"/>
                <w:szCs w:val="18"/>
              </w:rPr>
              <w:t> </w:t>
            </w:r>
          </w:p>
        </w:tc>
      </w:tr>
      <w:tr w:rsidR="002F725F" w14:paraId="0A0F6E28" w14:textId="77777777">
        <w:trPr>
          <w:divId w:val="415980837"/>
        </w:trPr>
        <w:tc>
          <w:tcPr>
            <w:tcW w:w="0" w:type="auto"/>
            <w:shd w:val="clear" w:color="auto" w:fill="FFFFFF"/>
            <w:tcMar>
              <w:top w:w="0" w:type="dxa"/>
              <w:left w:w="180" w:type="dxa"/>
              <w:bottom w:w="30" w:type="dxa"/>
              <w:right w:w="0" w:type="dxa"/>
            </w:tcMar>
            <w:vAlign w:val="bottom"/>
            <w:hideMark/>
          </w:tcPr>
          <w:p w14:paraId="3FCC8A59" w14:textId="77777777" w:rsidR="00000000" w:rsidRDefault="002F725F">
            <w:pPr>
              <w:ind w:hanging="180"/>
              <w:rPr>
                <w:rFonts w:eastAsia="Times New Roman"/>
                <w:b/>
                <w:bCs/>
                <w:sz w:val="18"/>
                <w:szCs w:val="18"/>
              </w:rPr>
            </w:pPr>
            <w:r>
              <w:rPr>
                <w:rFonts w:eastAsia="Times New Roman"/>
                <w:b/>
                <w:bCs/>
                <w:sz w:val="18"/>
                <w:szCs w:val="18"/>
              </w:rPr>
              <w:t xml:space="preserve">The </w:t>
            </w:r>
            <w:r>
              <w:rPr>
                <w:rFonts w:eastAsia="Times New Roman"/>
                <w:b/>
                <w:bCs/>
                <w:sz w:val="18"/>
                <w:szCs w:val="18"/>
              </w:rPr>
              <w:t>Company</w:t>
            </w:r>
          </w:p>
        </w:tc>
        <w:tc>
          <w:tcPr>
            <w:tcW w:w="0" w:type="auto"/>
            <w:shd w:val="clear" w:color="auto" w:fill="FFFFFF"/>
            <w:vAlign w:val="bottom"/>
            <w:hideMark/>
          </w:tcPr>
          <w:p w14:paraId="24E44895"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64C14435"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65629B6A" w14:textId="77777777" w:rsidR="00000000" w:rsidRDefault="002F725F">
            <w:pPr>
              <w:jc w:val="right"/>
              <w:rPr>
                <w:rFonts w:eastAsia="Times New Roman"/>
                <w:b/>
                <w:bCs/>
                <w:sz w:val="18"/>
                <w:szCs w:val="18"/>
              </w:rPr>
            </w:pPr>
            <w:r>
              <w:rPr>
                <w:rFonts w:eastAsia="Times New Roman"/>
                <w:b/>
                <w:bCs/>
                <w:sz w:val="18"/>
                <w:szCs w:val="18"/>
              </w:rPr>
              <w:t>-6.6</w:t>
            </w:r>
          </w:p>
        </w:tc>
        <w:tc>
          <w:tcPr>
            <w:tcW w:w="0" w:type="auto"/>
            <w:shd w:val="clear" w:color="auto" w:fill="FFFFFF"/>
            <w:tcMar>
              <w:top w:w="0" w:type="dxa"/>
              <w:left w:w="0" w:type="dxa"/>
              <w:bottom w:w="30" w:type="dxa"/>
              <w:right w:w="0" w:type="dxa"/>
            </w:tcMar>
            <w:vAlign w:val="bottom"/>
            <w:hideMark/>
          </w:tcPr>
          <w:p w14:paraId="12F11C82"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46DF6963"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03DAE3B8"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7F5EBAC5" w14:textId="77777777" w:rsidR="00000000" w:rsidRDefault="002F725F">
            <w:pPr>
              <w:jc w:val="right"/>
              <w:rPr>
                <w:rFonts w:eastAsia="Times New Roman"/>
                <w:b/>
                <w:bCs/>
                <w:sz w:val="18"/>
                <w:szCs w:val="18"/>
              </w:rPr>
            </w:pPr>
            <w:r>
              <w:rPr>
                <w:rFonts w:eastAsia="Times New Roman"/>
                <w:b/>
                <w:bCs/>
                <w:sz w:val="18"/>
                <w:szCs w:val="18"/>
              </w:rPr>
              <w:t>-8.8</w:t>
            </w:r>
          </w:p>
        </w:tc>
        <w:tc>
          <w:tcPr>
            <w:tcW w:w="0" w:type="auto"/>
            <w:shd w:val="clear" w:color="auto" w:fill="FFFFFF"/>
            <w:tcMar>
              <w:top w:w="0" w:type="dxa"/>
              <w:left w:w="0" w:type="dxa"/>
              <w:bottom w:w="30" w:type="dxa"/>
              <w:right w:w="0" w:type="dxa"/>
            </w:tcMar>
            <w:vAlign w:val="bottom"/>
            <w:hideMark/>
          </w:tcPr>
          <w:p w14:paraId="703008DB"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7DD0ABF8"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49625762"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5CBF220B" w14:textId="77777777" w:rsidR="00000000" w:rsidRDefault="002F725F">
            <w:pPr>
              <w:jc w:val="right"/>
              <w:rPr>
                <w:rFonts w:eastAsia="Times New Roman"/>
                <w:b/>
                <w:bCs/>
                <w:sz w:val="18"/>
                <w:szCs w:val="18"/>
              </w:rPr>
            </w:pPr>
            <w:r>
              <w:rPr>
                <w:rFonts w:eastAsia="Times New Roman"/>
                <w:b/>
                <w:bCs/>
                <w:sz w:val="18"/>
                <w:szCs w:val="18"/>
              </w:rPr>
              <w:t>-4.9</w:t>
            </w:r>
          </w:p>
        </w:tc>
        <w:tc>
          <w:tcPr>
            <w:tcW w:w="0" w:type="auto"/>
            <w:shd w:val="clear" w:color="auto" w:fill="FFFFFF"/>
            <w:tcMar>
              <w:top w:w="0" w:type="dxa"/>
              <w:left w:w="0" w:type="dxa"/>
              <w:bottom w:w="30" w:type="dxa"/>
              <w:right w:w="0" w:type="dxa"/>
            </w:tcMar>
            <w:vAlign w:val="bottom"/>
            <w:hideMark/>
          </w:tcPr>
          <w:p w14:paraId="2B89D8DD"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62515A18"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65FA3351"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4A8F9A25" w14:textId="77777777" w:rsidR="00000000" w:rsidRDefault="002F725F">
            <w:pPr>
              <w:jc w:val="right"/>
              <w:rPr>
                <w:rFonts w:eastAsia="Times New Roman"/>
                <w:b/>
                <w:bCs/>
                <w:sz w:val="18"/>
                <w:szCs w:val="18"/>
              </w:rPr>
            </w:pPr>
            <w:r>
              <w:rPr>
                <w:rFonts w:eastAsia="Times New Roman"/>
                <w:b/>
                <w:bCs/>
                <w:sz w:val="18"/>
                <w:szCs w:val="18"/>
              </w:rPr>
              <w:t>-0.6</w:t>
            </w:r>
          </w:p>
        </w:tc>
        <w:tc>
          <w:tcPr>
            <w:tcW w:w="0" w:type="auto"/>
            <w:shd w:val="clear" w:color="auto" w:fill="FFFFFF"/>
            <w:tcMar>
              <w:top w:w="0" w:type="dxa"/>
              <w:left w:w="0" w:type="dxa"/>
              <w:bottom w:w="30" w:type="dxa"/>
              <w:right w:w="0" w:type="dxa"/>
            </w:tcMar>
            <w:vAlign w:val="bottom"/>
            <w:hideMark/>
          </w:tcPr>
          <w:p w14:paraId="0219509E"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20366257"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61676C23"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57AC64F6" w14:textId="77777777" w:rsidR="00000000" w:rsidRDefault="002F725F">
            <w:pPr>
              <w:jc w:val="right"/>
              <w:rPr>
                <w:rFonts w:eastAsia="Times New Roman"/>
                <w:b/>
                <w:bCs/>
                <w:sz w:val="18"/>
                <w:szCs w:val="18"/>
              </w:rPr>
            </w:pPr>
            <w:r>
              <w:rPr>
                <w:rFonts w:eastAsia="Times New Roman"/>
                <w:b/>
                <w:bCs/>
                <w:sz w:val="18"/>
                <w:szCs w:val="18"/>
              </w:rPr>
              <w:t>NM</w:t>
            </w:r>
          </w:p>
        </w:tc>
        <w:tc>
          <w:tcPr>
            <w:tcW w:w="0" w:type="auto"/>
            <w:shd w:val="clear" w:color="auto" w:fill="FFFFFF"/>
            <w:tcMar>
              <w:top w:w="0" w:type="dxa"/>
              <w:left w:w="0" w:type="dxa"/>
              <w:bottom w:w="30" w:type="dxa"/>
              <w:right w:w="0" w:type="dxa"/>
            </w:tcMar>
            <w:vAlign w:val="bottom"/>
            <w:hideMark/>
          </w:tcPr>
          <w:p w14:paraId="0BAA20F0"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FFFFFF"/>
            <w:vAlign w:val="bottom"/>
            <w:hideMark/>
          </w:tcPr>
          <w:p w14:paraId="18BE5C6D"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59EC6EC7"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5E62B670" w14:textId="77777777" w:rsidR="00000000" w:rsidRDefault="002F725F">
            <w:pPr>
              <w:jc w:val="right"/>
              <w:rPr>
                <w:rFonts w:eastAsia="Times New Roman"/>
                <w:b/>
                <w:bCs/>
                <w:sz w:val="18"/>
                <w:szCs w:val="18"/>
              </w:rPr>
            </w:pPr>
            <w:r>
              <w:rPr>
                <w:rFonts w:eastAsia="Times New Roman"/>
                <w:b/>
                <w:bCs/>
                <w:sz w:val="18"/>
                <w:szCs w:val="18"/>
              </w:rPr>
              <w:t>NM</w:t>
            </w:r>
          </w:p>
        </w:tc>
        <w:tc>
          <w:tcPr>
            <w:tcW w:w="0" w:type="auto"/>
            <w:shd w:val="clear" w:color="auto" w:fill="FFFFFF"/>
            <w:tcMar>
              <w:top w:w="0" w:type="dxa"/>
              <w:left w:w="0" w:type="dxa"/>
              <w:bottom w:w="30" w:type="dxa"/>
              <w:right w:w="0" w:type="dxa"/>
            </w:tcMar>
            <w:vAlign w:val="bottom"/>
            <w:hideMark/>
          </w:tcPr>
          <w:p w14:paraId="0BFDC0FB" w14:textId="77777777" w:rsidR="00000000" w:rsidRDefault="002F725F">
            <w:pPr>
              <w:rPr>
                <w:rFonts w:eastAsia="Times New Roman"/>
                <w:b/>
                <w:bCs/>
                <w:sz w:val="18"/>
                <w:szCs w:val="18"/>
              </w:rPr>
            </w:pPr>
            <w:r>
              <w:rPr>
                <w:rFonts w:eastAsia="Times New Roman"/>
                <w:b/>
                <w:bCs/>
                <w:sz w:val="18"/>
                <w:szCs w:val="18"/>
              </w:rPr>
              <w:t> </w:t>
            </w:r>
          </w:p>
        </w:tc>
        <w:tc>
          <w:tcPr>
            <w:tcW w:w="0" w:type="auto"/>
            <w:shd w:val="clear" w:color="auto" w:fill="FFFFFF"/>
            <w:vAlign w:val="bottom"/>
            <w:hideMark/>
          </w:tcPr>
          <w:p w14:paraId="20E10BF1"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7493DD36"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679A5774" w14:textId="77777777" w:rsidR="00000000" w:rsidRDefault="002F725F">
            <w:pPr>
              <w:jc w:val="right"/>
              <w:rPr>
                <w:rFonts w:eastAsia="Times New Roman"/>
                <w:b/>
                <w:bCs/>
                <w:sz w:val="18"/>
                <w:szCs w:val="18"/>
              </w:rPr>
            </w:pPr>
            <w:r>
              <w:rPr>
                <w:rFonts w:eastAsia="Times New Roman"/>
                <w:b/>
                <w:bCs/>
                <w:sz w:val="18"/>
                <w:szCs w:val="18"/>
              </w:rPr>
              <w:t>22.2</w:t>
            </w:r>
          </w:p>
        </w:tc>
        <w:tc>
          <w:tcPr>
            <w:tcW w:w="0" w:type="auto"/>
            <w:shd w:val="clear" w:color="auto" w:fill="FFFFFF"/>
            <w:tcMar>
              <w:top w:w="0" w:type="dxa"/>
              <w:left w:w="0" w:type="dxa"/>
              <w:bottom w:w="30" w:type="dxa"/>
              <w:right w:w="0" w:type="dxa"/>
            </w:tcMar>
            <w:vAlign w:val="bottom"/>
            <w:hideMark/>
          </w:tcPr>
          <w:p w14:paraId="2719DA47"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25D7A72B"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5D34DA23"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4FA14F6C" w14:textId="77777777" w:rsidR="00000000" w:rsidRDefault="002F725F">
            <w:pPr>
              <w:jc w:val="right"/>
              <w:rPr>
                <w:rFonts w:eastAsia="Times New Roman"/>
                <w:b/>
                <w:bCs/>
                <w:sz w:val="18"/>
                <w:szCs w:val="18"/>
              </w:rPr>
            </w:pPr>
            <w:r>
              <w:rPr>
                <w:rFonts w:eastAsia="Times New Roman"/>
                <w:b/>
                <w:bCs/>
                <w:sz w:val="18"/>
                <w:szCs w:val="18"/>
              </w:rPr>
              <w:t>18.6</w:t>
            </w:r>
          </w:p>
        </w:tc>
        <w:tc>
          <w:tcPr>
            <w:tcW w:w="0" w:type="auto"/>
            <w:shd w:val="clear" w:color="auto" w:fill="FFFFFF"/>
            <w:tcMar>
              <w:top w:w="0" w:type="dxa"/>
              <w:left w:w="0" w:type="dxa"/>
              <w:bottom w:w="30" w:type="dxa"/>
              <w:right w:w="0" w:type="dxa"/>
            </w:tcMar>
            <w:vAlign w:val="bottom"/>
            <w:hideMark/>
          </w:tcPr>
          <w:p w14:paraId="7A70D2D9"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5555CF42"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57FCFDB4"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1F9DBD5B" w14:textId="77777777" w:rsidR="00000000" w:rsidRDefault="002F725F">
            <w:pPr>
              <w:jc w:val="right"/>
              <w:rPr>
                <w:rFonts w:eastAsia="Times New Roman"/>
                <w:b/>
                <w:bCs/>
                <w:sz w:val="18"/>
                <w:szCs w:val="18"/>
              </w:rPr>
            </w:pPr>
            <w:r>
              <w:rPr>
                <w:rFonts w:eastAsia="Times New Roman"/>
                <w:b/>
                <w:bCs/>
                <w:sz w:val="18"/>
                <w:szCs w:val="18"/>
              </w:rPr>
              <w:t>-10.0</w:t>
            </w:r>
          </w:p>
        </w:tc>
        <w:tc>
          <w:tcPr>
            <w:tcW w:w="0" w:type="auto"/>
            <w:shd w:val="clear" w:color="auto" w:fill="FFFFFF"/>
            <w:tcMar>
              <w:top w:w="0" w:type="dxa"/>
              <w:left w:w="0" w:type="dxa"/>
              <w:bottom w:w="30" w:type="dxa"/>
              <w:right w:w="0" w:type="dxa"/>
            </w:tcMar>
            <w:vAlign w:val="bottom"/>
            <w:hideMark/>
          </w:tcPr>
          <w:p w14:paraId="0176132B"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29CA1A8F"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4969B3CB"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772361E6" w14:textId="77777777" w:rsidR="00000000" w:rsidRDefault="002F725F">
            <w:pPr>
              <w:jc w:val="right"/>
              <w:rPr>
                <w:rFonts w:eastAsia="Times New Roman"/>
                <w:b/>
                <w:bCs/>
                <w:sz w:val="18"/>
                <w:szCs w:val="18"/>
              </w:rPr>
            </w:pPr>
            <w:r>
              <w:rPr>
                <w:rFonts w:eastAsia="Times New Roman"/>
                <w:b/>
                <w:bCs/>
                <w:sz w:val="18"/>
                <w:szCs w:val="18"/>
              </w:rPr>
              <w:t>9.9</w:t>
            </w:r>
          </w:p>
        </w:tc>
        <w:tc>
          <w:tcPr>
            <w:tcW w:w="0" w:type="auto"/>
            <w:shd w:val="clear" w:color="auto" w:fill="FFFFFF"/>
            <w:tcMar>
              <w:top w:w="0" w:type="dxa"/>
              <w:left w:w="0" w:type="dxa"/>
              <w:bottom w:w="30" w:type="dxa"/>
              <w:right w:w="0" w:type="dxa"/>
            </w:tcMar>
            <w:vAlign w:val="bottom"/>
            <w:hideMark/>
          </w:tcPr>
          <w:p w14:paraId="236FB356"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0F3FAA9C"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1880D746"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21CF5F8A" w14:textId="77777777" w:rsidR="00000000" w:rsidRDefault="002F725F">
            <w:pPr>
              <w:jc w:val="right"/>
              <w:rPr>
                <w:rFonts w:eastAsia="Times New Roman"/>
                <w:b/>
                <w:bCs/>
                <w:sz w:val="18"/>
                <w:szCs w:val="18"/>
              </w:rPr>
            </w:pPr>
            <w:r>
              <w:rPr>
                <w:rFonts w:eastAsia="Times New Roman"/>
                <w:b/>
                <w:bCs/>
                <w:sz w:val="18"/>
                <w:szCs w:val="18"/>
              </w:rPr>
              <w:t>12.8</w:t>
            </w:r>
          </w:p>
        </w:tc>
        <w:tc>
          <w:tcPr>
            <w:tcW w:w="0" w:type="auto"/>
            <w:shd w:val="clear" w:color="auto" w:fill="FFFFFF"/>
            <w:tcMar>
              <w:top w:w="0" w:type="dxa"/>
              <w:left w:w="0" w:type="dxa"/>
              <w:bottom w:w="30" w:type="dxa"/>
              <w:right w:w="0" w:type="dxa"/>
            </w:tcMar>
            <w:vAlign w:val="bottom"/>
            <w:hideMark/>
          </w:tcPr>
          <w:p w14:paraId="2B90F312" w14:textId="77777777" w:rsidR="00000000" w:rsidRDefault="002F725F">
            <w:pPr>
              <w:rPr>
                <w:rFonts w:eastAsia="Times New Roman"/>
                <w:b/>
                <w:bCs/>
                <w:sz w:val="18"/>
                <w:szCs w:val="18"/>
              </w:rPr>
            </w:pPr>
            <w:r>
              <w:rPr>
                <w:rFonts w:eastAsia="Times New Roman"/>
                <w:b/>
                <w:bCs/>
                <w:sz w:val="18"/>
                <w:szCs w:val="18"/>
              </w:rPr>
              <w:t>%</w:t>
            </w:r>
          </w:p>
        </w:tc>
        <w:tc>
          <w:tcPr>
            <w:tcW w:w="0" w:type="auto"/>
            <w:shd w:val="clear" w:color="auto" w:fill="FFFFFF"/>
            <w:vAlign w:val="bottom"/>
            <w:hideMark/>
          </w:tcPr>
          <w:p w14:paraId="72C9CD62"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42D90C42" w14:textId="77777777" w:rsidR="00000000" w:rsidRDefault="002F725F">
            <w:pPr>
              <w:rPr>
                <w:rFonts w:eastAsia="Times New Roman"/>
                <w:b/>
                <w:bCs/>
                <w:sz w:val="18"/>
                <w:szCs w:val="18"/>
              </w:rPr>
            </w:pPr>
            <w:r>
              <w:rPr>
                <w:rFonts w:eastAsia="Times New Roman"/>
                <w:b/>
                <w:bCs/>
                <w:sz w:val="18"/>
                <w:szCs w:val="18"/>
              </w:rPr>
              <w:t> </w:t>
            </w:r>
          </w:p>
        </w:tc>
        <w:tc>
          <w:tcPr>
            <w:tcW w:w="0" w:type="auto"/>
            <w:tcBorders>
              <w:bottom w:val="single" w:sz="12" w:space="0" w:color="000000"/>
            </w:tcBorders>
            <w:shd w:val="clear" w:color="auto" w:fill="FFFFFF"/>
            <w:vAlign w:val="bottom"/>
            <w:hideMark/>
          </w:tcPr>
          <w:p w14:paraId="1BB809EF" w14:textId="77777777" w:rsidR="00000000" w:rsidRDefault="002F725F">
            <w:pPr>
              <w:jc w:val="right"/>
              <w:rPr>
                <w:rFonts w:eastAsia="Times New Roman"/>
                <w:b/>
                <w:bCs/>
                <w:sz w:val="18"/>
                <w:szCs w:val="18"/>
              </w:rPr>
            </w:pPr>
            <w:r>
              <w:rPr>
                <w:rFonts w:eastAsia="Times New Roman"/>
                <w:b/>
                <w:bCs/>
                <w:sz w:val="18"/>
                <w:szCs w:val="18"/>
              </w:rPr>
              <w:t>15.2</w:t>
            </w:r>
          </w:p>
        </w:tc>
        <w:tc>
          <w:tcPr>
            <w:tcW w:w="0" w:type="auto"/>
            <w:shd w:val="clear" w:color="auto" w:fill="FFFFFF"/>
            <w:tcMar>
              <w:top w:w="0" w:type="dxa"/>
              <w:left w:w="0" w:type="dxa"/>
              <w:bottom w:w="30" w:type="dxa"/>
              <w:right w:w="0" w:type="dxa"/>
            </w:tcMar>
            <w:vAlign w:val="bottom"/>
            <w:hideMark/>
          </w:tcPr>
          <w:p w14:paraId="7E61D403" w14:textId="77777777" w:rsidR="00000000" w:rsidRDefault="002F725F">
            <w:pPr>
              <w:rPr>
                <w:rFonts w:eastAsia="Times New Roman"/>
                <w:b/>
                <w:bCs/>
                <w:sz w:val="18"/>
                <w:szCs w:val="18"/>
              </w:rPr>
            </w:pPr>
            <w:r>
              <w:rPr>
                <w:rFonts w:eastAsia="Times New Roman"/>
                <w:b/>
                <w:bCs/>
                <w:sz w:val="18"/>
                <w:szCs w:val="18"/>
              </w:rPr>
              <w:t>%</w:t>
            </w:r>
          </w:p>
        </w:tc>
      </w:tr>
    </w:tbl>
    <w:p w14:paraId="0D0199C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2620"/>
        <w:gridCol w:w="93"/>
        <w:gridCol w:w="93"/>
        <w:gridCol w:w="841"/>
        <w:gridCol w:w="93"/>
        <w:gridCol w:w="94"/>
        <w:gridCol w:w="94"/>
        <w:gridCol w:w="842"/>
        <w:gridCol w:w="94"/>
        <w:gridCol w:w="94"/>
        <w:gridCol w:w="94"/>
        <w:gridCol w:w="842"/>
        <w:gridCol w:w="94"/>
        <w:gridCol w:w="94"/>
        <w:gridCol w:w="94"/>
        <w:gridCol w:w="842"/>
        <w:gridCol w:w="94"/>
        <w:gridCol w:w="94"/>
        <w:gridCol w:w="94"/>
        <w:gridCol w:w="842"/>
        <w:gridCol w:w="94"/>
        <w:gridCol w:w="94"/>
        <w:gridCol w:w="94"/>
        <w:gridCol w:w="842"/>
        <w:gridCol w:w="94"/>
      </w:tblGrid>
      <w:tr w:rsidR="00000000" w14:paraId="16BC4EA3" w14:textId="77777777">
        <w:trPr>
          <w:divId w:val="415980837"/>
        </w:trPr>
        <w:tc>
          <w:tcPr>
            <w:tcW w:w="0" w:type="auto"/>
            <w:noWrap/>
            <w:vAlign w:val="bottom"/>
            <w:hideMark/>
          </w:tcPr>
          <w:p w14:paraId="1174FEF9" w14:textId="77777777" w:rsidR="00000000" w:rsidRDefault="002F725F">
            <w:pPr>
              <w:jc w:val="center"/>
              <w:rPr>
                <w:rFonts w:eastAsia="Times New Roman"/>
                <w:sz w:val="20"/>
                <w:szCs w:val="20"/>
              </w:rPr>
            </w:pPr>
            <w:r>
              <w:rPr>
                <w:rFonts w:eastAsia="Times New Roman"/>
                <w:sz w:val="20"/>
                <w:szCs w:val="20"/>
              </w:rPr>
              <w:t> </w:t>
            </w:r>
          </w:p>
        </w:tc>
        <w:tc>
          <w:tcPr>
            <w:tcW w:w="0" w:type="auto"/>
            <w:noWrap/>
            <w:vAlign w:val="bottom"/>
            <w:hideMark/>
          </w:tcPr>
          <w:p w14:paraId="50665938"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2"/>
            <w:tcBorders>
              <w:bottom w:val="single" w:sz="12" w:space="0" w:color="000000"/>
            </w:tcBorders>
            <w:noWrap/>
            <w:vAlign w:val="bottom"/>
            <w:hideMark/>
          </w:tcPr>
          <w:p w14:paraId="01798D1E" w14:textId="77777777" w:rsidR="00000000" w:rsidRDefault="002F725F">
            <w:pPr>
              <w:jc w:val="center"/>
              <w:rPr>
                <w:rFonts w:eastAsia="Times New Roman"/>
                <w:b/>
                <w:bCs/>
                <w:sz w:val="20"/>
                <w:szCs w:val="20"/>
              </w:rPr>
            </w:pPr>
            <w:r>
              <w:rPr>
                <w:rFonts w:eastAsia="Times New Roman"/>
                <w:b/>
                <w:bCs/>
                <w:sz w:val="20"/>
                <w:szCs w:val="20"/>
              </w:rPr>
              <w:t>ENTERPRISE VALUE AS MULTIPLE OF</w:t>
            </w:r>
          </w:p>
        </w:tc>
        <w:tc>
          <w:tcPr>
            <w:tcW w:w="0" w:type="auto"/>
            <w:noWrap/>
            <w:vAlign w:val="bottom"/>
            <w:hideMark/>
          </w:tcPr>
          <w:p w14:paraId="2F276E39" w14:textId="77777777" w:rsidR="00000000" w:rsidRDefault="002F725F">
            <w:pPr>
              <w:jc w:val="center"/>
              <w:rPr>
                <w:rFonts w:eastAsia="Times New Roman"/>
                <w:b/>
                <w:bCs/>
                <w:sz w:val="20"/>
                <w:szCs w:val="20"/>
              </w:rPr>
            </w:pPr>
            <w:r>
              <w:rPr>
                <w:rFonts w:eastAsia="Times New Roman"/>
                <w:b/>
                <w:bCs/>
                <w:sz w:val="20"/>
                <w:szCs w:val="20"/>
              </w:rPr>
              <w:t> </w:t>
            </w:r>
          </w:p>
        </w:tc>
      </w:tr>
      <w:tr w:rsidR="00000000" w14:paraId="14EE29FD" w14:textId="77777777">
        <w:trPr>
          <w:divId w:val="415980837"/>
        </w:trPr>
        <w:tc>
          <w:tcPr>
            <w:tcW w:w="0" w:type="auto"/>
            <w:noWrap/>
            <w:vAlign w:val="bottom"/>
            <w:hideMark/>
          </w:tcPr>
          <w:p w14:paraId="51217E98" w14:textId="77777777" w:rsidR="00000000" w:rsidRDefault="002F725F">
            <w:pPr>
              <w:jc w:val="center"/>
              <w:rPr>
                <w:rFonts w:eastAsia="Times New Roman"/>
                <w:sz w:val="20"/>
                <w:szCs w:val="20"/>
              </w:rPr>
            </w:pPr>
            <w:r>
              <w:rPr>
                <w:rFonts w:eastAsia="Times New Roman"/>
                <w:sz w:val="20"/>
                <w:szCs w:val="20"/>
              </w:rPr>
              <w:t> </w:t>
            </w:r>
          </w:p>
        </w:tc>
        <w:tc>
          <w:tcPr>
            <w:tcW w:w="0" w:type="auto"/>
            <w:noWrap/>
            <w:vAlign w:val="bottom"/>
            <w:hideMark/>
          </w:tcPr>
          <w:p w14:paraId="0D027855"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noWrap/>
            <w:vAlign w:val="bottom"/>
            <w:hideMark/>
          </w:tcPr>
          <w:p w14:paraId="32CF0E46" w14:textId="77777777" w:rsidR="00000000" w:rsidRDefault="002F725F">
            <w:pPr>
              <w:jc w:val="center"/>
              <w:rPr>
                <w:rFonts w:eastAsia="Times New Roman"/>
                <w:b/>
                <w:bCs/>
                <w:sz w:val="20"/>
                <w:szCs w:val="20"/>
              </w:rPr>
            </w:pPr>
            <w:r>
              <w:rPr>
                <w:rFonts w:eastAsia="Times New Roman"/>
                <w:b/>
                <w:bCs/>
                <w:sz w:val="20"/>
                <w:szCs w:val="20"/>
              </w:rPr>
              <w:t>LTM</w:t>
            </w:r>
          </w:p>
        </w:tc>
        <w:tc>
          <w:tcPr>
            <w:tcW w:w="0" w:type="auto"/>
            <w:noWrap/>
            <w:vAlign w:val="bottom"/>
            <w:hideMark/>
          </w:tcPr>
          <w:p w14:paraId="4C637283"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noWrap/>
            <w:vAlign w:val="bottom"/>
            <w:hideMark/>
          </w:tcPr>
          <w:p w14:paraId="1E2CF8B0"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noWrap/>
            <w:vAlign w:val="bottom"/>
            <w:hideMark/>
          </w:tcPr>
          <w:p w14:paraId="3E4D3D65" w14:textId="77777777" w:rsidR="00000000" w:rsidRDefault="002F725F">
            <w:pPr>
              <w:jc w:val="center"/>
              <w:rPr>
                <w:rFonts w:eastAsia="Times New Roman"/>
                <w:b/>
                <w:bCs/>
                <w:sz w:val="20"/>
                <w:szCs w:val="20"/>
              </w:rPr>
            </w:pPr>
            <w:r>
              <w:rPr>
                <w:rFonts w:eastAsia="Times New Roman"/>
                <w:b/>
                <w:bCs/>
                <w:sz w:val="20"/>
                <w:szCs w:val="20"/>
              </w:rPr>
              <w:t>2026</w:t>
            </w:r>
          </w:p>
        </w:tc>
        <w:tc>
          <w:tcPr>
            <w:tcW w:w="0" w:type="auto"/>
            <w:noWrap/>
            <w:vAlign w:val="bottom"/>
            <w:hideMark/>
          </w:tcPr>
          <w:p w14:paraId="34393424"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noWrap/>
            <w:vAlign w:val="bottom"/>
            <w:hideMark/>
          </w:tcPr>
          <w:p w14:paraId="11922ADD"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noWrap/>
            <w:vAlign w:val="bottom"/>
            <w:hideMark/>
          </w:tcPr>
          <w:p w14:paraId="2F831556" w14:textId="77777777" w:rsidR="00000000" w:rsidRDefault="002F725F">
            <w:pPr>
              <w:jc w:val="center"/>
              <w:rPr>
                <w:rFonts w:eastAsia="Times New Roman"/>
                <w:b/>
                <w:bCs/>
                <w:sz w:val="20"/>
                <w:szCs w:val="20"/>
              </w:rPr>
            </w:pPr>
            <w:r>
              <w:rPr>
                <w:rFonts w:eastAsia="Times New Roman"/>
                <w:b/>
                <w:bCs/>
                <w:sz w:val="20"/>
                <w:szCs w:val="20"/>
              </w:rPr>
              <w:t>2027</w:t>
            </w:r>
          </w:p>
        </w:tc>
        <w:tc>
          <w:tcPr>
            <w:tcW w:w="0" w:type="auto"/>
            <w:noWrap/>
            <w:vAlign w:val="bottom"/>
            <w:hideMark/>
          </w:tcPr>
          <w:p w14:paraId="52D64ECC"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noWrap/>
            <w:vAlign w:val="bottom"/>
            <w:hideMark/>
          </w:tcPr>
          <w:p w14:paraId="0299B7B0"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noWrap/>
            <w:vAlign w:val="bottom"/>
            <w:hideMark/>
          </w:tcPr>
          <w:p w14:paraId="5E288AAA" w14:textId="77777777" w:rsidR="00000000" w:rsidRDefault="002F725F">
            <w:pPr>
              <w:jc w:val="center"/>
              <w:rPr>
                <w:rFonts w:eastAsia="Times New Roman"/>
                <w:b/>
                <w:bCs/>
                <w:sz w:val="20"/>
                <w:szCs w:val="20"/>
              </w:rPr>
            </w:pPr>
            <w:r>
              <w:rPr>
                <w:rFonts w:eastAsia="Times New Roman"/>
                <w:b/>
                <w:bCs/>
                <w:sz w:val="20"/>
                <w:szCs w:val="20"/>
              </w:rPr>
              <w:t>LTM</w:t>
            </w:r>
          </w:p>
        </w:tc>
        <w:tc>
          <w:tcPr>
            <w:tcW w:w="0" w:type="auto"/>
            <w:noWrap/>
            <w:vAlign w:val="bottom"/>
            <w:hideMark/>
          </w:tcPr>
          <w:p w14:paraId="545C90A6"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noWrap/>
            <w:vAlign w:val="bottom"/>
            <w:hideMark/>
          </w:tcPr>
          <w:p w14:paraId="7E260891"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noWrap/>
            <w:vAlign w:val="bottom"/>
            <w:hideMark/>
          </w:tcPr>
          <w:p w14:paraId="1423A1D5" w14:textId="77777777" w:rsidR="00000000" w:rsidRDefault="002F725F">
            <w:pPr>
              <w:jc w:val="center"/>
              <w:rPr>
                <w:rFonts w:eastAsia="Times New Roman"/>
                <w:b/>
                <w:bCs/>
                <w:sz w:val="20"/>
                <w:szCs w:val="20"/>
              </w:rPr>
            </w:pPr>
            <w:r>
              <w:rPr>
                <w:rFonts w:eastAsia="Times New Roman"/>
                <w:b/>
                <w:bCs/>
                <w:sz w:val="20"/>
                <w:szCs w:val="20"/>
              </w:rPr>
              <w:t>2026</w:t>
            </w:r>
          </w:p>
        </w:tc>
        <w:tc>
          <w:tcPr>
            <w:tcW w:w="0" w:type="auto"/>
            <w:noWrap/>
            <w:vAlign w:val="bottom"/>
            <w:hideMark/>
          </w:tcPr>
          <w:p w14:paraId="3604254C"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noWrap/>
            <w:vAlign w:val="bottom"/>
            <w:hideMark/>
          </w:tcPr>
          <w:p w14:paraId="5817A1EF"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noWrap/>
            <w:vAlign w:val="bottom"/>
            <w:hideMark/>
          </w:tcPr>
          <w:p w14:paraId="1DAC390D" w14:textId="77777777" w:rsidR="00000000" w:rsidRDefault="002F725F">
            <w:pPr>
              <w:jc w:val="center"/>
              <w:rPr>
                <w:rFonts w:eastAsia="Times New Roman"/>
                <w:b/>
                <w:bCs/>
                <w:sz w:val="20"/>
                <w:szCs w:val="20"/>
              </w:rPr>
            </w:pPr>
            <w:r>
              <w:rPr>
                <w:rFonts w:eastAsia="Times New Roman"/>
                <w:b/>
                <w:bCs/>
                <w:sz w:val="20"/>
                <w:szCs w:val="20"/>
              </w:rPr>
              <w:t>2027</w:t>
            </w:r>
          </w:p>
        </w:tc>
        <w:tc>
          <w:tcPr>
            <w:tcW w:w="0" w:type="auto"/>
            <w:noWrap/>
            <w:vAlign w:val="bottom"/>
            <w:hideMark/>
          </w:tcPr>
          <w:p w14:paraId="7315586C" w14:textId="77777777" w:rsidR="00000000" w:rsidRDefault="002F725F">
            <w:pPr>
              <w:jc w:val="center"/>
              <w:rPr>
                <w:rFonts w:eastAsia="Times New Roman"/>
                <w:b/>
                <w:bCs/>
                <w:sz w:val="20"/>
                <w:szCs w:val="20"/>
              </w:rPr>
            </w:pPr>
            <w:r>
              <w:rPr>
                <w:rFonts w:eastAsia="Times New Roman"/>
                <w:b/>
                <w:bCs/>
                <w:sz w:val="20"/>
                <w:szCs w:val="20"/>
              </w:rPr>
              <w:t> </w:t>
            </w:r>
          </w:p>
        </w:tc>
      </w:tr>
      <w:tr w:rsidR="00000000" w14:paraId="056D80A3" w14:textId="77777777">
        <w:trPr>
          <w:divId w:val="415980837"/>
        </w:trPr>
        <w:tc>
          <w:tcPr>
            <w:tcW w:w="0" w:type="auto"/>
            <w:tcBorders>
              <w:bottom w:val="single" w:sz="12" w:space="0" w:color="000000"/>
            </w:tcBorders>
            <w:noWrap/>
            <w:vAlign w:val="bottom"/>
            <w:hideMark/>
          </w:tcPr>
          <w:p w14:paraId="0FCD810A" w14:textId="77777777" w:rsidR="00000000" w:rsidRDefault="002F725F">
            <w:pPr>
              <w:rPr>
                <w:rFonts w:eastAsia="Times New Roman"/>
                <w:b/>
                <w:bCs/>
                <w:sz w:val="20"/>
                <w:szCs w:val="20"/>
              </w:rPr>
            </w:pPr>
            <w:r>
              <w:rPr>
                <w:rFonts w:eastAsia="Times New Roman"/>
                <w:b/>
                <w:bCs/>
                <w:sz w:val="20"/>
                <w:szCs w:val="20"/>
              </w:rPr>
              <w:t>Company Name</w:t>
            </w:r>
          </w:p>
        </w:tc>
        <w:tc>
          <w:tcPr>
            <w:tcW w:w="0" w:type="auto"/>
            <w:noWrap/>
            <w:vAlign w:val="bottom"/>
            <w:hideMark/>
          </w:tcPr>
          <w:p w14:paraId="59DC23F7"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noWrap/>
            <w:vAlign w:val="bottom"/>
            <w:hideMark/>
          </w:tcPr>
          <w:p w14:paraId="6D5C9192" w14:textId="77777777" w:rsidR="00000000" w:rsidRDefault="002F725F">
            <w:pPr>
              <w:jc w:val="center"/>
              <w:rPr>
                <w:rFonts w:eastAsia="Times New Roman"/>
                <w:b/>
                <w:bCs/>
                <w:sz w:val="20"/>
                <w:szCs w:val="20"/>
              </w:rPr>
            </w:pPr>
            <w:r>
              <w:rPr>
                <w:rFonts w:eastAsia="Times New Roman"/>
                <w:b/>
                <w:bCs/>
                <w:sz w:val="20"/>
                <w:szCs w:val="20"/>
              </w:rPr>
              <w:t>EBITDA</w:t>
            </w:r>
          </w:p>
        </w:tc>
        <w:tc>
          <w:tcPr>
            <w:tcW w:w="0" w:type="auto"/>
            <w:noWrap/>
            <w:vAlign w:val="bottom"/>
            <w:hideMark/>
          </w:tcPr>
          <w:p w14:paraId="13497BE3"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noWrap/>
            <w:vAlign w:val="bottom"/>
            <w:hideMark/>
          </w:tcPr>
          <w:p w14:paraId="05227209"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noWrap/>
            <w:vAlign w:val="bottom"/>
            <w:hideMark/>
          </w:tcPr>
          <w:p w14:paraId="157D6A16" w14:textId="77777777" w:rsidR="00000000" w:rsidRDefault="002F725F">
            <w:pPr>
              <w:jc w:val="center"/>
              <w:rPr>
                <w:rFonts w:eastAsia="Times New Roman"/>
                <w:b/>
                <w:bCs/>
                <w:sz w:val="20"/>
                <w:szCs w:val="20"/>
              </w:rPr>
            </w:pPr>
            <w:r>
              <w:rPr>
                <w:rFonts w:eastAsia="Times New Roman"/>
                <w:b/>
                <w:bCs/>
                <w:sz w:val="20"/>
                <w:szCs w:val="20"/>
              </w:rPr>
              <w:t>EBITDA</w:t>
            </w:r>
          </w:p>
        </w:tc>
        <w:tc>
          <w:tcPr>
            <w:tcW w:w="0" w:type="auto"/>
            <w:noWrap/>
            <w:vAlign w:val="bottom"/>
            <w:hideMark/>
          </w:tcPr>
          <w:p w14:paraId="075B84EB"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noWrap/>
            <w:vAlign w:val="bottom"/>
            <w:hideMark/>
          </w:tcPr>
          <w:p w14:paraId="5D06E451"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noWrap/>
            <w:vAlign w:val="bottom"/>
            <w:hideMark/>
          </w:tcPr>
          <w:p w14:paraId="6C71D310" w14:textId="77777777" w:rsidR="00000000" w:rsidRDefault="002F725F">
            <w:pPr>
              <w:jc w:val="center"/>
              <w:rPr>
                <w:rFonts w:eastAsia="Times New Roman"/>
                <w:b/>
                <w:bCs/>
                <w:sz w:val="20"/>
                <w:szCs w:val="20"/>
              </w:rPr>
            </w:pPr>
            <w:r>
              <w:rPr>
                <w:rFonts w:eastAsia="Times New Roman"/>
                <w:b/>
                <w:bCs/>
                <w:sz w:val="20"/>
                <w:szCs w:val="20"/>
              </w:rPr>
              <w:t>EBITDA</w:t>
            </w:r>
          </w:p>
        </w:tc>
        <w:tc>
          <w:tcPr>
            <w:tcW w:w="0" w:type="auto"/>
            <w:noWrap/>
            <w:vAlign w:val="bottom"/>
            <w:hideMark/>
          </w:tcPr>
          <w:p w14:paraId="65BAEC45"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noWrap/>
            <w:vAlign w:val="bottom"/>
            <w:hideMark/>
          </w:tcPr>
          <w:p w14:paraId="4F06FCCA"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noWrap/>
            <w:vAlign w:val="bottom"/>
            <w:hideMark/>
          </w:tcPr>
          <w:p w14:paraId="5A1CB689" w14:textId="77777777" w:rsidR="00000000" w:rsidRDefault="002F725F">
            <w:pPr>
              <w:jc w:val="center"/>
              <w:rPr>
                <w:rFonts w:eastAsia="Times New Roman"/>
                <w:b/>
                <w:bCs/>
                <w:sz w:val="20"/>
                <w:szCs w:val="20"/>
              </w:rPr>
            </w:pPr>
            <w:r>
              <w:rPr>
                <w:rFonts w:eastAsia="Times New Roman"/>
                <w:b/>
                <w:bCs/>
                <w:sz w:val="20"/>
                <w:szCs w:val="20"/>
              </w:rPr>
              <w:t>Revenue</w:t>
            </w:r>
          </w:p>
        </w:tc>
        <w:tc>
          <w:tcPr>
            <w:tcW w:w="0" w:type="auto"/>
            <w:noWrap/>
            <w:vAlign w:val="bottom"/>
            <w:hideMark/>
          </w:tcPr>
          <w:p w14:paraId="1A9387DA"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noWrap/>
            <w:vAlign w:val="bottom"/>
            <w:hideMark/>
          </w:tcPr>
          <w:p w14:paraId="28CF871F"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noWrap/>
            <w:vAlign w:val="bottom"/>
            <w:hideMark/>
          </w:tcPr>
          <w:p w14:paraId="3C7F6A55" w14:textId="77777777" w:rsidR="00000000" w:rsidRDefault="002F725F">
            <w:pPr>
              <w:jc w:val="center"/>
              <w:rPr>
                <w:rFonts w:eastAsia="Times New Roman"/>
                <w:b/>
                <w:bCs/>
                <w:sz w:val="20"/>
                <w:szCs w:val="20"/>
              </w:rPr>
            </w:pPr>
            <w:r>
              <w:rPr>
                <w:rFonts w:eastAsia="Times New Roman"/>
                <w:b/>
                <w:bCs/>
                <w:sz w:val="20"/>
                <w:szCs w:val="20"/>
              </w:rPr>
              <w:t>Revenue</w:t>
            </w:r>
          </w:p>
        </w:tc>
        <w:tc>
          <w:tcPr>
            <w:tcW w:w="0" w:type="auto"/>
            <w:noWrap/>
            <w:vAlign w:val="bottom"/>
            <w:hideMark/>
          </w:tcPr>
          <w:p w14:paraId="7F1F0FF3"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noWrap/>
            <w:vAlign w:val="bottom"/>
            <w:hideMark/>
          </w:tcPr>
          <w:p w14:paraId="65B3CBA5"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noWrap/>
            <w:vAlign w:val="bottom"/>
            <w:hideMark/>
          </w:tcPr>
          <w:p w14:paraId="3D986836" w14:textId="77777777" w:rsidR="00000000" w:rsidRDefault="002F725F">
            <w:pPr>
              <w:jc w:val="center"/>
              <w:rPr>
                <w:rFonts w:eastAsia="Times New Roman"/>
                <w:b/>
                <w:bCs/>
                <w:sz w:val="20"/>
                <w:szCs w:val="20"/>
              </w:rPr>
            </w:pPr>
            <w:r>
              <w:rPr>
                <w:rFonts w:eastAsia="Times New Roman"/>
                <w:b/>
                <w:bCs/>
                <w:sz w:val="20"/>
                <w:szCs w:val="20"/>
              </w:rPr>
              <w:t>Revenue</w:t>
            </w:r>
          </w:p>
        </w:tc>
        <w:tc>
          <w:tcPr>
            <w:tcW w:w="0" w:type="auto"/>
            <w:noWrap/>
            <w:vAlign w:val="bottom"/>
            <w:hideMark/>
          </w:tcPr>
          <w:p w14:paraId="1AE2AF58" w14:textId="77777777" w:rsidR="00000000" w:rsidRDefault="002F725F">
            <w:pPr>
              <w:jc w:val="center"/>
              <w:rPr>
                <w:rFonts w:eastAsia="Times New Roman"/>
                <w:b/>
                <w:bCs/>
                <w:sz w:val="20"/>
                <w:szCs w:val="20"/>
              </w:rPr>
            </w:pPr>
            <w:r>
              <w:rPr>
                <w:rFonts w:eastAsia="Times New Roman"/>
                <w:b/>
                <w:bCs/>
                <w:sz w:val="20"/>
                <w:szCs w:val="20"/>
              </w:rPr>
              <w:t> </w:t>
            </w:r>
          </w:p>
        </w:tc>
      </w:tr>
      <w:tr w:rsidR="00000000" w14:paraId="528D908E" w14:textId="77777777">
        <w:trPr>
          <w:divId w:val="415980837"/>
        </w:trPr>
        <w:tc>
          <w:tcPr>
            <w:tcW w:w="0" w:type="auto"/>
            <w:shd w:val="clear" w:color="auto" w:fill="CCEEFF"/>
            <w:vAlign w:val="bottom"/>
            <w:hideMark/>
          </w:tcPr>
          <w:p w14:paraId="54ECB37F" w14:textId="77777777" w:rsidR="00000000" w:rsidRDefault="002F725F">
            <w:pPr>
              <w:rPr>
                <w:rFonts w:eastAsia="Times New Roman"/>
                <w:sz w:val="20"/>
                <w:szCs w:val="20"/>
              </w:rPr>
            </w:pPr>
            <w:r>
              <w:rPr>
                <w:rFonts w:eastAsia="Times New Roman"/>
                <w:sz w:val="20"/>
                <w:szCs w:val="20"/>
              </w:rPr>
              <w:t>Ab&amp;B Bio-Tech CO., LTD. JS</w:t>
            </w:r>
          </w:p>
        </w:tc>
        <w:tc>
          <w:tcPr>
            <w:tcW w:w="0" w:type="auto"/>
            <w:shd w:val="clear" w:color="auto" w:fill="CCEEFF"/>
            <w:vAlign w:val="bottom"/>
            <w:hideMark/>
          </w:tcPr>
          <w:p w14:paraId="17AEF78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E5A3768"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560C49F3"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CCEEFF"/>
            <w:vAlign w:val="bottom"/>
            <w:hideMark/>
          </w:tcPr>
          <w:p w14:paraId="307DDFD2"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68004E62"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6ECBF04C"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20CE86A0"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2E0F7B12"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22F13E4D"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1BEFE4DE"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5D2BEAC5"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78DA6466"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6D4A9F47"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62CD5B4E"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7B34AA8E"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CCEEFF"/>
            <w:vAlign w:val="bottom"/>
            <w:hideMark/>
          </w:tcPr>
          <w:p w14:paraId="2E800704"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009A00FE"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2F24D043"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325678D4"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3A661DDE"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7A949C5B"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323F5B53"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439F5A31"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5353D7E0" w14:textId="77777777" w:rsidR="00000000" w:rsidRDefault="002F725F">
            <w:pPr>
              <w:rPr>
                <w:rFonts w:eastAsia="Times New Roman"/>
                <w:sz w:val="20"/>
                <w:szCs w:val="20"/>
              </w:rPr>
            </w:pPr>
            <w:r>
              <w:rPr>
                <w:rFonts w:eastAsia="Times New Roman"/>
                <w:sz w:val="20"/>
                <w:szCs w:val="20"/>
              </w:rPr>
              <w:t> </w:t>
            </w:r>
          </w:p>
        </w:tc>
      </w:tr>
      <w:tr w:rsidR="00000000" w14:paraId="109C14D2" w14:textId="77777777">
        <w:trPr>
          <w:divId w:val="415980837"/>
        </w:trPr>
        <w:tc>
          <w:tcPr>
            <w:tcW w:w="1400" w:type="pct"/>
            <w:shd w:val="clear" w:color="auto" w:fill="FFFFFF"/>
            <w:vAlign w:val="bottom"/>
            <w:hideMark/>
          </w:tcPr>
          <w:p w14:paraId="1BEF6BCF" w14:textId="77777777" w:rsidR="00000000" w:rsidRDefault="002F725F">
            <w:pPr>
              <w:rPr>
                <w:rFonts w:eastAsia="Times New Roman"/>
                <w:sz w:val="20"/>
                <w:szCs w:val="20"/>
              </w:rPr>
            </w:pPr>
            <w:r>
              <w:rPr>
                <w:rFonts w:eastAsia="Times New Roman"/>
                <w:sz w:val="20"/>
                <w:szCs w:val="20"/>
              </w:rPr>
              <w:t>AIM Vaccine Co., Ltd.</w:t>
            </w:r>
          </w:p>
        </w:tc>
        <w:tc>
          <w:tcPr>
            <w:tcW w:w="50" w:type="pct"/>
            <w:shd w:val="clear" w:color="auto" w:fill="FFFFFF"/>
            <w:vAlign w:val="bottom"/>
            <w:hideMark/>
          </w:tcPr>
          <w:p w14:paraId="4B079DF8"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7E440EA7" w14:textId="77777777" w:rsidR="00000000" w:rsidRDefault="002F725F">
            <w:pPr>
              <w:jc w:val="right"/>
              <w:rPr>
                <w:rFonts w:eastAsia="Times New Roman"/>
                <w:sz w:val="20"/>
                <w:szCs w:val="20"/>
              </w:rPr>
            </w:pPr>
            <w:r>
              <w:rPr>
                <w:rFonts w:eastAsia="Times New Roman"/>
                <w:sz w:val="20"/>
                <w:szCs w:val="20"/>
              </w:rPr>
              <w:t> </w:t>
            </w:r>
          </w:p>
        </w:tc>
        <w:tc>
          <w:tcPr>
            <w:tcW w:w="450" w:type="pct"/>
            <w:shd w:val="clear" w:color="auto" w:fill="FFFFFF"/>
            <w:vAlign w:val="bottom"/>
            <w:hideMark/>
          </w:tcPr>
          <w:p w14:paraId="13F31B86" w14:textId="77777777" w:rsidR="00000000" w:rsidRDefault="002F725F">
            <w:pPr>
              <w:jc w:val="right"/>
              <w:rPr>
                <w:rFonts w:eastAsia="Times New Roman"/>
                <w:sz w:val="20"/>
                <w:szCs w:val="20"/>
              </w:rPr>
            </w:pPr>
            <w:r>
              <w:rPr>
                <w:rFonts w:eastAsia="Times New Roman"/>
                <w:sz w:val="20"/>
                <w:szCs w:val="20"/>
              </w:rPr>
              <w:t>NM</w:t>
            </w:r>
          </w:p>
        </w:tc>
        <w:tc>
          <w:tcPr>
            <w:tcW w:w="50" w:type="pct"/>
            <w:shd w:val="clear" w:color="auto" w:fill="FFFFFF"/>
            <w:vAlign w:val="bottom"/>
            <w:hideMark/>
          </w:tcPr>
          <w:p w14:paraId="7073AB15" w14:textId="77777777" w:rsidR="00000000" w:rsidRDefault="002F725F">
            <w:pPr>
              <w:jc w:val="right"/>
              <w:rPr>
                <w:rFonts w:eastAsia="Times New Roman"/>
                <w:sz w:val="20"/>
                <w:szCs w:val="20"/>
              </w:rPr>
            </w:pPr>
            <w:r>
              <w:rPr>
                <w:rFonts w:eastAsia="Times New Roman"/>
                <w:sz w:val="20"/>
                <w:szCs w:val="20"/>
              </w:rPr>
              <w:t> </w:t>
            </w:r>
          </w:p>
        </w:tc>
        <w:tc>
          <w:tcPr>
            <w:tcW w:w="50" w:type="pct"/>
            <w:shd w:val="clear" w:color="auto" w:fill="FFFFFF"/>
            <w:vAlign w:val="bottom"/>
            <w:hideMark/>
          </w:tcPr>
          <w:p w14:paraId="207748CE" w14:textId="77777777" w:rsidR="00000000" w:rsidRDefault="002F725F">
            <w:pPr>
              <w:jc w:val="right"/>
              <w:rPr>
                <w:rFonts w:eastAsia="Times New Roman"/>
                <w:sz w:val="20"/>
                <w:szCs w:val="20"/>
              </w:rPr>
            </w:pPr>
            <w:r>
              <w:rPr>
                <w:rFonts w:eastAsia="Times New Roman"/>
                <w:sz w:val="20"/>
                <w:szCs w:val="20"/>
              </w:rPr>
              <w:t> </w:t>
            </w:r>
          </w:p>
        </w:tc>
        <w:tc>
          <w:tcPr>
            <w:tcW w:w="50" w:type="pct"/>
            <w:shd w:val="clear" w:color="auto" w:fill="FFFFFF"/>
            <w:vAlign w:val="bottom"/>
            <w:hideMark/>
          </w:tcPr>
          <w:p w14:paraId="1B30CA33" w14:textId="77777777" w:rsidR="00000000" w:rsidRDefault="002F725F">
            <w:pPr>
              <w:jc w:val="right"/>
              <w:rPr>
                <w:rFonts w:eastAsia="Times New Roman"/>
                <w:sz w:val="20"/>
                <w:szCs w:val="20"/>
              </w:rPr>
            </w:pPr>
            <w:r>
              <w:rPr>
                <w:rFonts w:eastAsia="Times New Roman"/>
                <w:sz w:val="20"/>
                <w:szCs w:val="20"/>
              </w:rPr>
              <w:t> </w:t>
            </w:r>
          </w:p>
        </w:tc>
        <w:tc>
          <w:tcPr>
            <w:tcW w:w="450" w:type="pct"/>
            <w:shd w:val="clear" w:color="auto" w:fill="FFFFFF"/>
            <w:vAlign w:val="bottom"/>
            <w:hideMark/>
          </w:tcPr>
          <w:p w14:paraId="39C9C551" w14:textId="77777777" w:rsidR="00000000" w:rsidRDefault="002F725F">
            <w:pPr>
              <w:jc w:val="right"/>
              <w:rPr>
                <w:rFonts w:eastAsia="Times New Roman"/>
                <w:sz w:val="20"/>
                <w:szCs w:val="20"/>
              </w:rPr>
            </w:pPr>
            <w:r>
              <w:rPr>
                <w:rFonts w:eastAsia="Times New Roman"/>
                <w:sz w:val="20"/>
                <w:szCs w:val="20"/>
              </w:rPr>
              <w:t>NA</w:t>
            </w:r>
          </w:p>
        </w:tc>
        <w:tc>
          <w:tcPr>
            <w:tcW w:w="50" w:type="pct"/>
            <w:shd w:val="clear" w:color="auto" w:fill="FFFFFF"/>
            <w:vAlign w:val="bottom"/>
            <w:hideMark/>
          </w:tcPr>
          <w:p w14:paraId="0CA39683" w14:textId="77777777" w:rsidR="00000000" w:rsidRDefault="002F725F">
            <w:pPr>
              <w:jc w:val="right"/>
              <w:rPr>
                <w:rFonts w:eastAsia="Times New Roman"/>
                <w:sz w:val="20"/>
                <w:szCs w:val="20"/>
              </w:rPr>
            </w:pPr>
            <w:r>
              <w:rPr>
                <w:rFonts w:eastAsia="Times New Roman"/>
                <w:sz w:val="20"/>
                <w:szCs w:val="20"/>
              </w:rPr>
              <w:t> </w:t>
            </w:r>
          </w:p>
        </w:tc>
        <w:tc>
          <w:tcPr>
            <w:tcW w:w="50" w:type="pct"/>
            <w:shd w:val="clear" w:color="auto" w:fill="FFFFFF"/>
            <w:vAlign w:val="bottom"/>
            <w:hideMark/>
          </w:tcPr>
          <w:p w14:paraId="7AD1CA25" w14:textId="77777777" w:rsidR="00000000" w:rsidRDefault="002F725F">
            <w:pPr>
              <w:jc w:val="right"/>
              <w:rPr>
                <w:rFonts w:eastAsia="Times New Roman"/>
                <w:sz w:val="20"/>
                <w:szCs w:val="20"/>
              </w:rPr>
            </w:pPr>
            <w:r>
              <w:rPr>
                <w:rFonts w:eastAsia="Times New Roman"/>
                <w:sz w:val="20"/>
                <w:szCs w:val="20"/>
              </w:rPr>
              <w:t> </w:t>
            </w:r>
          </w:p>
        </w:tc>
        <w:tc>
          <w:tcPr>
            <w:tcW w:w="50" w:type="pct"/>
            <w:shd w:val="clear" w:color="auto" w:fill="FFFFFF"/>
            <w:vAlign w:val="bottom"/>
            <w:hideMark/>
          </w:tcPr>
          <w:p w14:paraId="5D44F43C" w14:textId="77777777" w:rsidR="00000000" w:rsidRDefault="002F725F">
            <w:pPr>
              <w:jc w:val="right"/>
              <w:rPr>
                <w:rFonts w:eastAsia="Times New Roman"/>
                <w:sz w:val="20"/>
                <w:szCs w:val="20"/>
              </w:rPr>
            </w:pPr>
            <w:r>
              <w:rPr>
                <w:rFonts w:eastAsia="Times New Roman"/>
                <w:sz w:val="20"/>
                <w:szCs w:val="20"/>
              </w:rPr>
              <w:t> </w:t>
            </w:r>
          </w:p>
        </w:tc>
        <w:tc>
          <w:tcPr>
            <w:tcW w:w="450" w:type="pct"/>
            <w:shd w:val="clear" w:color="auto" w:fill="FFFFFF"/>
            <w:vAlign w:val="bottom"/>
            <w:hideMark/>
          </w:tcPr>
          <w:p w14:paraId="395A994F" w14:textId="77777777" w:rsidR="00000000" w:rsidRDefault="002F725F">
            <w:pPr>
              <w:jc w:val="right"/>
              <w:rPr>
                <w:rFonts w:eastAsia="Times New Roman"/>
                <w:sz w:val="20"/>
                <w:szCs w:val="20"/>
              </w:rPr>
            </w:pPr>
            <w:r>
              <w:rPr>
                <w:rFonts w:eastAsia="Times New Roman"/>
                <w:sz w:val="20"/>
                <w:szCs w:val="20"/>
              </w:rPr>
              <w:t>NA</w:t>
            </w:r>
          </w:p>
        </w:tc>
        <w:tc>
          <w:tcPr>
            <w:tcW w:w="50" w:type="pct"/>
            <w:shd w:val="clear" w:color="auto" w:fill="FFFFFF"/>
            <w:vAlign w:val="bottom"/>
            <w:hideMark/>
          </w:tcPr>
          <w:p w14:paraId="63B83AAC" w14:textId="77777777" w:rsidR="00000000" w:rsidRDefault="002F725F">
            <w:pPr>
              <w:jc w:val="right"/>
              <w:rPr>
                <w:rFonts w:eastAsia="Times New Roman"/>
                <w:sz w:val="20"/>
                <w:szCs w:val="20"/>
              </w:rPr>
            </w:pPr>
            <w:r>
              <w:rPr>
                <w:rFonts w:eastAsia="Times New Roman"/>
                <w:sz w:val="20"/>
                <w:szCs w:val="20"/>
              </w:rPr>
              <w:t> </w:t>
            </w:r>
          </w:p>
        </w:tc>
        <w:tc>
          <w:tcPr>
            <w:tcW w:w="50" w:type="pct"/>
            <w:shd w:val="clear" w:color="auto" w:fill="FFFFFF"/>
            <w:vAlign w:val="bottom"/>
            <w:hideMark/>
          </w:tcPr>
          <w:p w14:paraId="2DAFC38F" w14:textId="77777777" w:rsidR="00000000" w:rsidRDefault="002F725F">
            <w:pPr>
              <w:jc w:val="right"/>
              <w:rPr>
                <w:rFonts w:eastAsia="Times New Roman"/>
                <w:sz w:val="20"/>
                <w:szCs w:val="20"/>
              </w:rPr>
            </w:pPr>
            <w:r>
              <w:rPr>
                <w:rFonts w:eastAsia="Times New Roman"/>
                <w:sz w:val="20"/>
                <w:szCs w:val="20"/>
              </w:rPr>
              <w:t> </w:t>
            </w:r>
          </w:p>
        </w:tc>
        <w:tc>
          <w:tcPr>
            <w:tcW w:w="50" w:type="pct"/>
            <w:shd w:val="clear" w:color="auto" w:fill="FFFFFF"/>
            <w:vAlign w:val="bottom"/>
            <w:hideMark/>
          </w:tcPr>
          <w:p w14:paraId="4AEE0E14" w14:textId="77777777" w:rsidR="00000000" w:rsidRDefault="002F725F">
            <w:pPr>
              <w:jc w:val="right"/>
              <w:rPr>
                <w:rFonts w:eastAsia="Times New Roman"/>
                <w:sz w:val="20"/>
                <w:szCs w:val="20"/>
              </w:rPr>
            </w:pPr>
            <w:r>
              <w:rPr>
                <w:rFonts w:eastAsia="Times New Roman"/>
                <w:sz w:val="20"/>
                <w:szCs w:val="20"/>
              </w:rPr>
              <w:t> </w:t>
            </w:r>
          </w:p>
        </w:tc>
        <w:tc>
          <w:tcPr>
            <w:tcW w:w="450" w:type="pct"/>
            <w:shd w:val="clear" w:color="auto" w:fill="FFFFFF"/>
            <w:vAlign w:val="bottom"/>
            <w:hideMark/>
          </w:tcPr>
          <w:p w14:paraId="299EF9E5" w14:textId="77777777" w:rsidR="00000000" w:rsidRDefault="002F725F">
            <w:pPr>
              <w:jc w:val="right"/>
              <w:rPr>
                <w:rFonts w:eastAsia="Times New Roman"/>
                <w:sz w:val="20"/>
                <w:szCs w:val="20"/>
              </w:rPr>
            </w:pPr>
            <w:r>
              <w:rPr>
                <w:rFonts w:eastAsia="Times New Roman"/>
                <w:sz w:val="20"/>
                <w:szCs w:val="20"/>
              </w:rPr>
              <w:t>3.19x</w:t>
            </w:r>
          </w:p>
        </w:tc>
        <w:tc>
          <w:tcPr>
            <w:tcW w:w="50" w:type="pct"/>
            <w:shd w:val="clear" w:color="auto" w:fill="FFFFFF"/>
            <w:vAlign w:val="bottom"/>
            <w:hideMark/>
          </w:tcPr>
          <w:p w14:paraId="52E59DDB" w14:textId="77777777" w:rsidR="00000000" w:rsidRDefault="002F725F">
            <w:pPr>
              <w:jc w:val="right"/>
              <w:rPr>
                <w:rFonts w:eastAsia="Times New Roman"/>
                <w:sz w:val="20"/>
                <w:szCs w:val="20"/>
              </w:rPr>
            </w:pPr>
            <w:r>
              <w:rPr>
                <w:rFonts w:eastAsia="Times New Roman"/>
                <w:sz w:val="20"/>
                <w:szCs w:val="20"/>
              </w:rPr>
              <w:t> </w:t>
            </w:r>
          </w:p>
        </w:tc>
        <w:tc>
          <w:tcPr>
            <w:tcW w:w="50" w:type="pct"/>
            <w:shd w:val="clear" w:color="auto" w:fill="FFFFFF"/>
            <w:vAlign w:val="bottom"/>
            <w:hideMark/>
          </w:tcPr>
          <w:p w14:paraId="4DE5C854" w14:textId="77777777" w:rsidR="00000000" w:rsidRDefault="002F725F">
            <w:pPr>
              <w:jc w:val="right"/>
              <w:rPr>
                <w:rFonts w:eastAsia="Times New Roman"/>
                <w:sz w:val="20"/>
                <w:szCs w:val="20"/>
              </w:rPr>
            </w:pPr>
            <w:r>
              <w:rPr>
                <w:rFonts w:eastAsia="Times New Roman"/>
                <w:sz w:val="20"/>
                <w:szCs w:val="20"/>
              </w:rPr>
              <w:t> </w:t>
            </w:r>
          </w:p>
        </w:tc>
        <w:tc>
          <w:tcPr>
            <w:tcW w:w="50" w:type="pct"/>
            <w:shd w:val="clear" w:color="auto" w:fill="FFFFFF"/>
            <w:vAlign w:val="bottom"/>
            <w:hideMark/>
          </w:tcPr>
          <w:p w14:paraId="03431C54" w14:textId="77777777" w:rsidR="00000000" w:rsidRDefault="002F725F">
            <w:pPr>
              <w:jc w:val="right"/>
              <w:rPr>
                <w:rFonts w:eastAsia="Times New Roman"/>
                <w:sz w:val="20"/>
                <w:szCs w:val="20"/>
              </w:rPr>
            </w:pPr>
            <w:r>
              <w:rPr>
                <w:rFonts w:eastAsia="Times New Roman"/>
                <w:sz w:val="20"/>
                <w:szCs w:val="20"/>
              </w:rPr>
              <w:t> </w:t>
            </w:r>
          </w:p>
        </w:tc>
        <w:tc>
          <w:tcPr>
            <w:tcW w:w="450" w:type="pct"/>
            <w:shd w:val="clear" w:color="auto" w:fill="FFFFFF"/>
            <w:vAlign w:val="bottom"/>
            <w:hideMark/>
          </w:tcPr>
          <w:p w14:paraId="40A285E0" w14:textId="77777777" w:rsidR="00000000" w:rsidRDefault="002F725F">
            <w:pPr>
              <w:jc w:val="right"/>
              <w:rPr>
                <w:rFonts w:eastAsia="Times New Roman"/>
                <w:sz w:val="20"/>
                <w:szCs w:val="20"/>
              </w:rPr>
            </w:pPr>
            <w:r>
              <w:rPr>
                <w:rFonts w:eastAsia="Times New Roman"/>
                <w:sz w:val="20"/>
                <w:szCs w:val="20"/>
              </w:rPr>
              <w:t>NA</w:t>
            </w:r>
          </w:p>
        </w:tc>
        <w:tc>
          <w:tcPr>
            <w:tcW w:w="50" w:type="pct"/>
            <w:shd w:val="clear" w:color="auto" w:fill="FFFFFF"/>
            <w:vAlign w:val="bottom"/>
            <w:hideMark/>
          </w:tcPr>
          <w:p w14:paraId="35F6C788" w14:textId="77777777" w:rsidR="00000000" w:rsidRDefault="002F725F">
            <w:pPr>
              <w:jc w:val="right"/>
              <w:rPr>
                <w:rFonts w:eastAsia="Times New Roman"/>
                <w:sz w:val="20"/>
                <w:szCs w:val="20"/>
              </w:rPr>
            </w:pPr>
            <w:r>
              <w:rPr>
                <w:rFonts w:eastAsia="Times New Roman"/>
                <w:sz w:val="20"/>
                <w:szCs w:val="20"/>
              </w:rPr>
              <w:t> </w:t>
            </w:r>
          </w:p>
        </w:tc>
        <w:tc>
          <w:tcPr>
            <w:tcW w:w="50" w:type="pct"/>
            <w:shd w:val="clear" w:color="auto" w:fill="FFFFFF"/>
            <w:vAlign w:val="bottom"/>
            <w:hideMark/>
          </w:tcPr>
          <w:p w14:paraId="57517F20" w14:textId="77777777" w:rsidR="00000000" w:rsidRDefault="002F725F">
            <w:pPr>
              <w:jc w:val="right"/>
              <w:rPr>
                <w:rFonts w:eastAsia="Times New Roman"/>
                <w:sz w:val="20"/>
                <w:szCs w:val="20"/>
              </w:rPr>
            </w:pPr>
            <w:r>
              <w:rPr>
                <w:rFonts w:eastAsia="Times New Roman"/>
                <w:sz w:val="20"/>
                <w:szCs w:val="20"/>
              </w:rPr>
              <w:t> </w:t>
            </w:r>
          </w:p>
        </w:tc>
        <w:tc>
          <w:tcPr>
            <w:tcW w:w="50" w:type="pct"/>
            <w:shd w:val="clear" w:color="auto" w:fill="FFFFFF"/>
            <w:vAlign w:val="bottom"/>
            <w:hideMark/>
          </w:tcPr>
          <w:p w14:paraId="6C86DCD8" w14:textId="77777777" w:rsidR="00000000" w:rsidRDefault="002F725F">
            <w:pPr>
              <w:jc w:val="right"/>
              <w:rPr>
                <w:rFonts w:eastAsia="Times New Roman"/>
                <w:sz w:val="20"/>
                <w:szCs w:val="20"/>
              </w:rPr>
            </w:pPr>
            <w:r>
              <w:rPr>
                <w:rFonts w:eastAsia="Times New Roman"/>
                <w:sz w:val="20"/>
                <w:szCs w:val="20"/>
              </w:rPr>
              <w:t> </w:t>
            </w:r>
          </w:p>
        </w:tc>
        <w:tc>
          <w:tcPr>
            <w:tcW w:w="450" w:type="pct"/>
            <w:shd w:val="clear" w:color="auto" w:fill="FFFFFF"/>
            <w:vAlign w:val="bottom"/>
            <w:hideMark/>
          </w:tcPr>
          <w:p w14:paraId="0CD32BBB" w14:textId="77777777" w:rsidR="00000000" w:rsidRDefault="002F725F">
            <w:pPr>
              <w:jc w:val="right"/>
              <w:rPr>
                <w:rFonts w:eastAsia="Times New Roman"/>
                <w:sz w:val="20"/>
                <w:szCs w:val="20"/>
              </w:rPr>
            </w:pPr>
            <w:r>
              <w:rPr>
                <w:rFonts w:eastAsia="Times New Roman"/>
                <w:sz w:val="20"/>
                <w:szCs w:val="20"/>
              </w:rPr>
              <w:t>NA</w:t>
            </w:r>
          </w:p>
        </w:tc>
        <w:tc>
          <w:tcPr>
            <w:tcW w:w="50" w:type="pct"/>
            <w:shd w:val="clear" w:color="auto" w:fill="FFFFFF"/>
            <w:vAlign w:val="bottom"/>
            <w:hideMark/>
          </w:tcPr>
          <w:p w14:paraId="1C414FB8" w14:textId="77777777" w:rsidR="00000000" w:rsidRDefault="002F725F">
            <w:pPr>
              <w:rPr>
                <w:rFonts w:eastAsia="Times New Roman"/>
                <w:sz w:val="20"/>
                <w:szCs w:val="20"/>
              </w:rPr>
            </w:pPr>
            <w:r>
              <w:rPr>
                <w:rFonts w:eastAsia="Times New Roman"/>
                <w:sz w:val="20"/>
                <w:szCs w:val="20"/>
              </w:rPr>
              <w:t> </w:t>
            </w:r>
          </w:p>
        </w:tc>
      </w:tr>
      <w:tr w:rsidR="00000000" w14:paraId="09344F4A" w14:textId="77777777">
        <w:trPr>
          <w:divId w:val="415980837"/>
        </w:trPr>
        <w:tc>
          <w:tcPr>
            <w:tcW w:w="0" w:type="auto"/>
            <w:shd w:val="clear" w:color="auto" w:fill="CCEEFF"/>
            <w:vAlign w:val="bottom"/>
            <w:hideMark/>
          </w:tcPr>
          <w:p w14:paraId="4ED780FF" w14:textId="77777777" w:rsidR="00000000" w:rsidRDefault="002F725F">
            <w:pPr>
              <w:rPr>
                <w:rFonts w:eastAsia="Times New Roman"/>
                <w:sz w:val="20"/>
                <w:szCs w:val="20"/>
              </w:rPr>
            </w:pPr>
            <w:r>
              <w:rPr>
                <w:rFonts w:eastAsia="Times New Roman"/>
                <w:sz w:val="20"/>
                <w:szCs w:val="20"/>
              </w:rPr>
              <w:t>Bavarian Nordic A/S</w:t>
            </w:r>
          </w:p>
        </w:tc>
        <w:tc>
          <w:tcPr>
            <w:tcW w:w="0" w:type="auto"/>
            <w:shd w:val="clear" w:color="auto" w:fill="CCEEFF"/>
            <w:vAlign w:val="bottom"/>
            <w:hideMark/>
          </w:tcPr>
          <w:p w14:paraId="3C7CA62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4FE249F"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74CF9910" w14:textId="77777777" w:rsidR="00000000" w:rsidRDefault="002F725F">
            <w:pPr>
              <w:jc w:val="right"/>
              <w:rPr>
                <w:rFonts w:eastAsia="Times New Roman"/>
                <w:sz w:val="20"/>
                <w:szCs w:val="20"/>
              </w:rPr>
            </w:pPr>
            <w:r>
              <w:rPr>
                <w:rFonts w:eastAsia="Times New Roman"/>
                <w:sz w:val="20"/>
                <w:szCs w:val="20"/>
              </w:rPr>
              <w:t>6.6x</w:t>
            </w:r>
          </w:p>
        </w:tc>
        <w:tc>
          <w:tcPr>
            <w:tcW w:w="0" w:type="auto"/>
            <w:shd w:val="clear" w:color="auto" w:fill="CCEEFF"/>
            <w:vAlign w:val="bottom"/>
            <w:hideMark/>
          </w:tcPr>
          <w:p w14:paraId="5B2FE89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57FA7A03"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3F27B5C8"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71759AB0" w14:textId="77777777" w:rsidR="00000000" w:rsidRDefault="002F725F">
            <w:pPr>
              <w:jc w:val="right"/>
              <w:rPr>
                <w:rFonts w:eastAsia="Times New Roman"/>
                <w:sz w:val="20"/>
                <w:szCs w:val="20"/>
              </w:rPr>
            </w:pPr>
            <w:r>
              <w:rPr>
                <w:rFonts w:eastAsia="Times New Roman"/>
                <w:sz w:val="20"/>
                <w:szCs w:val="20"/>
              </w:rPr>
              <w:t>7.9x</w:t>
            </w:r>
          </w:p>
        </w:tc>
        <w:tc>
          <w:tcPr>
            <w:tcW w:w="0" w:type="auto"/>
            <w:shd w:val="clear" w:color="auto" w:fill="CCEEFF"/>
            <w:vAlign w:val="bottom"/>
            <w:hideMark/>
          </w:tcPr>
          <w:p w14:paraId="47BC346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1A32D43F"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2B05284A"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7FE76995" w14:textId="77777777" w:rsidR="00000000" w:rsidRDefault="002F725F">
            <w:pPr>
              <w:jc w:val="right"/>
              <w:rPr>
                <w:rFonts w:eastAsia="Times New Roman"/>
                <w:sz w:val="20"/>
                <w:szCs w:val="20"/>
              </w:rPr>
            </w:pPr>
            <w:r>
              <w:rPr>
                <w:rFonts w:eastAsia="Times New Roman"/>
                <w:sz w:val="20"/>
                <w:szCs w:val="20"/>
              </w:rPr>
              <w:t>6.8x</w:t>
            </w:r>
          </w:p>
        </w:tc>
        <w:tc>
          <w:tcPr>
            <w:tcW w:w="0" w:type="auto"/>
            <w:shd w:val="clear" w:color="auto" w:fill="CCEEFF"/>
            <w:vAlign w:val="bottom"/>
            <w:hideMark/>
          </w:tcPr>
          <w:p w14:paraId="6BCA7D00"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522A5D37"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3E46D654"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3E993C11" w14:textId="77777777" w:rsidR="00000000" w:rsidRDefault="002F725F">
            <w:pPr>
              <w:jc w:val="right"/>
              <w:rPr>
                <w:rFonts w:eastAsia="Times New Roman"/>
                <w:sz w:val="20"/>
                <w:szCs w:val="20"/>
              </w:rPr>
            </w:pPr>
            <w:r>
              <w:rPr>
                <w:rFonts w:eastAsia="Times New Roman"/>
                <w:sz w:val="20"/>
                <w:szCs w:val="20"/>
              </w:rPr>
              <w:t>1.78x</w:t>
            </w:r>
          </w:p>
        </w:tc>
        <w:tc>
          <w:tcPr>
            <w:tcW w:w="0" w:type="auto"/>
            <w:shd w:val="clear" w:color="auto" w:fill="CCEEFF"/>
            <w:vAlign w:val="bottom"/>
            <w:hideMark/>
          </w:tcPr>
          <w:p w14:paraId="17A2331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448DD350"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0FF0907D"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1AE3B885" w14:textId="77777777" w:rsidR="00000000" w:rsidRDefault="002F725F">
            <w:pPr>
              <w:jc w:val="right"/>
              <w:rPr>
                <w:rFonts w:eastAsia="Times New Roman"/>
                <w:sz w:val="20"/>
                <w:szCs w:val="20"/>
              </w:rPr>
            </w:pPr>
            <w:r>
              <w:rPr>
                <w:rFonts w:eastAsia="Times New Roman"/>
                <w:sz w:val="20"/>
                <w:szCs w:val="20"/>
              </w:rPr>
              <w:t>2.16x</w:t>
            </w:r>
          </w:p>
        </w:tc>
        <w:tc>
          <w:tcPr>
            <w:tcW w:w="0" w:type="auto"/>
            <w:shd w:val="clear" w:color="auto" w:fill="CCEEFF"/>
            <w:vAlign w:val="bottom"/>
            <w:hideMark/>
          </w:tcPr>
          <w:p w14:paraId="2D2A872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538EDB66"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2A83ACCD"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1888F8A9" w14:textId="77777777" w:rsidR="00000000" w:rsidRDefault="002F725F">
            <w:pPr>
              <w:jc w:val="right"/>
              <w:rPr>
                <w:rFonts w:eastAsia="Times New Roman"/>
                <w:sz w:val="20"/>
                <w:szCs w:val="20"/>
              </w:rPr>
            </w:pPr>
            <w:r>
              <w:rPr>
                <w:rFonts w:eastAsia="Times New Roman"/>
                <w:sz w:val="20"/>
                <w:szCs w:val="20"/>
              </w:rPr>
              <w:t>2.03x</w:t>
            </w:r>
          </w:p>
        </w:tc>
        <w:tc>
          <w:tcPr>
            <w:tcW w:w="0" w:type="auto"/>
            <w:shd w:val="clear" w:color="auto" w:fill="CCEEFF"/>
            <w:vAlign w:val="bottom"/>
            <w:hideMark/>
          </w:tcPr>
          <w:p w14:paraId="59B82A1C" w14:textId="77777777" w:rsidR="00000000" w:rsidRDefault="002F725F">
            <w:pPr>
              <w:rPr>
                <w:rFonts w:eastAsia="Times New Roman"/>
                <w:sz w:val="20"/>
                <w:szCs w:val="20"/>
              </w:rPr>
            </w:pPr>
            <w:r>
              <w:rPr>
                <w:rFonts w:eastAsia="Times New Roman"/>
                <w:sz w:val="20"/>
                <w:szCs w:val="20"/>
              </w:rPr>
              <w:t> </w:t>
            </w:r>
          </w:p>
        </w:tc>
      </w:tr>
      <w:tr w:rsidR="00000000" w14:paraId="0C9BDE91" w14:textId="77777777">
        <w:trPr>
          <w:divId w:val="415980837"/>
        </w:trPr>
        <w:tc>
          <w:tcPr>
            <w:tcW w:w="0" w:type="auto"/>
            <w:shd w:val="clear" w:color="auto" w:fill="FFFFFF"/>
            <w:vAlign w:val="bottom"/>
            <w:hideMark/>
          </w:tcPr>
          <w:p w14:paraId="36D27890" w14:textId="77777777" w:rsidR="00000000" w:rsidRDefault="002F725F">
            <w:pPr>
              <w:rPr>
                <w:rFonts w:eastAsia="Times New Roman"/>
                <w:sz w:val="20"/>
                <w:szCs w:val="20"/>
              </w:rPr>
            </w:pPr>
            <w:r>
              <w:rPr>
                <w:rFonts w:eastAsia="Times New Roman"/>
                <w:sz w:val="20"/>
                <w:szCs w:val="20"/>
              </w:rPr>
              <w:t>CanSino Biologics Inc.</w:t>
            </w:r>
          </w:p>
        </w:tc>
        <w:tc>
          <w:tcPr>
            <w:tcW w:w="0" w:type="auto"/>
            <w:shd w:val="clear" w:color="auto" w:fill="FFFFFF"/>
            <w:vAlign w:val="bottom"/>
            <w:hideMark/>
          </w:tcPr>
          <w:p w14:paraId="43680C5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9AF6D1C"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29F9816C"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FFFFFF"/>
            <w:vAlign w:val="bottom"/>
            <w:hideMark/>
          </w:tcPr>
          <w:p w14:paraId="63E6D33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2940D92A"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37D7FC58"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73F89EDF" w14:textId="77777777" w:rsidR="00000000" w:rsidRDefault="002F725F">
            <w:pPr>
              <w:jc w:val="right"/>
              <w:rPr>
                <w:rFonts w:eastAsia="Times New Roman"/>
                <w:sz w:val="20"/>
                <w:szCs w:val="20"/>
              </w:rPr>
            </w:pPr>
            <w:r>
              <w:rPr>
                <w:rFonts w:eastAsia="Times New Roman"/>
                <w:sz w:val="20"/>
                <w:szCs w:val="20"/>
              </w:rPr>
              <w:t>31.5x</w:t>
            </w:r>
          </w:p>
        </w:tc>
        <w:tc>
          <w:tcPr>
            <w:tcW w:w="0" w:type="auto"/>
            <w:shd w:val="clear" w:color="auto" w:fill="FFFFFF"/>
            <w:vAlign w:val="bottom"/>
            <w:hideMark/>
          </w:tcPr>
          <w:p w14:paraId="23F3C83A"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5A550C3F"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0BC3A90D"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6C391B3B" w14:textId="77777777" w:rsidR="00000000" w:rsidRDefault="002F725F">
            <w:pPr>
              <w:jc w:val="right"/>
              <w:rPr>
                <w:rFonts w:eastAsia="Times New Roman"/>
                <w:sz w:val="20"/>
                <w:szCs w:val="20"/>
              </w:rPr>
            </w:pPr>
            <w:r>
              <w:rPr>
                <w:rFonts w:eastAsia="Times New Roman"/>
                <w:sz w:val="20"/>
                <w:szCs w:val="20"/>
              </w:rPr>
              <w:t>16.9x</w:t>
            </w:r>
          </w:p>
        </w:tc>
        <w:tc>
          <w:tcPr>
            <w:tcW w:w="0" w:type="auto"/>
            <w:shd w:val="clear" w:color="auto" w:fill="FFFFFF"/>
            <w:vAlign w:val="bottom"/>
            <w:hideMark/>
          </w:tcPr>
          <w:p w14:paraId="65D6998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74CC8384"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64DE56FD"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40BC0173" w14:textId="77777777" w:rsidR="00000000" w:rsidRDefault="002F725F">
            <w:pPr>
              <w:jc w:val="right"/>
              <w:rPr>
                <w:rFonts w:eastAsia="Times New Roman"/>
                <w:sz w:val="20"/>
                <w:szCs w:val="20"/>
              </w:rPr>
            </w:pPr>
            <w:r>
              <w:rPr>
                <w:rFonts w:eastAsia="Times New Roman"/>
                <w:sz w:val="20"/>
                <w:szCs w:val="20"/>
              </w:rPr>
              <w:t>9.13x</w:t>
            </w:r>
          </w:p>
        </w:tc>
        <w:tc>
          <w:tcPr>
            <w:tcW w:w="0" w:type="auto"/>
            <w:shd w:val="clear" w:color="auto" w:fill="FFFFFF"/>
            <w:vAlign w:val="bottom"/>
            <w:hideMark/>
          </w:tcPr>
          <w:p w14:paraId="079074F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4BE30510"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5F46038A"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1C029EF9" w14:textId="77777777" w:rsidR="00000000" w:rsidRDefault="002F725F">
            <w:pPr>
              <w:jc w:val="right"/>
              <w:rPr>
                <w:rFonts w:eastAsia="Times New Roman"/>
                <w:sz w:val="20"/>
                <w:szCs w:val="20"/>
              </w:rPr>
            </w:pPr>
            <w:r>
              <w:rPr>
                <w:rFonts w:eastAsia="Times New Roman"/>
                <w:sz w:val="20"/>
                <w:szCs w:val="20"/>
              </w:rPr>
              <w:t>6.87x</w:t>
            </w:r>
          </w:p>
        </w:tc>
        <w:tc>
          <w:tcPr>
            <w:tcW w:w="0" w:type="auto"/>
            <w:shd w:val="clear" w:color="auto" w:fill="FFFFFF"/>
            <w:vAlign w:val="bottom"/>
            <w:hideMark/>
          </w:tcPr>
          <w:p w14:paraId="2B99882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3C08336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21A7DE77"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400E46FC" w14:textId="77777777" w:rsidR="00000000" w:rsidRDefault="002F725F">
            <w:pPr>
              <w:jc w:val="right"/>
              <w:rPr>
                <w:rFonts w:eastAsia="Times New Roman"/>
                <w:sz w:val="20"/>
                <w:szCs w:val="20"/>
              </w:rPr>
            </w:pPr>
            <w:r>
              <w:rPr>
                <w:rFonts w:eastAsia="Times New Roman"/>
                <w:sz w:val="20"/>
                <w:szCs w:val="20"/>
              </w:rPr>
              <w:t>5.48x</w:t>
            </w:r>
          </w:p>
        </w:tc>
        <w:tc>
          <w:tcPr>
            <w:tcW w:w="0" w:type="auto"/>
            <w:shd w:val="clear" w:color="auto" w:fill="FFFFFF"/>
            <w:vAlign w:val="bottom"/>
            <w:hideMark/>
          </w:tcPr>
          <w:p w14:paraId="7EC5FD85" w14:textId="77777777" w:rsidR="00000000" w:rsidRDefault="002F725F">
            <w:pPr>
              <w:rPr>
                <w:rFonts w:eastAsia="Times New Roman"/>
                <w:sz w:val="20"/>
                <w:szCs w:val="20"/>
              </w:rPr>
            </w:pPr>
            <w:r>
              <w:rPr>
                <w:rFonts w:eastAsia="Times New Roman"/>
                <w:sz w:val="20"/>
                <w:szCs w:val="20"/>
              </w:rPr>
              <w:t> </w:t>
            </w:r>
          </w:p>
        </w:tc>
      </w:tr>
      <w:tr w:rsidR="00000000" w14:paraId="75E5589E" w14:textId="77777777">
        <w:trPr>
          <w:divId w:val="415980837"/>
        </w:trPr>
        <w:tc>
          <w:tcPr>
            <w:tcW w:w="0" w:type="auto"/>
            <w:shd w:val="clear" w:color="auto" w:fill="CCEEFF"/>
            <w:vAlign w:val="bottom"/>
            <w:hideMark/>
          </w:tcPr>
          <w:p w14:paraId="52B60EE8" w14:textId="77777777" w:rsidR="00000000" w:rsidRDefault="002F725F">
            <w:pPr>
              <w:rPr>
                <w:rFonts w:eastAsia="Times New Roman"/>
                <w:sz w:val="20"/>
                <w:szCs w:val="20"/>
              </w:rPr>
            </w:pPr>
            <w:r>
              <w:rPr>
                <w:rFonts w:eastAsia="Times New Roman"/>
                <w:sz w:val="20"/>
                <w:szCs w:val="20"/>
              </w:rPr>
              <w:t>Clover Biopharmaceuticals, Ltd.</w:t>
            </w:r>
          </w:p>
        </w:tc>
        <w:tc>
          <w:tcPr>
            <w:tcW w:w="0" w:type="auto"/>
            <w:shd w:val="clear" w:color="auto" w:fill="CCEEFF"/>
            <w:vAlign w:val="bottom"/>
            <w:hideMark/>
          </w:tcPr>
          <w:p w14:paraId="2D66B6E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8833626"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3CC12A2B"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CCEEFF"/>
            <w:vAlign w:val="bottom"/>
            <w:hideMark/>
          </w:tcPr>
          <w:p w14:paraId="597B8FB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7444F5A8"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1491253F"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1F4E9511"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24B962FA"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7716D454"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41DC8D9B"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45314D26"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0F697C7B"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5CD92DB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12BB6D58"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3B5E94B9"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CCEEFF"/>
            <w:vAlign w:val="bottom"/>
            <w:hideMark/>
          </w:tcPr>
          <w:p w14:paraId="367C492F"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591070F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66CA3B8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775A5952"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6021903B"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02A70194"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5BF42B9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4138E266"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vAlign w:val="bottom"/>
            <w:hideMark/>
          </w:tcPr>
          <w:p w14:paraId="3E5249C8" w14:textId="77777777" w:rsidR="00000000" w:rsidRDefault="002F725F">
            <w:pPr>
              <w:rPr>
                <w:rFonts w:eastAsia="Times New Roman"/>
                <w:sz w:val="20"/>
                <w:szCs w:val="20"/>
              </w:rPr>
            </w:pPr>
            <w:r>
              <w:rPr>
                <w:rFonts w:eastAsia="Times New Roman"/>
                <w:sz w:val="20"/>
                <w:szCs w:val="20"/>
              </w:rPr>
              <w:t> </w:t>
            </w:r>
          </w:p>
        </w:tc>
      </w:tr>
      <w:tr w:rsidR="00000000" w14:paraId="7702B023" w14:textId="77777777">
        <w:trPr>
          <w:divId w:val="415980837"/>
        </w:trPr>
        <w:tc>
          <w:tcPr>
            <w:tcW w:w="0" w:type="auto"/>
            <w:shd w:val="clear" w:color="auto" w:fill="FFFFFF"/>
            <w:vAlign w:val="bottom"/>
            <w:hideMark/>
          </w:tcPr>
          <w:p w14:paraId="7A8592DE" w14:textId="77777777" w:rsidR="00000000" w:rsidRDefault="002F725F">
            <w:pPr>
              <w:rPr>
                <w:rFonts w:eastAsia="Times New Roman"/>
                <w:sz w:val="20"/>
                <w:szCs w:val="20"/>
              </w:rPr>
            </w:pPr>
            <w:r>
              <w:rPr>
                <w:rFonts w:eastAsia="Times New Roman"/>
                <w:sz w:val="20"/>
                <w:szCs w:val="20"/>
              </w:rPr>
              <w:t>Kamada Ltd.</w:t>
            </w:r>
          </w:p>
        </w:tc>
        <w:tc>
          <w:tcPr>
            <w:tcW w:w="0" w:type="auto"/>
            <w:shd w:val="clear" w:color="auto" w:fill="FFFFFF"/>
            <w:vAlign w:val="bottom"/>
            <w:hideMark/>
          </w:tcPr>
          <w:p w14:paraId="7160370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32BBC12"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0FDABEC2" w14:textId="77777777" w:rsidR="00000000" w:rsidRDefault="002F725F">
            <w:pPr>
              <w:jc w:val="right"/>
              <w:rPr>
                <w:rFonts w:eastAsia="Times New Roman"/>
                <w:sz w:val="20"/>
                <w:szCs w:val="20"/>
              </w:rPr>
            </w:pPr>
            <w:r>
              <w:rPr>
                <w:rFonts w:eastAsia="Times New Roman"/>
                <w:sz w:val="20"/>
                <w:szCs w:val="20"/>
              </w:rPr>
              <w:t>9.9</w:t>
            </w:r>
          </w:p>
        </w:tc>
        <w:tc>
          <w:tcPr>
            <w:tcW w:w="0" w:type="auto"/>
            <w:shd w:val="clear" w:color="auto" w:fill="FFFFFF"/>
            <w:vAlign w:val="bottom"/>
            <w:hideMark/>
          </w:tcPr>
          <w:p w14:paraId="5DB5976D"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1A7F1827"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18CE44B2"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3C2E20CE" w14:textId="77777777" w:rsidR="00000000" w:rsidRDefault="002F725F">
            <w:pPr>
              <w:jc w:val="right"/>
              <w:rPr>
                <w:rFonts w:eastAsia="Times New Roman"/>
                <w:sz w:val="20"/>
                <w:szCs w:val="20"/>
              </w:rPr>
            </w:pPr>
            <w:r>
              <w:rPr>
                <w:rFonts w:eastAsia="Times New Roman"/>
                <w:sz w:val="20"/>
                <w:szCs w:val="20"/>
              </w:rPr>
              <w:t>9.1x</w:t>
            </w:r>
          </w:p>
        </w:tc>
        <w:tc>
          <w:tcPr>
            <w:tcW w:w="0" w:type="auto"/>
            <w:shd w:val="clear" w:color="auto" w:fill="FFFFFF"/>
            <w:vAlign w:val="bottom"/>
            <w:hideMark/>
          </w:tcPr>
          <w:p w14:paraId="50AD44E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2238D8AA"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79DCB29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22BB6973" w14:textId="77777777" w:rsidR="00000000" w:rsidRDefault="002F725F">
            <w:pPr>
              <w:jc w:val="right"/>
              <w:rPr>
                <w:rFonts w:eastAsia="Times New Roman"/>
                <w:sz w:val="20"/>
                <w:szCs w:val="20"/>
              </w:rPr>
            </w:pPr>
            <w:r>
              <w:rPr>
                <w:rFonts w:eastAsia="Times New Roman"/>
                <w:sz w:val="20"/>
                <w:szCs w:val="20"/>
              </w:rPr>
              <w:t>7.1x</w:t>
            </w:r>
          </w:p>
        </w:tc>
        <w:tc>
          <w:tcPr>
            <w:tcW w:w="0" w:type="auto"/>
            <w:shd w:val="clear" w:color="auto" w:fill="FFFFFF"/>
            <w:vAlign w:val="bottom"/>
            <w:hideMark/>
          </w:tcPr>
          <w:p w14:paraId="0AC93586"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641719DD"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6548185D"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19DB82E7" w14:textId="77777777" w:rsidR="00000000" w:rsidRDefault="002F725F">
            <w:pPr>
              <w:jc w:val="right"/>
              <w:rPr>
                <w:rFonts w:eastAsia="Times New Roman"/>
                <w:sz w:val="20"/>
                <w:szCs w:val="20"/>
              </w:rPr>
            </w:pPr>
            <w:r>
              <w:rPr>
                <w:rFonts w:eastAsia="Times New Roman"/>
                <w:sz w:val="20"/>
                <w:szCs w:val="20"/>
              </w:rPr>
              <w:t>2.26x</w:t>
            </w:r>
          </w:p>
        </w:tc>
        <w:tc>
          <w:tcPr>
            <w:tcW w:w="0" w:type="auto"/>
            <w:shd w:val="clear" w:color="auto" w:fill="FFFFFF"/>
            <w:vAlign w:val="bottom"/>
            <w:hideMark/>
          </w:tcPr>
          <w:p w14:paraId="1539869A"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5AED7BA4"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63AD172C"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025ECF9A" w14:textId="77777777" w:rsidR="00000000" w:rsidRDefault="002F725F">
            <w:pPr>
              <w:jc w:val="right"/>
              <w:rPr>
                <w:rFonts w:eastAsia="Times New Roman"/>
                <w:sz w:val="20"/>
                <w:szCs w:val="20"/>
              </w:rPr>
            </w:pPr>
            <w:r>
              <w:rPr>
                <w:rFonts w:eastAsia="Times New Roman"/>
                <w:sz w:val="20"/>
                <w:szCs w:val="20"/>
              </w:rPr>
              <w:t>2.01x</w:t>
            </w:r>
          </w:p>
        </w:tc>
        <w:tc>
          <w:tcPr>
            <w:tcW w:w="0" w:type="auto"/>
            <w:shd w:val="clear" w:color="auto" w:fill="FFFFFF"/>
            <w:vAlign w:val="bottom"/>
            <w:hideMark/>
          </w:tcPr>
          <w:p w14:paraId="0A4EE78B"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10157380"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21FCC238"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78B3A8EF" w14:textId="77777777" w:rsidR="00000000" w:rsidRDefault="002F725F">
            <w:pPr>
              <w:jc w:val="right"/>
              <w:rPr>
                <w:rFonts w:eastAsia="Times New Roman"/>
                <w:sz w:val="20"/>
                <w:szCs w:val="20"/>
              </w:rPr>
            </w:pPr>
            <w:r>
              <w:rPr>
                <w:rFonts w:eastAsia="Times New Roman"/>
                <w:sz w:val="20"/>
                <w:szCs w:val="20"/>
              </w:rPr>
              <w:t>1.79x</w:t>
            </w:r>
          </w:p>
        </w:tc>
        <w:tc>
          <w:tcPr>
            <w:tcW w:w="0" w:type="auto"/>
            <w:shd w:val="clear" w:color="auto" w:fill="FFFFFF"/>
            <w:vAlign w:val="bottom"/>
            <w:hideMark/>
          </w:tcPr>
          <w:p w14:paraId="1F64BF11" w14:textId="77777777" w:rsidR="00000000" w:rsidRDefault="002F725F">
            <w:pPr>
              <w:rPr>
                <w:rFonts w:eastAsia="Times New Roman"/>
                <w:sz w:val="20"/>
                <w:szCs w:val="20"/>
              </w:rPr>
            </w:pPr>
            <w:r>
              <w:rPr>
                <w:rFonts w:eastAsia="Times New Roman"/>
                <w:sz w:val="20"/>
                <w:szCs w:val="20"/>
              </w:rPr>
              <w:t> </w:t>
            </w:r>
          </w:p>
        </w:tc>
      </w:tr>
      <w:tr w:rsidR="00000000" w14:paraId="083049FE" w14:textId="77777777">
        <w:trPr>
          <w:divId w:val="415980837"/>
        </w:trPr>
        <w:tc>
          <w:tcPr>
            <w:tcW w:w="0" w:type="auto"/>
            <w:shd w:val="clear" w:color="auto" w:fill="CCEEFF"/>
            <w:vAlign w:val="bottom"/>
            <w:hideMark/>
          </w:tcPr>
          <w:p w14:paraId="3D2C1B10" w14:textId="77777777" w:rsidR="00000000" w:rsidRDefault="002F725F">
            <w:pPr>
              <w:rPr>
                <w:rFonts w:eastAsia="Times New Roman"/>
                <w:sz w:val="20"/>
                <w:szCs w:val="20"/>
              </w:rPr>
            </w:pPr>
            <w:r>
              <w:rPr>
                <w:rFonts w:eastAsia="Times New Roman"/>
                <w:sz w:val="20"/>
                <w:szCs w:val="20"/>
              </w:rPr>
              <w:t>Sanofi</w:t>
            </w:r>
          </w:p>
        </w:tc>
        <w:tc>
          <w:tcPr>
            <w:tcW w:w="0" w:type="auto"/>
            <w:shd w:val="clear" w:color="auto" w:fill="CCEEFF"/>
            <w:vAlign w:val="bottom"/>
            <w:hideMark/>
          </w:tcPr>
          <w:p w14:paraId="6017017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DA00519"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2EF08C3D" w14:textId="77777777" w:rsidR="00000000" w:rsidRDefault="002F725F">
            <w:pPr>
              <w:jc w:val="right"/>
              <w:rPr>
                <w:rFonts w:eastAsia="Times New Roman"/>
                <w:sz w:val="20"/>
                <w:szCs w:val="20"/>
              </w:rPr>
            </w:pPr>
            <w:r>
              <w:rPr>
                <w:rFonts w:eastAsia="Times New Roman"/>
                <w:sz w:val="20"/>
                <w:szCs w:val="20"/>
              </w:rPr>
              <w:t>7.9</w:t>
            </w:r>
          </w:p>
        </w:tc>
        <w:tc>
          <w:tcPr>
            <w:tcW w:w="0" w:type="auto"/>
            <w:shd w:val="clear" w:color="auto" w:fill="CCEEFF"/>
            <w:vAlign w:val="bottom"/>
            <w:hideMark/>
          </w:tcPr>
          <w:p w14:paraId="5D40D940"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1BDB44F8"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45F193F8"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5FC65B92" w14:textId="77777777" w:rsidR="00000000" w:rsidRDefault="002F725F">
            <w:pPr>
              <w:jc w:val="right"/>
              <w:rPr>
                <w:rFonts w:eastAsia="Times New Roman"/>
                <w:sz w:val="20"/>
                <w:szCs w:val="20"/>
              </w:rPr>
            </w:pPr>
            <w:r>
              <w:rPr>
                <w:rFonts w:eastAsia="Times New Roman"/>
                <w:sz w:val="20"/>
                <w:szCs w:val="20"/>
              </w:rPr>
              <w:t>7.2x</w:t>
            </w:r>
          </w:p>
        </w:tc>
        <w:tc>
          <w:tcPr>
            <w:tcW w:w="0" w:type="auto"/>
            <w:shd w:val="clear" w:color="auto" w:fill="CCEEFF"/>
            <w:vAlign w:val="bottom"/>
            <w:hideMark/>
          </w:tcPr>
          <w:p w14:paraId="57B3DF02"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2A7F29F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6B78D0B3"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14EB4E2E" w14:textId="77777777" w:rsidR="00000000" w:rsidRDefault="002F725F">
            <w:pPr>
              <w:jc w:val="right"/>
              <w:rPr>
                <w:rFonts w:eastAsia="Times New Roman"/>
                <w:sz w:val="20"/>
                <w:szCs w:val="20"/>
              </w:rPr>
            </w:pPr>
            <w:r>
              <w:rPr>
                <w:rFonts w:eastAsia="Times New Roman"/>
                <w:sz w:val="20"/>
                <w:szCs w:val="20"/>
              </w:rPr>
              <w:t>6.7x</w:t>
            </w:r>
          </w:p>
        </w:tc>
        <w:tc>
          <w:tcPr>
            <w:tcW w:w="0" w:type="auto"/>
            <w:shd w:val="clear" w:color="auto" w:fill="CCEEFF"/>
            <w:vAlign w:val="bottom"/>
            <w:hideMark/>
          </w:tcPr>
          <w:p w14:paraId="2222E499"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2FA889AA"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6FB60E8E"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36594896" w14:textId="77777777" w:rsidR="00000000" w:rsidRDefault="002F725F">
            <w:pPr>
              <w:jc w:val="right"/>
              <w:rPr>
                <w:rFonts w:eastAsia="Times New Roman"/>
                <w:sz w:val="20"/>
                <w:szCs w:val="20"/>
              </w:rPr>
            </w:pPr>
            <w:r>
              <w:rPr>
                <w:rFonts w:eastAsia="Times New Roman"/>
                <w:sz w:val="20"/>
                <w:szCs w:val="20"/>
              </w:rPr>
              <w:t>2.19x</w:t>
            </w:r>
          </w:p>
        </w:tc>
        <w:tc>
          <w:tcPr>
            <w:tcW w:w="0" w:type="auto"/>
            <w:shd w:val="clear" w:color="auto" w:fill="CCEEFF"/>
            <w:vAlign w:val="bottom"/>
            <w:hideMark/>
          </w:tcPr>
          <w:p w14:paraId="1A4264A8"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001C436C"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57533729"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2E781130" w14:textId="77777777" w:rsidR="00000000" w:rsidRDefault="002F725F">
            <w:pPr>
              <w:jc w:val="right"/>
              <w:rPr>
                <w:rFonts w:eastAsia="Times New Roman"/>
                <w:sz w:val="20"/>
                <w:szCs w:val="20"/>
              </w:rPr>
            </w:pPr>
            <w:r>
              <w:rPr>
                <w:rFonts w:eastAsia="Times New Roman"/>
                <w:sz w:val="20"/>
                <w:szCs w:val="20"/>
              </w:rPr>
              <w:t>2.15x</w:t>
            </w:r>
          </w:p>
        </w:tc>
        <w:tc>
          <w:tcPr>
            <w:tcW w:w="0" w:type="auto"/>
            <w:shd w:val="clear" w:color="auto" w:fill="CCEEFF"/>
            <w:vAlign w:val="bottom"/>
            <w:hideMark/>
          </w:tcPr>
          <w:p w14:paraId="4F3838E0"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3AEACC6E"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5CB176BE"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1F254E9C" w14:textId="77777777" w:rsidR="00000000" w:rsidRDefault="002F725F">
            <w:pPr>
              <w:jc w:val="right"/>
              <w:rPr>
                <w:rFonts w:eastAsia="Times New Roman"/>
                <w:sz w:val="20"/>
                <w:szCs w:val="20"/>
              </w:rPr>
            </w:pPr>
            <w:r>
              <w:rPr>
                <w:rFonts w:eastAsia="Times New Roman"/>
                <w:sz w:val="20"/>
                <w:szCs w:val="20"/>
              </w:rPr>
              <w:t>2.01x</w:t>
            </w:r>
          </w:p>
        </w:tc>
        <w:tc>
          <w:tcPr>
            <w:tcW w:w="0" w:type="auto"/>
            <w:shd w:val="clear" w:color="auto" w:fill="CCEEFF"/>
            <w:vAlign w:val="bottom"/>
            <w:hideMark/>
          </w:tcPr>
          <w:p w14:paraId="75458C9D" w14:textId="77777777" w:rsidR="00000000" w:rsidRDefault="002F725F">
            <w:pPr>
              <w:rPr>
                <w:rFonts w:eastAsia="Times New Roman"/>
                <w:sz w:val="20"/>
                <w:szCs w:val="20"/>
              </w:rPr>
            </w:pPr>
            <w:r>
              <w:rPr>
                <w:rFonts w:eastAsia="Times New Roman"/>
                <w:sz w:val="20"/>
                <w:szCs w:val="20"/>
              </w:rPr>
              <w:t> </w:t>
            </w:r>
          </w:p>
        </w:tc>
      </w:tr>
      <w:tr w:rsidR="00000000" w14:paraId="45559847" w14:textId="77777777">
        <w:trPr>
          <w:divId w:val="415980837"/>
        </w:trPr>
        <w:tc>
          <w:tcPr>
            <w:tcW w:w="0" w:type="auto"/>
            <w:shd w:val="clear" w:color="auto" w:fill="FFFFFF"/>
            <w:vAlign w:val="bottom"/>
            <w:hideMark/>
          </w:tcPr>
          <w:p w14:paraId="3F933891"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0DEDDB5C"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7905133D" w14:textId="77777777" w:rsidR="00000000" w:rsidRDefault="002F725F">
            <w:pPr>
              <w:jc w:val="right"/>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52BFFB8D"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2A223BBF" w14:textId="77777777" w:rsidR="00000000" w:rsidRDefault="002F725F">
            <w:pPr>
              <w:jc w:val="right"/>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7E5ADAF6" w14:textId="77777777" w:rsidR="00000000" w:rsidRDefault="002F725F">
            <w:pPr>
              <w:jc w:val="right"/>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7E8F01A1" w14:textId="77777777" w:rsidR="00000000" w:rsidRDefault="002F725F">
            <w:pPr>
              <w:jc w:val="right"/>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F3E7DD7"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2B6E80CA" w14:textId="77777777" w:rsidR="00000000" w:rsidRDefault="002F725F">
            <w:pPr>
              <w:jc w:val="right"/>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94F9D80" w14:textId="77777777" w:rsidR="00000000" w:rsidRDefault="002F725F">
            <w:pPr>
              <w:jc w:val="right"/>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0E5A025B" w14:textId="77777777" w:rsidR="00000000" w:rsidRDefault="002F725F">
            <w:pPr>
              <w:jc w:val="right"/>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2E19222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153FAB0D" w14:textId="77777777" w:rsidR="00000000" w:rsidRDefault="002F725F">
            <w:pPr>
              <w:jc w:val="right"/>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691E1BF" w14:textId="77777777" w:rsidR="00000000" w:rsidRDefault="002F725F">
            <w:pPr>
              <w:jc w:val="right"/>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58E35ED" w14:textId="77777777" w:rsidR="00000000" w:rsidRDefault="002F725F">
            <w:pPr>
              <w:jc w:val="right"/>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BB7A143"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6EB24AD9" w14:textId="77777777" w:rsidR="00000000" w:rsidRDefault="002F725F">
            <w:pPr>
              <w:jc w:val="right"/>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8EE59EC" w14:textId="77777777" w:rsidR="00000000" w:rsidRDefault="002F725F">
            <w:pPr>
              <w:jc w:val="right"/>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7AFC8C92" w14:textId="77777777" w:rsidR="00000000" w:rsidRDefault="002F725F">
            <w:pPr>
              <w:jc w:val="right"/>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5A9B513"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1A947372" w14:textId="77777777" w:rsidR="00000000" w:rsidRDefault="002F725F">
            <w:pPr>
              <w:jc w:val="right"/>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C1D9236" w14:textId="77777777" w:rsidR="00000000" w:rsidRDefault="002F725F">
            <w:pPr>
              <w:jc w:val="right"/>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257F0B7E" w14:textId="77777777" w:rsidR="00000000" w:rsidRDefault="002F725F">
            <w:pPr>
              <w:jc w:val="right"/>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5E8AD8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1A54E157" w14:textId="77777777" w:rsidR="00000000" w:rsidRDefault="002F725F">
            <w:pPr>
              <w:rPr>
                <w:rFonts w:eastAsia="Times New Roman"/>
                <w:sz w:val="20"/>
                <w:szCs w:val="20"/>
              </w:rPr>
            </w:pPr>
            <w:r>
              <w:rPr>
                <w:rFonts w:eastAsia="Times New Roman"/>
                <w:sz w:val="20"/>
                <w:szCs w:val="20"/>
              </w:rPr>
              <w:t> </w:t>
            </w:r>
          </w:p>
        </w:tc>
      </w:tr>
      <w:tr w:rsidR="00000000" w14:paraId="426C0E25" w14:textId="77777777">
        <w:trPr>
          <w:divId w:val="415980837"/>
        </w:trPr>
        <w:tc>
          <w:tcPr>
            <w:tcW w:w="0" w:type="auto"/>
            <w:shd w:val="clear" w:color="auto" w:fill="CCEEFF"/>
            <w:vAlign w:val="bottom"/>
            <w:hideMark/>
          </w:tcPr>
          <w:p w14:paraId="7FBFB52E" w14:textId="77777777" w:rsidR="00000000" w:rsidRDefault="002F725F">
            <w:pPr>
              <w:rPr>
                <w:rFonts w:eastAsia="Times New Roman"/>
                <w:b/>
                <w:bCs/>
                <w:sz w:val="20"/>
                <w:szCs w:val="20"/>
              </w:rPr>
            </w:pPr>
            <w:r>
              <w:rPr>
                <w:rFonts w:eastAsia="Times New Roman"/>
                <w:b/>
                <w:bCs/>
                <w:sz w:val="20"/>
                <w:szCs w:val="20"/>
              </w:rPr>
              <w:t>Mean</w:t>
            </w:r>
          </w:p>
        </w:tc>
        <w:tc>
          <w:tcPr>
            <w:tcW w:w="0" w:type="auto"/>
            <w:shd w:val="clear" w:color="auto" w:fill="CCEEFF"/>
            <w:vAlign w:val="bottom"/>
            <w:hideMark/>
          </w:tcPr>
          <w:p w14:paraId="78969A4C"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4AA47BA" w14:textId="77777777" w:rsidR="00000000" w:rsidRDefault="002F725F">
            <w:pPr>
              <w:jc w:val="right"/>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538E769F" w14:textId="77777777" w:rsidR="00000000" w:rsidRDefault="002F725F">
            <w:pPr>
              <w:jc w:val="right"/>
              <w:rPr>
                <w:rFonts w:eastAsia="Times New Roman"/>
                <w:b/>
                <w:bCs/>
                <w:sz w:val="20"/>
                <w:szCs w:val="20"/>
              </w:rPr>
            </w:pPr>
            <w:r>
              <w:rPr>
                <w:rFonts w:eastAsia="Times New Roman"/>
                <w:b/>
                <w:bCs/>
                <w:sz w:val="20"/>
                <w:szCs w:val="20"/>
              </w:rPr>
              <w:t>8.1x</w:t>
            </w:r>
          </w:p>
        </w:tc>
        <w:tc>
          <w:tcPr>
            <w:tcW w:w="0" w:type="auto"/>
            <w:shd w:val="clear" w:color="auto" w:fill="CCEEFF"/>
            <w:vAlign w:val="bottom"/>
            <w:hideMark/>
          </w:tcPr>
          <w:p w14:paraId="1B69999D" w14:textId="77777777" w:rsidR="00000000" w:rsidRDefault="002F725F">
            <w:pPr>
              <w:jc w:val="right"/>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3D36EC6F" w14:textId="77777777" w:rsidR="00000000" w:rsidRDefault="002F725F">
            <w:pPr>
              <w:jc w:val="right"/>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7F193457" w14:textId="77777777" w:rsidR="00000000" w:rsidRDefault="002F725F">
            <w:pPr>
              <w:jc w:val="right"/>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04F9DB87" w14:textId="77777777" w:rsidR="00000000" w:rsidRDefault="002F725F">
            <w:pPr>
              <w:jc w:val="right"/>
              <w:rPr>
                <w:rFonts w:eastAsia="Times New Roman"/>
                <w:b/>
                <w:bCs/>
                <w:sz w:val="20"/>
                <w:szCs w:val="20"/>
              </w:rPr>
            </w:pPr>
            <w:r>
              <w:rPr>
                <w:rFonts w:eastAsia="Times New Roman"/>
                <w:b/>
                <w:bCs/>
                <w:sz w:val="20"/>
                <w:szCs w:val="20"/>
              </w:rPr>
              <w:t>13.9x</w:t>
            </w:r>
          </w:p>
        </w:tc>
        <w:tc>
          <w:tcPr>
            <w:tcW w:w="0" w:type="auto"/>
            <w:shd w:val="clear" w:color="auto" w:fill="CCEEFF"/>
            <w:vAlign w:val="bottom"/>
            <w:hideMark/>
          </w:tcPr>
          <w:p w14:paraId="00678F81" w14:textId="77777777" w:rsidR="00000000" w:rsidRDefault="002F725F">
            <w:pPr>
              <w:jc w:val="right"/>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1FF909F4" w14:textId="77777777" w:rsidR="00000000" w:rsidRDefault="002F725F">
            <w:pPr>
              <w:jc w:val="right"/>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2FFF9110" w14:textId="77777777" w:rsidR="00000000" w:rsidRDefault="002F725F">
            <w:pPr>
              <w:jc w:val="right"/>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7A6CD63F" w14:textId="77777777" w:rsidR="00000000" w:rsidRDefault="002F725F">
            <w:pPr>
              <w:jc w:val="right"/>
              <w:rPr>
                <w:rFonts w:eastAsia="Times New Roman"/>
                <w:b/>
                <w:bCs/>
                <w:sz w:val="20"/>
                <w:szCs w:val="20"/>
              </w:rPr>
            </w:pPr>
            <w:r>
              <w:rPr>
                <w:rFonts w:eastAsia="Times New Roman"/>
                <w:b/>
                <w:bCs/>
                <w:sz w:val="20"/>
                <w:szCs w:val="20"/>
              </w:rPr>
              <w:t>9.4x</w:t>
            </w:r>
          </w:p>
        </w:tc>
        <w:tc>
          <w:tcPr>
            <w:tcW w:w="0" w:type="auto"/>
            <w:shd w:val="clear" w:color="auto" w:fill="CCEEFF"/>
            <w:vAlign w:val="bottom"/>
            <w:hideMark/>
          </w:tcPr>
          <w:p w14:paraId="3C641B02" w14:textId="77777777" w:rsidR="00000000" w:rsidRDefault="002F725F">
            <w:pPr>
              <w:jc w:val="right"/>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676CF9C2" w14:textId="77777777" w:rsidR="00000000" w:rsidRDefault="002F725F">
            <w:pPr>
              <w:jc w:val="right"/>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5AB6861B" w14:textId="77777777" w:rsidR="00000000" w:rsidRDefault="002F725F">
            <w:pPr>
              <w:jc w:val="right"/>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2743929A" w14:textId="77777777" w:rsidR="00000000" w:rsidRDefault="002F725F">
            <w:pPr>
              <w:jc w:val="right"/>
              <w:rPr>
                <w:rFonts w:eastAsia="Times New Roman"/>
                <w:b/>
                <w:bCs/>
                <w:sz w:val="20"/>
                <w:szCs w:val="20"/>
              </w:rPr>
            </w:pPr>
            <w:r>
              <w:rPr>
                <w:rFonts w:eastAsia="Times New Roman"/>
                <w:b/>
                <w:bCs/>
                <w:sz w:val="20"/>
                <w:szCs w:val="20"/>
              </w:rPr>
              <w:t>3.71x</w:t>
            </w:r>
          </w:p>
        </w:tc>
        <w:tc>
          <w:tcPr>
            <w:tcW w:w="0" w:type="auto"/>
            <w:shd w:val="clear" w:color="auto" w:fill="CCEEFF"/>
            <w:vAlign w:val="bottom"/>
            <w:hideMark/>
          </w:tcPr>
          <w:p w14:paraId="665BDAC9" w14:textId="77777777" w:rsidR="00000000" w:rsidRDefault="002F725F">
            <w:pPr>
              <w:jc w:val="right"/>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6CE53DBD" w14:textId="77777777" w:rsidR="00000000" w:rsidRDefault="002F725F">
            <w:pPr>
              <w:jc w:val="right"/>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317E6B01" w14:textId="77777777" w:rsidR="00000000" w:rsidRDefault="002F725F">
            <w:pPr>
              <w:jc w:val="right"/>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59DBDC34" w14:textId="77777777" w:rsidR="00000000" w:rsidRDefault="002F725F">
            <w:pPr>
              <w:jc w:val="right"/>
              <w:rPr>
                <w:rFonts w:eastAsia="Times New Roman"/>
                <w:b/>
                <w:bCs/>
                <w:sz w:val="20"/>
                <w:szCs w:val="20"/>
              </w:rPr>
            </w:pPr>
            <w:r>
              <w:rPr>
                <w:rFonts w:eastAsia="Times New Roman"/>
                <w:b/>
                <w:bCs/>
                <w:sz w:val="20"/>
                <w:szCs w:val="20"/>
              </w:rPr>
              <w:t>3.30x</w:t>
            </w:r>
          </w:p>
        </w:tc>
        <w:tc>
          <w:tcPr>
            <w:tcW w:w="0" w:type="auto"/>
            <w:shd w:val="clear" w:color="auto" w:fill="CCEEFF"/>
            <w:vAlign w:val="bottom"/>
            <w:hideMark/>
          </w:tcPr>
          <w:p w14:paraId="629BA4BC" w14:textId="77777777" w:rsidR="00000000" w:rsidRDefault="002F725F">
            <w:pPr>
              <w:jc w:val="right"/>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080BA514" w14:textId="77777777" w:rsidR="00000000" w:rsidRDefault="002F725F">
            <w:pPr>
              <w:jc w:val="right"/>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1C8AF81" w14:textId="77777777" w:rsidR="00000000" w:rsidRDefault="002F725F">
            <w:pPr>
              <w:jc w:val="right"/>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B01CD64" w14:textId="77777777" w:rsidR="00000000" w:rsidRDefault="002F725F">
            <w:pPr>
              <w:jc w:val="right"/>
              <w:rPr>
                <w:rFonts w:eastAsia="Times New Roman"/>
                <w:b/>
                <w:bCs/>
                <w:sz w:val="20"/>
                <w:szCs w:val="20"/>
              </w:rPr>
            </w:pPr>
            <w:r>
              <w:rPr>
                <w:rFonts w:eastAsia="Times New Roman"/>
                <w:b/>
                <w:bCs/>
                <w:sz w:val="20"/>
                <w:szCs w:val="20"/>
              </w:rPr>
              <w:t>2.83x</w:t>
            </w:r>
          </w:p>
        </w:tc>
        <w:tc>
          <w:tcPr>
            <w:tcW w:w="0" w:type="auto"/>
            <w:shd w:val="clear" w:color="auto" w:fill="CCEEFF"/>
            <w:vAlign w:val="bottom"/>
            <w:hideMark/>
          </w:tcPr>
          <w:p w14:paraId="1F3153E4" w14:textId="77777777" w:rsidR="00000000" w:rsidRDefault="002F725F">
            <w:pPr>
              <w:rPr>
                <w:rFonts w:eastAsia="Times New Roman"/>
                <w:b/>
                <w:bCs/>
                <w:sz w:val="20"/>
                <w:szCs w:val="20"/>
              </w:rPr>
            </w:pPr>
            <w:r>
              <w:rPr>
                <w:rFonts w:eastAsia="Times New Roman"/>
                <w:b/>
                <w:bCs/>
                <w:sz w:val="20"/>
                <w:szCs w:val="20"/>
              </w:rPr>
              <w:t> </w:t>
            </w:r>
          </w:p>
        </w:tc>
      </w:tr>
      <w:tr w:rsidR="00000000" w14:paraId="7CE7B2F6" w14:textId="77777777">
        <w:trPr>
          <w:divId w:val="415980837"/>
        </w:trPr>
        <w:tc>
          <w:tcPr>
            <w:tcW w:w="0" w:type="auto"/>
            <w:shd w:val="clear" w:color="auto" w:fill="FFFFFF"/>
            <w:vAlign w:val="bottom"/>
            <w:hideMark/>
          </w:tcPr>
          <w:p w14:paraId="466783BF" w14:textId="77777777" w:rsidR="00000000" w:rsidRDefault="002F725F">
            <w:pPr>
              <w:rPr>
                <w:rFonts w:eastAsia="Times New Roman"/>
                <w:b/>
                <w:bCs/>
                <w:sz w:val="20"/>
                <w:szCs w:val="20"/>
              </w:rPr>
            </w:pPr>
            <w:r>
              <w:rPr>
                <w:rFonts w:eastAsia="Times New Roman"/>
                <w:b/>
                <w:bCs/>
                <w:sz w:val="20"/>
                <w:szCs w:val="20"/>
              </w:rPr>
              <w:t>Median</w:t>
            </w:r>
          </w:p>
        </w:tc>
        <w:tc>
          <w:tcPr>
            <w:tcW w:w="0" w:type="auto"/>
            <w:tcBorders>
              <w:bottom w:val="single" w:sz="12" w:space="0" w:color="000000"/>
            </w:tcBorders>
            <w:shd w:val="clear" w:color="auto" w:fill="FFFFFF"/>
            <w:vAlign w:val="bottom"/>
            <w:hideMark/>
          </w:tcPr>
          <w:p w14:paraId="0C361C38" w14:textId="77777777" w:rsidR="00000000" w:rsidRDefault="002F725F">
            <w:pPr>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12E53E0E" w14:textId="77777777" w:rsidR="00000000" w:rsidRDefault="002F725F">
            <w:pPr>
              <w:jc w:val="right"/>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7F8A4AEA" w14:textId="77777777" w:rsidR="00000000" w:rsidRDefault="002F725F">
            <w:pPr>
              <w:jc w:val="right"/>
              <w:rPr>
                <w:rFonts w:eastAsia="Times New Roman"/>
                <w:b/>
                <w:bCs/>
                <w:sz w:val="20"/>
                <w:szCs w:val="20"/>
              </w:rPr>
            </w:pPr>
            <w:r>
              <w:rPr>
                <w:rFonts w:eastAsia="Times New Roman"/>
                <w:b/>
                <w:bCs/>
                <w:sz w:val="20"/>
                <w:szCs w:val="20"/>
              </w:rPr>
              <w:t>7.9x</w:t>
            </w:r>
          </w:p>
        </w:tc>
        <w:tc>
          <w:tcPr>
            <w:tcW w:w="0" w:type="auto"/>
            <w:shd w:val="clear" w:color="auto" w:fill="FFFFFF"/>
            <w:vAlign w:val="bottom"/>
            <w:hideMark/>
          </w:tcPr>
          <w:p w14:paraId="7768FD2C" w14:textId="77777777" w:rsidR="00000000" w:rsidRDefault="002F725F">
            <w:pPr>
              <w:jc w:val="right"/>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11C57F18" w14:textId="77777777" w:rsidR="00000000" w:rsidRDefault="002F725F">
            <w:pPr>
              <w:jc w:val="right"/>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60A963CE" w14:textId="77777777" w:rsidR="00000000" w:rsidRDefault="002F725F">
            <w:pPr>
              <w:jc w:val="right"/>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5D66B67E" w14:textId="77777777" w:rsidR="00000000" w:rsidRDefault="002F725F">
            <w:pPr>
              <w:jc w:val="right"/>
              <w:rPr>
                <w:rFonts w:eastAsia="Times New Roman"/>
                <w:b/>
                <w:bCs/>
                <w:sz w:val="20"/>
                <w:szCs w:val="20"/>
              </w:rPr>
            </w:pPr>
            <w:r>
              <w:rPr>
                <w:rFonts w:eastAsia="Times New Roman"/>
                <w:b/>
                <w:bCs/>
                <w:sz w:val="20"/>
                <w:szCs w:val="20"/>
              </w:rPr>
              <w:t>8.5x</w:t>
            </w:r>
          </w:p>
        </w:tc>
        <w:tc>
          <w:tcPr>
            <w:tcW w:w="0" w:type="auto"/>
            <w:shd w:val="clear" w:color="auto" w:fill="FFFFFF"/>
            <w:vAlign w:val="bottom"/>
            <w:hideMark/>
          </w:tcPr>
          <w:p w14:paraId="4873E5C0" w14:textId="77777777" w:rsidR="00000000" w:rsidRDefault="002F725F">
            <w:pPr>
              <w:jc w:val="right"/>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2141D8C2" w14:textId="77777777" w:rsidR="00000000" w:rsidRDefault="002F725F">
            <w:pPr>
              <w:jc w:val="right"/>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7625546E" w14:textId="77777777" w:rsidR="00000000" w:rsidRDefault="002F725F">
            <w:pPr>
              <w:jc w:val="right"/>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1124E485" w14:textId="77777777" w:rsidR="00000000" w:rsidRDefault="002F725F">
            <w:pPr>
              <w:jc w:val="right"/>
              <w:rPr>
                <w:rFonts w:eastAsia="Times New Roman"/>
                <w:b/>
                <w:bCs/>
                <w:sz w:val="20"/>
                <w:szCs w:val="20"/>
              </w:rPr>
            </w:pPr>
            <w:r>
              <w:rPr>
                <w:rFonts w:eastAsia="Times New Roman"/>
                <w:b/>
                <w:bCs/>
                <w:sz w:val="20"/>
                <w:szCs w:val="20"/>
              </w:rPr>
              <w:t>7.0x</w:t>
            </w:r>
          </w:p>
        </w:tc>
        <w:tc>
          <w:tcPr>
            <w:tcW w:w="0" w:type="auto"/>
            <w:shd w:val="clear" w:color="auto" w:fill="FFFFFF"/>
            <w:vAlign w:val="bottom"/>
            <w:hideMark/>
          </w:tcPr>
          <w:p w14:paraId="4F5F6CCD" w14:textId="77777777" w:rsidR="00000000" w:rsidRDefault="002F725F">
            <w:pPr>
              <w:jc w:val="right"/>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1ADDCDF1" w14:textId="77777777" w:rsidR="00000000" w:rsidRDefault="002F725F">
            <w:pPr>
              <w:jc w:val="right"/>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4A324561" w14:textId="77777777" w:rsidR="00000000" w:rsidRDefault="002F725F">
            <w:pPr>
              <w:jc w:val="right"/>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059C883D" w14:textId="77777777" w:rsidR="00000000" w:rsidRDefault="002F725F">
            <w:pPr>
              <w:jc w:val="right"/>
              <w:rPr>
                <w:rFonts w:eastAsia="Times New Roman"/>
                <w:b/>
                <w:bCs/>
                <w:sz w:val="20"/>
                <w:szCs w:val="20"/>
              </w:rPr>
            </w:pPr>
            <w:r>
              <w:rPr>
                <w:rFonts w:eastAsia="Times New Roman"/>
                <w:b/>
                <w:bCs/>
                <w:sz w:val="20"/>
                <w:szCs w:val="20"/>
              </w:rPr>
              <w:t>2.26x</w:t>
            </w:r>
          </w:p>
        </w:tc>
        <w:tc>
          <w:tcPr>
            <w:tcW w:w="0" w:type="auto"/>
            <w:shd w:val="clear" w:color="auto" w:fill="FFFFFF"/>
            <w:vAlign w:val="bottom"/>
            <w:hideMark/>
          </w:tcPr>
          <w:p w14:paraId="61233226" w14:textId="77777777" w:rsidR="00000000" w:rsidRDefault="002F725F">
            <w:pPr>
              <w:jc w:val="right"/>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1E47B92B" w14:textId="77777777" w:rsidR="00000000" w:rsidRDefault="002F725F">
            <w:pPr>
              <w:jc w:val="right"/>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40976689" w14:textId="77777777" w:rsidR="00000000" w:rsidRDefault="002F725F">
            <w:pPr>
              <w:jc w:val="right"/>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0B456D4A" w14:textId="77777777" w:rsidR="00000000" w:rsidRDefault="002F725F">
            <w:pPr>
              <w:jc w:val="right"/>
              <w:rPr>
                <w:rFonts w:eastAsia="Times New Roman"/>
                <w:b/>
                <w:bCs/>
                <w:sz w:val="20"/>
                <w:szCs w:val="20"/>
              </w:rPr>
            </w:pPr>
            <w:r>
              <w:rPr>
                <w:rFonts w:eastAsia="Times New Roman"/>
                <w:b/>
                <w:bCs/>
                <w:sz w:val="20"/>
                <w:szCs w:val="20"/>
              </w:rPr>
              <w:t>2.15x</w:t>
            </w:r>
          </w:p>
        </w:tc>
        <w:tc>
          <w:tcPr>
            <w:tcW w:w="0" w:type="auto"/>
            <w:shd w:val="clear" w:color="auto" w:fill="FFFFFF"/>
            <w:vAlign w:val="bottom"/>
            <w:hideMark/>
          </w:tcPr>
          <w:p w14:paraId="017E695B" w14:textId="77777777" w:rsidR="00000000" w:rsidRDefault="002F725F">
            <w:pPr>
              <w:jc w:val="right"/>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699C87BF" w14:textId="77777777" w:rsidR="00000000" w:rsidRDefault="002F725F">
            <w:pPr>
              <w:jc w:val="right"/>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3510935D" w14:textId="77777777" w:rsidR="00000000" w:rsidRDefault="002F725F">
            <w:pPr>
              <w:jc w:val="right"/>
              <w:rPr>
                <w:rFonts w:eastAsia="Times New Roman"/>
                <w:b/>
                <w:bCs/>
                <w:sz w:val="20"/>
                <w:szCs w:val="20"/>
              </w:rPr>
            </w:pPr>
            <w:r>
              <w:rPr>
                <w:rFonts w:eastAsia="Times New Roman"/>
                <w:b/>
                <w:bCs/>
                <w:sz w:val="20"/>
                <w:szCs w:val="20"/>
              </w:rPr>
              <w:t> </w:t>
            </w:r>
          </w:p>
        </w:tc>
        <w:tc>
          <w:tcPr>
            <w:tcW w:w="0" w:type="auto"/>
            <w:tcBorders>
              <w:bottom w:val="single" w:sz="12" w:space="0" w:color="000000"/>
            </w:tcBorders>
            <w:shd w:val="clear" w:color="auto" w:fill="FFFFFF"/>
            <w:vAlign w:val="bottom"/>
            <w:hideMark/>
          </w:tcPr>
          <w:p w14:paraId="57F22815" w14:textId="77777777" w:rsidR="00000000" w:rsidRDefault="002F725F">
            <w:pPr>
              <w:jc w:val="right"/>
              <w:rPr>
                <w:rFonts w:eastAsia="Times New Roman"/>
                <w:b/>
                <w:bCs/>
                <w:sz w:val="20"/>
                <w:szCs w:val="20"/>
              </w:rPr>
            </w:pPr>
            <w:r>
              <w:rPr>
                <w:rFonts w:eastAsia="Times New Roman"/>
                <w:b/>
                <w:bCs/>
                <w:sz w:val="20"/>
                <w:szCs w:val="20"/>
              </w:rPr>
              <w:t>2.02x</w:t>
            </w:r>
          </w:p>
        </w:tc>
        <w:tc>
          <w:tcPr>
            <w:tcW w:w="0" w:type="auto"/>
            <w:shd w:val="clear" w:color="auto" w:fill="FFFFFF"/>
            <w:vAlign w:val="bottom"/>
            <w:hideMark/>
          </w:tcPr>
          <w:p w14:paraId="7FF88A89" w14:textId="77777777" w:rsidR="00000000" w:rsidRDefault="002F725F">
            <w:pPr>
              <w:rPr>
                <w:rFonts w:eastAsia="Times New Roman"/>
                <w:b/>
                <w:bCs/>
                <w:sz w:val="20"/>
                <w:szCs w:val="20"/>
              </w:rPr>
            </w:pPr>
            <w:r>
              <w:rPr>
                <w:rFonts w:eastAsia="Times New Roman"/>
                <w:b/>
                <w:bCs/>
                <w:sz w:val="20"/>
                <w:szCs w:val="20"/>
              </w:rPr>
              <w:t> </w:t>
            </w:r>
          </w:p>
        </w:tc>
      </w:tr>
    </w:tbl>
    <w:p w14:paraId="5FC977A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F015934" w14:textId="77777777" w:rsidR="00000000" w:rsidRDefault="002F725F">
      <w:pPr>
        <w:divId w:val="1348748824"/>
        <w:rPr>
          <w:rFonts w:eastAsia="Times New Roman"/>
          <w:sz w:val="2"/>
          <w:szCs w:val="2"/>
        </w:rPr>
      </w:pPr>
      <w:r>
        <w:rPr>
          <w:rFonts w:eastAsia="Times New Roman"/>
          <w:sz w:val="2"/>
          <w:szCs w:val="2"/>
        </w:rPr>
        <w:t> </w:t>
      </w:r>
    </w:p>
    <w:p w14:paraId="01C7F790" w14:textId="77777777" w:rsidR="00000000" w:rsidRDefault="002F725F">
      <w:pPr>
        <w:pStyle w:val="NormalWeb"/>
        <w:spacing w:before="0" w:beforeAutospacing="0" w:after="0" w:afterAutospacing="0"/>
        <w:jc w:val="both"/>
        <w:divId w:val="415980837"/>
        <w:rPr>
          <w:sz w:val="20"/>
          <w:szCs w:val="20"/>
        </w:rPr>
      </w:pPr>
      <w:r>
        <w:rPr>
          <w:sz w:val="20"/>
          <w:szCs w:val="20"/>
        </w:rPr>
        <w:t>Notes:</w:t>
      </w:r>
    </w:p>
    <w:p w14:paraId="6F70F05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AC1B0DF"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 xml:space="preserve">The Company’s EBITDA is adjusted to exclude </w:t>
      </w:r>
      <w:r>
        <w:rPr>
          <w:sz w:val="20"/>
          <w:szCs w:val="20"/>
        </w:rPr>
        <w:t>public company costs, transaction costs and non-recurring items as provided by the management of the Company.</w:t>
      </w:r>
    </w:p>
    <w:p w14:paraId="53AB357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A2E5FD5" w14:textId="77777777" w:rsidR="00000000" w:rsidRDefault="002F725F">
      <w:pPr>
        <w:pStyle w:val="NormalWeb"/>
        <w:spacing w:before="0" w:beforeAutospacing="0" w:after="0" w:afterAutospacing="0"/>
        <w:jc w:val="both"/>
        <w:divId w:val="415980837"/>
        <w:rPr>
          <w:sz w:val="20"/>
          <w:szCs w:val="20"/>
        </w:rPr>
      </w:pPr>
      <w:r>
        <w:rPr>
          <w:sz w:val="20"/>
          <w:szCs w:val="20"/>
        </w:rPr>
        <w:t>Enterprise Value = (Market Capitalization) + (Debt + Preferred Stock + Non-Controlling Interest) - (Cash &amp; Equivalents) - (Net Non-Operating Ass</w:t>
      </w:r>
      <w:r>
        <w:rPr>
          <w:sz w:val="20"/>
          <w:szCs w:val="20"/>
        </w:rPr>
        <w:t>ets)</w:t>
      </w:r>
    </w:p>
    <w:p w14:paraId="101F4D2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BE0157C" w14:textId="77777777" w:rsidR="00000000" w:rsidRDefault="002F725F">
      <w:pPr>
        <w:pStyle w:val="NormalWeb"/>
        <w:spacing w:before="0" w:beforeAutospacing="0" w:after="0" w:afterAutospacing="0"/>
        <w:jc w:val="center"/>
        <w:divId w:val="851997418"/>
        <w:rPr>
          <w:sz w:val="20"/>
          <w:szCs w:val="20"/>
        </w:rPr>
      </w:pPr>
      <w:r>
        <w:rPr>
          <w:sz w:val="20"/>
          <w:szCs w:val="20"/>
        </w:rPr>
        <w:t>5</w:t>
      </w:r>
      <w:r>
        <w:rPr>
          <w:sz w:val="20"/>
          <w:szCs w:val="20"/>
        </w:rPr>
        <w:t>3</w:t>
      </w:r>
    </w:p>
    <w:p w14:paraId="7EA4E59F" w14:textId="77777777" w:rsidR="00000000" w:rsidRDefault="002F725F">
      <w:pPr>
        <w:pStyle w:val="NormalWeb"/>
        <w:spacing w:before="0" w:beforeAutospacing="0" w:after="0" w:afterAutospacing="0"/>
        <w:divId w:val="515733446"/>
        <w:rPr>
          <w:sz w:val="20"/>
          <w:szCs w:val="20"/>
        </w:rPr>
      </w:pPr>
      <w:r>
        <w:rPr>
          <w:sz w:val="20"/>
          <w:szCs w:val="20"/>
        </w:rPr>
        <w:t> </w:t>
      </w:r>
    </w:p>
    <w:p w14:paraId="170A1214"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86452EB" w14:textId="77777777" w:rsidR="00000000" w:rsidRDefault="002F725F">
      <w:pPr>
        <w:pStyle w:val="NormalWeb"/>
        <w:spacing w:before="0" w:beforeAutospacing="0" w:after="0" w:afterAutospacing="0"/>
        <w:jc w:val="both"/>
        <w:divId w:val="415980837"/>
        <w:rPr>
          <w:sz w:val="20"/>
          <w:szCs w:val="20"/>
        </w:rPr>
      </w:pPr>
      <w:r>
        <w:rPr>
          <w:sz w:val="20"/>
          <w:szCs w:val="20"/>
        </w:rPr>
        <w:t>LTM = Latest Twelve Months</w:t>
      </w:r>
    </w:p>
    <w:p w14:paraId="3BCDF06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68CF3D6" w14:textId="77777777" w:rsidR="00000000" w:rsidRDefault="002F725F">
      <w:pPr>
        <w:pStyle w:val="NormalWeb"/>
        <w:spacing w:before="0" w:beforeAutospacing="0" w:after="0" w:afterAutospacing="0"/>
        <w:jc w:val="both"/>
        <w:divId w:val="415980837"/>
        <w:rPr>
          <w:sz w:val="20"/>
          <w:szCs w:val="20"/>
        </w:rPr>
      </w:pPr>
      <w:r>
        <w:rPr>
          <w:sz w:val="20"/>
          <w:szCs w:val="20"/>
        </w:rPr>
        <w:t>CAGR = Compounded Annual Growth Rate</w:t>
      </w:r>
    </w:p>
    <w:p w14:paraId="48735712"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BE030D3" w14:textId="77777777" w:rsidR="00000000" w:rsidRDefault="002F725F">
      <w:pPr>
        <w:pStyle w:val="NormalWeb"/>
        <w:spacing w:before="0" w:beforeAutospacing="0" w:after="0" w:afterAutospacing="0"/>
        <w:jc w:val="both"/>
        <w:divId w:val="415980837"/>
        <w:rPr>
          <w:sz w:val="20"/>
          <w:szCs w:val="20"/>
        </w:rPr>
      </w:pPr>
      <w:r>
        <w:rPr>
          <w:sz w:val="20"/>
          <w:szCs w:val="20"/>
        </w:rPr>
        <w:t>EBITDA = Earnings Before Interest, Taxes, Depreciation and Amortization</w:t>
      </w:r>
    </w:p>
    <w:p w14:paraId="32BDB59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2ED3342" w14:textId="77777777" w:rsidR="00000000" w:rsidRDefault="002F725F">
      <w:pPr>
        <w:pStyle w:val="NormalWeb"/>
        <w:spacing w:before="0" w:beforeAutospacing="0" w:after="0" w:afterAutospacing="0"/>
        <w:jc w:val="both"/>
        <w:divId w:val="415980837"/>
        <w:rPr>
          <w:sz w:val="20"/>
          <w:szCs w:val="20"/>
        </w:rPr>
      </w:pPr>
      <w:r>
        <w:rPr>
          <w:sz w:val="20"/>
          <w:szCs w:val="20"/>
        </w:rPr>
        <w:t>NM = Not Meaningful</w:t>
      </w:r>
    </w:p>
    <w:p w14:paraId="50D4420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9F67C61" w14:textId="77777777" w:rsidR="00000000" w:rsidRDefault="002F725F">
      <w:pPr>
        <w:pStyle w:val="NormalWeb"/>
        <w:spacing w:before="0" w:beforeAutospacing="0" w:after="0" w:afterAutospacing="0"/>
        <w:jc w:val="both"/>
        <w:divId w:val="415980837"/>
        <w:rPr>
          <w:sz w:val="20"/>
          <w:szCs w:val="20"/>
        </w:rPr>
      </w:pPr>
      <w:r>
        <w:rPr>
          <w:sz w:val="20"/>
          <w:szCs w:val="20"/>
        </w:rPr>
        <w:t>NA = Not Available</w:t>
      </w:r>
    </w:p>
    <w:p w14:paraId="000E9405"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A51442E" w14:textId="77777777" w:rsidR="00000000" w:rsidRDefault="002F725F">
      <w:pPr>
        <w:pStyle w:val="NormalWeb"/>
        <w:spacing w:before="0" w:beforeAutospacing="0" w:after="0" w:afterAutospacing="0"/>
        <w:jc w:val="both"/>
        <w:divId w:val="415980837"/>
        <w:rPr>
          <w:sz w:val="20"/>
          <w:szCs w:val="20"/>
        </w:rPr>
      </w:pPr>
      <w:r>
        <w:rPr>
          <w:sz w:val="20"/>
          <w:szCs w:val="20"/>
        </w:rPr>
        <w:t>Source: Capital IQ, Bloomberg, company Filings, annual an</w:t>
      </w:r>
      <w:r>
        <w:rPr>
          <w:sz w:val="20"/>
          <w:szCs w:val="20"/>
        </w:rPr>
        <w:t>d interim Reports.</w:t>
      </w:r>
    </w:p>
    <w:p w14:paraId="2AB173A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4AF8897" w14:textId="77777777" w:rsidR="00000000" w:rsidRDefault="002F725F">
      <w:pPr>
        <w:pStyle w:val="NormalWeb"/>
        <w:spacing w:before="0" w:beforeAutospacing="0" w:after="0" w:afterAutospacing="0"/>
        <w:ind w:firstLine="720"/>
        <w:jc w:val="both"/>
        <w:divId w:val="415980837"/>
        <w:rPr>
          <w:sz w:val="20"/>
          <w:szCs w:val="20"/>
        </w:rPr>
      </w:pPr>
      <w:r>
        <w:rPr>
          <w:i/>
          <w:iCs/>
          <w:sz w:val="20"/>
          <w:szCs w:val="20"/>
        </w:rPr>
        <w:t>Selected M&amp;A Transactions Analysis.</w:t>
      </w:r>
      <w:r>
        <w:rPr>
          <w:sz w:val="20"/>
          <w:szCs w:val="20"/>
        </w:rPr>
        <w:t xml:space="preserve"> Duff &amp; Phelps compared the Company to the target companies involved in the selected merger and acquisition transactions listed in the table below. The selection of these transactions was based on, am</w:t>
      </w:r>
      <w:r>
        <w:rPr>
          <w:sz w:val="20"/>
          <w:szCs w:val="20"/>
        </w:rPr>
        <w:t>ong other things, the target company’s industry, the relative size of the transaction compared to the Merger, and the availability of public information related to the transaction. The selected vaccine industry transactions indicated enterprise value to LT</w:t>
      </w:r>
      <w:r>
        <w:rPr>
          <w:sz w:val="20"/>
          <w:szCs w:val="20"/>
        </w:rPr>
        <w:t>M revenue multiples ranging from 0.55x to 3.66x with a median of 2.28x and enterprise value to LTM EBITDA multiples ranging from 3.0x to 63.6x with a median of 4.5x.</w:t>
      </w:r>
    </w:p>
    <w:p w14:paraId="0D17F36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AE19BA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Company is not directly </w:t>
      </w:r>
      <w:r>
        <w:rPr>
          <w:sz w:val="20"/>
          <w:szCs w:val="20"/>
        </w:rPr>
        <w:t>comparable to the target companies in the selected M&amp;A transactions analysis given certain characteristics of the transactions and the target companies, including business and industry comparability and lack of recent relevant transactions. Therefore, alth</w:t>
      </w:r>
      <w:r>
        <w:rPr>
          <w:sz w:val="20"/>
          <w:szCs w:val="20"/>
        </w:rPr>
        <w:t>ough it reviewed the selected M&amp;A transactions analysis, Duff &amp; Phelps did not select valuation multiples for the Company based on the selected M&amp;A transactions analysis. </w:t>
      </w:r>
    </w:p>
    <w:p w14:paraId="6C1CF1FD" w14:textId="77777777" w:rsidR="00000000" w:rsidRDefault="002F725F">
      <w:pPr>
        <w:pStyle w:val="NormalWeb"/>
        <w:spacing w:before="0" w:beforeAutospacing="0" w:after="0" w:afterAutospacing="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9360"/>
      </w:tblGrid>
      <w:tr w:rsidR="00000000" w14:paraId="1903FB87" w14:textId="77777777">
        <w:trPr>
          <w:divId w:val="415980837"/>
        </w:trPr>
        <w:tc>
          <w:tcPr>
            <w:tcW w:w="5000" w:type="pct"/>
            <w:tcBorders>
              <w:bottom w:val="single" w:sz="12" w:space="0" w:color="000000"/>
            </w:tcBorders>
            <w:hideMark/>
          </w:tcPr>
          <w:p w14:paraId="2D7C6A3A" w14:textId="77777777" w:rsidR="00000000" w:rsidRDefault="002F725F">
            <w:pPr>
              <w:rPr>
                <w:rFonts w:eastAsia="Times New Roman"/>
                <w:sz w:val="20"/>
                <w:szCs w:val="20"/>
              </w:rPr>
            </w:pPr>
            <w:r>
              <w:rPr>
                <w:rFonts w:eastAsia="Times New Roman"/>
                <w:b/>
                <w:bCs/>
                <w:sz w:val="20"/>
                <w:szCs w:val="20"/>
              </w:rPr>
              <w:t>Selected M&amp;A Transaction Analysis</w:t>
            </w:r>
          </w:p>
        </w:tc>
      </w:tr>
      <w:tr w:rsidR="00000000" w14:paraId="3691BE2F" w14:textId="77777777">
        <w:trPr>
          <w:divId w:val="415980837"/>
        </w:trPr>
        <w:tc>
          <w:tcPr>
            <w:tcW w:w="0" w:type="auto"/>
            <w:hideMark/>
          </w:tcPr>
          <w:p w14:paraId="48D53652" w14:textId="77777777" w:rsidR="00000000" w:rsidRDefault="002F725F">
            <w:pPr>
              <w:rPr>
                <w:rFonts w:eastAsia="Times New Roman"/>
                <w:sz w:val="20"/>
                <w:szCs w:val="20"/>
              </w:rPr>
            </w:pPr>
            <w:r>
              <w:rPr>
                <w:rFonts w:eastAsia="Times New Roman"/>
                <w:i/>
                <w:iCs/>
                <w:sz w:val="20"/>
                <w:szCs w:val="20"/>
              </w:rPr>
              <w:t>(US$ in millions)</w:t>
            </w:r>
          </w:p>
        </w:tc>
      </w:tr>
    </w:tbl>
    <w:p w14:paraId="1039D51D"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1343"/>
        <w:gridCol w:w="50"/>
        <w:gridCol w:w="1078"/>
        <w:gridCol w:w="50"/>
        <w:gridCol w:w="1311"/>
        <w:gridCol w:w="50"/>
        <w:gridCol w:w="114"/>
        <w:gridCol w:w="797"/>
        <w:gridCol w:w="50"/>
        <w:gridCol w:w="50"/>
        <w:gridCol w:w="101"/>
        <w:gridCol w:w="642"/>
        <w:gridCol w:w="50"/>
        <w:gridCol w:w="50"/>
        <w:gridCol w:w="101"/>
        <w:gridCol w:w="671"/>
        <w:gridCol w:w="67"/>
        <w:gridCol w:w="50"/>
        <w:gridCol w:w="96"/>
        <w:gridCol w:w="671"/>
        <w:gridCol w:w="167"/>
        <w:gridCol w:w="50"/>
        <w:gridCol w:w="92"/>
        <w:gridCol w:w="642"/>
        <w:gridCol w:w="100"/>
        <w:gridCol w:w="50"/>
        <w:gridCol w:w="96"/>
        <w:gridCol w:w="671"/>
        <w:gridCol w:w="100"/>
      </w:tblGrid>
      <w:tr w:rsidR="00000000" w14:paraId="3869B333" w14:textId="77777777">
        <w:trPr>
          <w:divId w:val="415980837"/>
        </w:trPr>
        <w:tc>
          <w:tcPr>
            <w:tcW w:w="0" w:type="auto"/>
            <w:tcMar>
              <w:top w:w="0" w:type="dxa"/>
              <w:left w:w="0" w:type="dxa"/>
              <w:bottom w:w="30" w:type="dxa"/>
              <w:right w:w="0" w:type="dxa"/>
            </w:tcMar>
            <w:vAlign w:val="bottom"/>
            <w:hideMark/>
          </w:tcPr>
          <w:p w14:paraId="15B16A51"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5248626B"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DF4772A" w14:textId="77777777" w:rsidR="00000000" w:rsidRDefault="002F725F">
            <w:pPr>
              <w:jc w:val="cente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668C6D5B"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44C39DD" w14:textId="77777777" w:rsidR="00000000" w:rsidRDefault="002F725F">
            <w:pPr>
              <w:jc w:val="center"/>
              <w:rPr>
                <w:rFonts w:eastAsia="Times New Roman"/>
                <w:b/>
                <w:bCs/>
                <w:sz w:val="20"/>
                <w:szCs w:val="20"/>
              </w:rPr>
            </w:pPr>
            <w:r>
              <w:rPr>
                <w:rFonts w:eastAsia="Times New Roman"/>
                <w:b/>
                <w:bCs/>
                <w:sz w:val="20"/>
                <w:szCs w:val="20"/>
              </w:rPr>
              <w:t>Acquirer</w:t>
            </w:r>
          </w:p>
        </w:tc>
        <w:tc>
          <w:tcPr>
            <w:tcW w:w="0" w:type="auto"/>
            <w:tcMar>
              <w:top w:w="0" w:type="dxa"/>
              <w:left w:w="0" w:type="dxa"/>
              <w:bottom w:w="30" w:type="dxa"/>
              <w:right w:w="0" w:type="dxa"/>
            </w:tcMar>
            <w:vAlign w:val="bottom"/>
            <w:hideMark/>
          </w:tcPr>
          <w:p w14:paraId="6B54AC26"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vAlign w:val="bottom"/>
            <w:hideMark/>
          </w:tcPr>
          <w:p w14:paraId="2A5D17FB" w14:textId="77777777" w:rsidR="00000000" w:rsidRDefault="002F725F">
            <w:pPr>
              <w:jc w:val="center"/>
              <w:rPr>
                <w:rFonts w:eastAsia="Times New Roman"/>
                <w:b/>
                <w:bCs/>
                <w:sz w:val="20"/>
                <w:szCs w:val="20"/>
              </w:rPr>
            </w:pPr>
            <w:r>
              <w:rPr>
                <w:rFonts w:eastAsia="Times New Roman"/>
                <w:b/>
                <w:bCs/>
                <w:sz w:val="20"/>
                <w:szCs w:val="20"/>
              </w:rPr>
              <w:t>Enterpr</w:t>
            </w:r>
            <w:r>
              <w:rPr>
                <w:rFonts w:eastAsia="Times New Roman"/>
                <w:b/>
                <w:bCs/>
                <w:sz w:val="20"/>
                <w:szCs w:val="20"/>
              </w:rPr>
              <w:t>ise</w:t>
            </w:r>
          </w:p>
        </w:tc>
        <w:tc>
          <w:tcPr>
            <w:tcW w:w="0" w:type="auto"/>
            <w:tcMar>
              <w:top w:w="0" w:type="dxa"/>
              <w:left w:w="0" w:type="dxa"/>
              <w:bottom w:w="30" w:type="dxa"/>
              <w:right w:w="0" w:type="dxa"/>
            </w:tcMar>
            <w:vAlign w:val="bottom"/>
            <w:hideMark/>
          </w:tcPr>
          <w:p w14:paraId="506DBA7F"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1C986A76"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vAlign w:val="bottom"/>
            <w:hideMark/>
          </w:tcPr>
          <w:p w14:paraId="1E38FFEB" w14:textId="77777777" w:rsidR="00000000" w:rsidRDefault="002F725F">
            <w:pPr>
              <w:jc w:val="center"/>
              <w:rPr>
                <w:rFonts w:eastAsia="Times New Roman"/>
                <w:b/>
                <w:bCs/>
                <w:sz w:val="20"/>
                <w:szCs w:val="20"/>
              </w:rPr>
            </w:pPr>
            <w:r>
              <w:rPr>
                <w:rFonts w:eastAsia="Times New Roman"/>
                <w:b/>
                <w:bCs/>
                <w:sz w:val="20"/>
                <w:szCs w:val="20"/>
              </w:rPr>
              <w:t>LTM</w:t>
            </w:r>
          </w:p>
        </w:tc>
        <w:tc>
          <w:tcPr>
            <w:tcW w:w="0" w:type="auto"/>
            <w:tcMar>
              <w:top w:w="0" w:type="dxa"/>
              <w:left w:w="0" w:type="dxa"/>
              <w:bottom w:w="30" w:type="dxa"/>
              <w:right w:w="0" w:type="dxa"/>
            </w:tcMar>
            <w:vAlign w:val="bottom"/>
            <w:hideMark/>
          </w:tcPr>
          <w:p w14:paraId="0BBEA60D"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2BF505BC"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vAlign w:val="bottom"/>
            <w:hideMark/>
          </w:tcPr>
          <w:p w14:paraId="71E9BBEF" w14:textId="77777777" w:rsidR="00000000" w:rsidRDefault="002F725F">
            <w:pPr>
              <w:jc w:val="center"/>
              <w:rPr>
                <w:rFonts w:eastAsia="Times New Roman"/>
                <w:b/>
                <w:bCs/>
                <w:sz w:val="20"/>
                <w:szCs w:val="20"/>
              </w:rPr>
            </w:pPr>
            <w:r>
              <w:rPr>
                <w:rFonts w:eastAsia="Times New Roman"/>
                <w:b/>
                <w:bCs/>
                <w:sz w:val="20"/>
                <w:szCs w:val="20"/>
              </w:rPr>
              <w:t>LTM</w:t>
            </w:r>
          </w:p>
        </w:tc>
        <w:tc>
          <w:tcPr>
            <w:tcW w:w="0" w:type="auto"/>
            <w:tcMar>
              <w:top w:w="0" w:type="dxa"/>
              <w:left w:w="0" w:type="dxa"/>
              <w:bottom w:w="30" w:type="dxa"/>
              <w:right w:w="0" w:type="dxa"/>
            </w:tcMar>
            <w:vAlign w:val="bottom"/>
            <w:hideMark/>
          </w:tcPr>
          <w:p w14:paraId="2EDBBA55"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E88281E"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vAlign w:val="bottom"/>
            <w:hideMark/>
          </w:tcPr>
          <w:p w14:paraId="0877ED8E" w14:textId="77777777" w:rsidR="00000000" w:rsidRDefault="002F725F">
            <w:pPr>
              <w:jc w:val="center"/>
              <w:rPr>
                <w:rFonts w:eastAsia="Times New Roman"/>
                <w:b/>
                <w:bCs/>
                <w:sz w:val="20"/>
                <w:szCs w:val="20"/>
              </w:rPr>
            </w:pPr>
            <w:r>
              <w:rPr>
                <w:rFonts w:eastAsia="Times New Roman"/>
                <w:b/>
                <w:bCs/>
                <w:sz w:val="20"/>
                <w:szCs w:val="20"/>
              </w:rPr>
              <w:t>EBITDA</w:t>
            </w:r>
          </w:p>
        </w:tc>
        <w:tc>
          <w:tcPr>
            <w:tcW w:w="0" w:type="auto"/>
            <w:tcMar>
              <w:top w:w="0" w:type="dxa"/>
              <w:left w:w="0" w:type="dxa"/>
              <w:bottom w:w="30" w:type="dxa"/>
              <w:right w:w="0" w:type="dxa"/>
            </w:tcMar>
            <w:vAlign w:val="bottom"/>
            <w:hideMark/>
          </w:tcPr>
          <w:p w14:paraId="7BE10E37"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03EB4593"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vAlign w:val="bottom"/>
            <w:hideMark/>
          </w:tcPr>
          <w:p w14:paraId="73D8D9F6" w14:textId="77777777" w:rsidR="00000000" w:rsidRDefault="002F725F">
            <w:pPr>
              <w:jc w:val="center"/>
              <w:rPr>
                <w:rFonts w:eastAsia="Times New Roman"/>
                <w:b/>
                <w:bCs/>
                <w:sz w:val="20"/>
                <w:szCs w:val="20"/>
              </w:rPr>
            </w:pPr>
            <w:r>
              <w:rPr>
                <w:rFonts w:eastAsia="Times New Roman"/>
                <w:b/>
                <w:bCs/>
                <w:sz w:val="20"/>
                <w:szCs w:val="20"/>
              </w:rPr>
              <w:t>EV /</w:t>
            </w:r>
          </w:p>
        </w:tc>
        <w:tc>
          <w:tcPr>
            <w:tcW w:w="0" w:type="auto"/>
            <w:tcMar>
              <w:top w:w="0" w:type="dxa"/>
              <w:left w:w="0" w:type="dxa"/>
              <w:bottom w:w="30" w:type="dxa"/>
              <w:right w:w="0" w:type="dxa"/>
            </w:tcMar>
            <w:vAlign w:val="bottom"/>
            <w:hideMark/>
          </w:tcPr>
          <w:p w14:paraId="612EB018"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57268121"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vAlign w:val="bottom"/>
            <w:hideMark/>
          </w:tcPr>
          <w:p w14:paraId="7B34A4DA" w14:textId="77777777" w:rsidR="00000000" w:rsidRDefault="002F725F">
            <w:pPr>
              <w:jc w:val="center"/>
              <w:rPr>
                <w:rFonts w:eastAsia="Times New Roman"/>
                <w:b/>
                <w:bCs/>
                <w:sz w:val="20"/>
                <w:szCs w:val="20"/>
              </w:rPr>
            </w:pPr>
            <w:r>
              <w:rPr>
                <w:rFonts w:eastAsia="Times New Roman"/>
                <w:b/>
                <w:bCs/>
                <w:sz w:val="20"/>
                <w:szCs w:val="20"/>
              </w:rPr>
              <w:t>EV /</w:t>
            </w:r>
          </w:p>
        </w:tc>
        <w:tc>
          <w:tcPr>
            <w:tcW w:w="0" w:type="auto"/>
            <w:tcMar>
              <w:top w:w="0" w:type="dxa"/>
              <w:left w:w="0" w:type="dxa"/>
              <w:bottom w:w="30" w:type="dxa"/>
              <w:right w:w="0" w:type="dxa"/>
            </w:tcMar>
            <w:vAlign w:val="bottom"/>
            <w:hideMark/>
          </w:tcPr>
          <w:p w14:paraId="2DA5458B" w14:textId="77777777" w:rsidR="00000000" w:rsidRDefault="002F725F">
            <w:pPr>
              <w:rPr>
                <w:rFonts w:eastAsia="Times New Roman"/>
                <w:b/>
                <w:bCs/>
                <w:sz w:val="20"/>
                <w:szCs w:val="20"/>
              </w:rPr>
            </w:pPr>
            <w:r>
              <w:rPr>
                <w:rFonts w:eastAsia="Times New Roman"/>
                <w:b/>
                <w:bCs/>
                <w:sz w:val="20"/>
                <w:szCs w:val="20"/>
              </w:rPr>
              <w:t> </w:t>
            </w:r>
          </w:p>
        </w:tc>
      </w:tr>
      <w:tr w:rsidR="00000000" w14:paraId="07B344AA" w14:textId="77777777">
        <w:trPr>
          <w:divId w:val="415980837"/>
        </w:trPr>
        <w:tc>
          <w:tcPr>
            <w:tcW w:w="0" w:type="auto"/>
            <w:tcBorders>
              <w:bottom w:val="single" w:sz="12" w:space="0" w:color="000000"/>
            </w:tcBorders>
            <w:vAlign w:val="bottom"/>
            <w:hideMark/>
          </w:tcPr>
          <w:p w14:paraId="4A0C6CDD" w14:textId="77777777" w:rsidR="00000000" w:rsidRDefault="002F725F">
            <w:pPr>
              <w:rPr>
                <w:rFonts w:eastAsia="Times New Roman"/>
                <w:b/>
                <w:bCs/>
                <w:sz w:val="20"/>
                <w:szCs w:val="20"/>
              </w:rPr>
            </w:pPr>
            <w:r>
              <w:rPr>
                <w:rFonts w:eastAsia="Times New Roman"/>
                <w:b/>
                <w:bCs/>
                <w:sz w:val="20"/>
                <w:szCs w:val="20"/>
              </w:rPr>
              <w:t>Announced</w:t>
            </w:r>
          </w:p>
        </w:tc>
        <w:tc>
          <w:tcPr>
            <w:tcW w:w="0" w:type="auto"/>
            <w:tcMar>
              <w:top w:w="0" w:type="dxa"/>
              <w:left w:w="0" w:type="dxa"/>
              <w:bottom w:w="30" w:type="dxa"/>
              <w:right w:w="0" w:type="dxa"/>
            </w:tcMar>
            <w:vAlign w:val="bottom"/>
            <w:hideMark/>
          </w:tcPr>
          <w:p w14:paraId="59B9431C" w14:textId="77777777" w:rsidR="00000000" w:rsidRDefault="002F725F">
            <w:pPr>
              <w:rPr>
                <w:rFonts w:eastAsia="Times New Roman"/>
                <w:b/>
                <w:bCs/>
                <w:sz w:val="20"/>
                <w:szCs w:val="20"/>
              </w:rPr>
            </w:pPr>
            <w:r>
              <w:rPr>
                <w:rFonts w:eastAsia="Times New Roman"/>
                <w:b/>
                <w:bCs/>
                <w:sz w:val="20"/>
                <w:szCs w:val="20"/>
              </w:rPr>
              <w:t> </w:t>
            </w:r>
          </w:p>
        </w:tc>
        <w:tc>
          <w:tcPr>
            <w:tcW w:w="0" w:type="auto"/>
            <w:tcBorders>
              <w:bottom w:val="single" w:sz="12" w:space="0" w:color="000000"/>
            </w:tcBorders>
            <w:vAlign w:val="bottom"/>
            <w:hideMark/>
          </w:tcPr>
          <w:p w14:paraId="3350676F" w14:textId="77777777" w:rsidR="00000000" w:rsidRDefault="002F725F">
            <w:pPr>
              <w:jc w:val="center"/>
              <w:rPr>
                <w:rFonts w:eastAsia="Times New Roman"/>
                <w:b/>
                <w:bCs/>
                <w:sz w:val="20"/>
                <w:szCs w:val="20"/>
              </w:rPr>
            </w:pPr>
            <w:r>
              <w:rPr>
                <w:rFonts w:eastAsia="Times New Roman"/>
                <w:b/>
                <w:bCs/>
                <w:sz w:val="20"/>
                <w:szCs w:val="20"/>
              </w:rPr>
              <w:t>Target Name</w:t>
            </w:r>
          </w:p>
        </w:tc>
        <w:tc>
          <w:tcPr>
            <w:tcW w:w="0" w:type="auto"/>
            <w:tcMar>
              <w:top w:w="0" w:type="dxa"/>
              <w:left w:w="0" w:type="dxa"/>
              <w:bottom w:w="30" w:type="dxa"/>
              <w:right w:w="0" w:type="dxa"/>
            </w:tcMar>
            <w:vAlign w:val="bottom"/>
            <w:hideMark/>
          </w:tcPr>
          <w:p w14:paraId="2E9CD422" w14:textId="77777777" w:rsidR="00000000" w:rsidRDefault="002F725F">
            <w:pPr>
              <w:rPr>
                <w:rFonts w:eastAsia="Times New Roman"/>
                <w:b/>
                <w:bCs/>
                <w:sz w:val="20"/>
                <w:szCs w:val="20"/>
              </w:rPr>
            </w:pPr>
            <w:r>
              <w:rPr>
                <w:rFonts w:eastAsia="Times New Roman"/>
                <w:b/>
                <w:bCs/>
                <w:sz w:val="20"/>
                <w:szCs w:val="20"/>
              </w:rPr>
              <w:t> </w:t>
            </w:r>
          </w:p>
        </w:tc>
        <w:tc>
          <w:tcPr>
            <w:tcW w:w="0" w:type="auto"/>
            <w:tcBorders>
              <w:bottom w:val="single" w:sz="12" w:space="0" w:color="000000"/>
            </w:tcBorders>
            <w:vAlign w:val="bottom"/>
            <w:hideMark/>
          </w:tcPr>
          <w:p w14:paraId="5182E8C7" w14:textId="77777777" w:rsidR="00000000" w:rsidRDefault="002F725F">
            <w:pPr>
              <w:jc w:val="center"/>
              <w:rPr>
                <w:rFonts w:eastAsia="Times New Roman"/>
                <w:b/>
                <w:bCs/>
                <w:sz w:val="20"/>
                <w:szCs w:val="20"/>
              </w:rPr>
            </w:pPr>
            <w:r>
              <w:rPr>
                <w:rFonts w:eastAsia="Times New Roman"/>
                <w:b/>
                <w:bCs/>
                <w:sz w:val="20"/>
                <w:szCs w:val="20"/>
              </w:rPr>
              <w:t>Name</w:t>
            </w:r>
          </w:p>
        </w:tc>
        <w:tc>
          <w:tcPr>
            <w:tcW w:w="0" w:type="auto"/>
            <w:tcMar>
              <w:top w:w="0" w:type="dxa"/>
              <w:left w:w="0" w:type="dxa"/>
              <w:bottom w:w="30" w:type="dxa"/>
              <w:right w:w="0" w:type="dxa"/>
            </w:tcMar>
            <w:vAlign w:val="bottom"/>
            <w:hideMark/>
          </w:tcPr>
          <w:p w14:paraId="2628FEA0"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0DBCFBEC" w14:textId="77777777" w:rsidR="00000000" w:rsidRDefault="002F725F">
            <w:pPr>
              <w:jc w:val="center"/>
              <w:rPr>
                <w:rFonts w:eastAsia="Times New Roman"/>
                <w:b/>
                <w:bCs/>
                <w:sz w:val="20"/>
                <w:szCs w:val="20"/>
              </w:rPr>
            </w:pPr>
            <w:r>
              <w:rPr>
                <w:rFonts w:eastAsia="Times New Roman"/>
                <w:b/>
                <w:bCs/>
                <w:sz w:val="20"/>
                <w:szCs w:val="20"/>
              </w:rPr>
              <w:t>Value</w:t>
            </w:r>
          </w:p>
        </w:tc>
        <w:tc>
          <w:tcPr>
            <w:tcW w:w="0" w:type="auto"/>
            <w:tcMar>
              <w:top w:w="0" w:type="dxa"/>
              <w:left w:w="0" w:type="dxa"/>
              <w:bottom w:w="30" w:type="dxa"/>
              <w:right w:w="0" w:type="dxa"/>
            </w:tcMar>
            <w:vAlign w:val="bottom"/>
            <w:hideMark/>
          </w:tcPr>
          <w:p w14:paraId="26193E44"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1766CA7"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2733141E" w14:textId="77777777" w:rsidR="00000000" w:rsidRDefault="002F725F">
            <w:pPr>
              <w:jc w:val="center"/>
              <w:rPr>
                <w:rFonts w:eastAsia="Times New Roman"/>
                <w:b/>
                <w:bCs/>
                <w:sz w:val="20"/>
                <w:szCs w:val="20"/>
              </w:rPr>
            </w:pPr>
            <w:r>
              <w:rPr>
                <w:rFonts w:eastAsia="Times New Roman"/>
                <w:b/>
                <w:bCs/>
                <w:sz w:val="20"/>
                <w:szCs w:val="20"/>
              </w:rPr>
              <w:t>Revenue</w:t>
            </w:r>
          </w:p>
        </w:tc>
        <w:tc>
          <w:tcPr>
            <w:tcW w:w="0" w:type="auto"/>
            <w:tcMar>
              <w:top w:w="0" w:type="dxa"/>
              <w:left w:w="0" w:type="dxa"/>
              <w:bottom w:w="30" w:type="dxa"/>
              <w:right w:w="0" w:type="dxa"/>
            </w:tcMar>
            <w:vAlign w:val="bottom"/>
            <w:hideMark/>
          </w:tcPr>
          <w:p w14:paraId="6D978761"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69319530"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2E354381" w14:textId="77777777" w:rsidR="00000000" w:rsidRDefault="002F725F">
            <w:pPr>
              <w:jc w:val="center"/>
              <w:rPr>
                <w:rFonts w:eastAsia="Times New Roman"/>
                <w:b/>
                <w:bCs/>
                <w:sz w:val="20"/>
                <w:szCs w:val="20"/>
              </w:rPr>
            </w:pPr>
            <w:r>
              <w:rPr>
                <w:rFonts w:eastAsia="Times New Roman"/>
                <w:b/>
                <w:bCs/>
                <w:sz w:val="20"/>
                <w:szCs w:val="20"/>
              </w:rPr>
              <w:t>EBITDA</w:t>
            </w:r>
          </w:p>
        </w:tc>
        <w:tc>
          <w:tcPr>
            <w:tcW w:w="0" w:type="auto"/>
            <w:tcMar>
              <w:top w:w="0" w:type="dxa"/>
              <w:left w:w="0" w:type="dxa"/>
              <w:bottom w:w="30" w:type="dxa"/>
              <w:right w:w="0" w:type="dxa"/>
            </w:tcMar>
            <w:vAlign w:val="bottom"/>
            <w:hideMark/>
          </w:tcPr>
          <w:p w14:paraId="4C6B8960"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5481F5B9"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8BCAFD9" w14:textId="77777777" w:rsidR="00000000" w:rsidRDefault="002F725F">
            <w:pPr>
              <w:jc w:val="center"/>
              <w:rPr>
                <w:rFonts w:eastAsia="Times New Roman"/>
                <w:b/>
                <w:bCs/>
                <w:sz w:val="20"/>
                <w:szCs w:val="20"/>
              </w:rPr>
            </w:pPr>
            <w:r>
              <w:rPr>
                <w:rFonts w:eastAsia="Times New Roman"/>
                <w:b/>
                <w:bCs/>
                <w:sz w:val="20"/>
                <w:szCs w:val="20"/>
              </w:rPr>
              <w:t>Margin</w:t>
            </w:r>
          </w:p>
        </w:tc>
        <w:tc>
          <w:tcPr>
            <w:tcW w:w="0" w:type="auto"/>
            <w:tcMar>
              <w:top w:w="0" w:type="dxa"/>
              <w:left w:w="0" w:type="dxa"/>
              <w:bottom w:w="30" w:type="dxa"/>
              <w:right w:w="0" w:type="dxa"/>
            </w:tcMar>
            <w:vAlign w:val="bottom"/>
            <w:hideMark/>
          </w:tcPr>
          <w:p w14:paraId="19B2D20E"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7C311BBA"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0301BB11" w14:textId="77777777" w:rsidR="00000000" w:rsidRDefault="002F725F">
            <w:pPr>
              <w:jc w:val="center"/>
              <w:rPr>
                <w:rFonts w:eastAsia="Times New Roman"/>
                <w:b/>
                <w:bCs/>
                <w:sz w:val="20"/>
                <w:szCs w:val="20"/>
              </w:rPr>
            </w:pPr>
            <w:r>
              <w:rPr>
                <w:rFonts w:eastAsia="Times New Roman"/>
                <w:b/>
                <w:bCs/>
                <w:sz w:val="20"/>
                <w:szCs w:val="20"/>
              </w:rPr>
              <w:t>Revenue</w:t>
            </w:r>
          </w:p>
        </w:tc>
        <w:tc>
          <w:tcPr>
            <w:tcW w:w="0" w:type="auto"/>
            <w:tcMar>
              <w:top w:w="0" w:type="dxa"/>
              <w:left w:w="0" w:type="dxa"/>
              <w:bottom w:w="30" w:type="dxa"/>
              <w:right w:w="0" w:type="dxa"/>
            </w:tcMar>
            <w:vAlign w:val="bottom"/>
            <w:hideMark/>
          </w:tcPr>
          <w:p w14:paraId="74721E77"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5907AA46"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61C37B1" w14:textId="77777777" w:rsidR="00000000" w:rsidRDefault="002F725F">
            <w:pPr>
              <w:jc w:val="center"/>
              <w:rPr>
                <w:rFonts w:eastAsia="Times New Roman"/>
                <w:b/>
                <w:bCs/>
                <w:sz w:val="20"/>
                <w:szCs w:val="20"/>
              </w:rPr>
            </w:pPr>
            <w:r>
              <w:rPr>
                <w:rFonts w:eastAsia="Times New Roman"/>
                <w:b/>
                <w:bCs/>
                <w:sz w:val="20"/>
                <w:szCs w:val="20"/>
              </w:rPr>
              <w:t>EBITDA</w:t>
            </w:r>
          </w:p>
        </w:tc>
        <w:tc>
          <w:tcPr>
            <w:tcW w:w="0" w:type="auto"/>
            <w:tcMar>
              <w:top w:w="0" w:type="dxa"/>
              <w:left w:w="0" w:type="dxa"/>
              <w:bottom w:w="30" w:type="dxa"/>
              <w:right w:w="0" w:type="dxa"/>
            </w:tcMar>
            <w:vAlign w:val="bottom"/>
            <w:hideMark/>
          </w:tcPr>
          <w:p w14:paraId="5391493B" w14:textId="77777777" w:rsidR="00000000" w:rsidRDefault="002F725F">
            <w:pPr>
              <w:rPr>
                <w:rFonts w:eastAsia="Times New Roman"/>
                <w:b/>
                <w:bCs/>
                <w:sz w:val="20"/>
                <w:szCs w:val="20"/>
              </w:rPr>
            </w:pPr>
            <w:r>
              <w:rPr>
                <w:rFonts w:eastAsia="Times New Roman"/>
                <w:b/>
                <w:bCs/>
                <w:sz w:val="20"/>
                <w:szCs w:val="20"/>
              </w:rPr>
              <w:t> </w:t>
            </w:r>
          </w:p>
        </w:tc>
      </w:tr>
      <w:tr w:rsidR="002F725F" w14:paraId="25DA8D69" w14:textId="77777777">
        <w:trPr>
          <w:divId w:val="415980837"/>
        </w:trPr>
        <w:tc>
          <w:tcPr>
            <w:tcW w:w="1000" w:type="pct"/>
            <w:shd w:val="clear" w:color="auto" w:fill="CCEEFF"/>
            <w:tcMar>
              <w:top w:w="0" w:type="dxa"/>
              <w:left w:w="0" w:type="dxa"/>
              <w:bottom w:w="30" w:type="dxa"/>
              <w:right w:w="0" w:type="dxa"/>
            </w:tcMar>
            <w:vAlign w:val="bottom"/>
            <w:hideMark/>
          </w:tcPr>
          <w:p w14:paraId="035DD446" w14:textId="77777777" w:rsidR="00000000" w:rsidRDefault="002F725F">
            <w:pPr>
              <w:rPr>
                <w:rFonts w:eastAsia="Times New Roman"/>
                <w:sz w:val="20"/>
                <w:szCs w:val="20"/>
              </w:rPr>
            </w:pPr>
            <w:r>
              <w:rPr>
                <w:rFonts w:eastAsia="Times New Roman"/>
                <w:sz w:val="20"/>
                <w:szCs w:val="20"/>
              </w:rPr>
              <w:t>12/23/2025</w:t>
            </w:r>
          </w:p>
        </w:tc>
        <w:tc>
          <w:tcPr>
            <w:tcW w:w="50" w:type="pct"/>
            <w:shd w:val="clear" w:color="auto" w:fill="CCEEFF"/>
            <w:tcMar>
              <w:top w:w="0" w:type="dxa"/>
              <w:left w:w="0" w:type="dxa"/>
              <w:bottom w:w="30" w:type="dxa"/>
              <w:right w:w="0" w:type="dxa"/>
            </w:tcMar>
            <w:vAlign w:val="bottom"/>
            <w:hideMark/>
          </w:tcPr>
          <w:p w14:paraId="41A542D8"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CCEEFF"/>
            <w:tcMar>
              <w:top w:w="0" w:type="dxa"/>
              <w:left w:w="0" w:type="dxa"/>
              <w:bottom w:w="30" w:type="dxa"/>
              <w:right w:w="0" w:type="dxa"/>
            </w:tcMar>
            <w:vAlign w:val="bottom"/>
            <w:hideMark/>
          </w:tcPr>
          <w:p w14:paraId="7C0221E5" w14:textId="77777777" w:rsidR="00000000" w:rsidRDefault="002F725F">
            <w:pPr>
              <w:rPr>
                <w:rFonts w:eastAsia="Times New Roman"/>
                <w:sz w:val="20"/>
                <w:szCs w:val="20"/>
              </w:rPr>
            </w:pPr>
            <w:r>
              <w:rPr>
                <w:rFonts w:eastAsia="Times New Roman"/>
                <w:sz w:val="20"/>
                <w:szCs w:val="20"/>
              </w:rPr>
              <w:t>Dynavax Technologies Corporation</w:t>
            </w:r>
          </w:p>
        </w:tc>
        <w:tc>
          <w:tcPr>
            <w:tcW w:w="50" w:type="pct"/>
            <w:shd w:val="clear" w:color="auto" w:fill="CCEEFF"/>
            <w:tcMar>
              <w:top w:w="0" w:type="dxa"/>
              <w:left w:w="0" w:type="dxa"/>
              <w:bottom w:w="30" w:type="dxa"/>
              <w:right w:w="0" w:type="dxa"/>
            </w:tcMar>
            <w:vAlign w:val="bottom"/>
            <w:hideMark/>
          </w:tcPr>
          <w:p w14:paraId="78DB4EB1"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CCEEFF"/>
            <w:tcMar>
              <w:top w:w="0" w:type="dxa"/>
              <w:left w:w="0" w:type="dxa"/>
              <w:bottom w:w="30" w:type="dxa"/>
              <w:right w:w="0" w:type="dxa"/>
            </w:tcMar>
            <w:vAlign w:val="bottom"/>
            <w:hideMark/>
          </w:tcPr>
          <w:p w14:paraId="1066C9ED" w14:textId="77777777" w:rsidR="00000000" w:rsidRDefault="002F725F">
            <w:pPr>
              <w:rPr>
                <w:rFonts w:eastAsia="Times New Roman"/>
                <w:sz w:val="20"/>
                <w:szCs w:val="20"/>
              </w:rPr>
            </w:pPr>
            <w:r>
              <w:rPr>
                <w:rFonts w:eastAsia="Times New Roman"/>
                <w:sz w:val="20"/>
                <w:szCs w:val="20"/>
              </w:rPr>
              <w:t>Sanofi</w:t>
            </w:r>
          </w:p>
        </w:tc>
        <w:tc>
          <w:tcPr>
            <w:tcW w:w="50" w:type="pct"/>
            <w:shd w:val="clear" w:color="auto" w:fill="CCEEFF"/>
            <w:tcMar>
              <w:top w:w="0" w:type="dxa"/>
              <w:left w:w="0" w:type="dxa"/>
              <w:bottom w:w="30" w:type="dxa"/>
              <w:right w:w="0" w:type="dxa"/>
            </w:tcMar>
            <w:vAlign w:val="bottom"/>
            <w:hideMark/>
          </w:tcPr>
          <w:p w14:paraId="525D32AF" w14:textId="77777777" w:rsidR="00000000" w:rsidRDefault="002F725F">
            <w:pPr>
              <w:rPr>
                <w:rFonts w:eastAsia="Times New Roman"/>
                <w:sz w:val="20"/>
                <w:szCs w:val="20"/>
              </w:rPr>
            </w:pPr>
            <w:r>
              <w:rPr>
                <w:rFonts w:eastAsia="Times New Roman"/>
                <w:sz w:val="20"/>
                <w:szCs w:val="20"/>
              </w:rPr>
              <w:t> </w:t>
            </w:r>
          </w:p>
        </w:tc>
        <w:tc>
          <w:tcPr>
            <w:tcW w:w="50" w:type="pct"/>
            <w:tcBorders>
              <w:bottom w:val="single" w:sz="12" w:space="0" w:color="000000"/>
            </w:tcBorders>
            <w:shd w:val="clear" w:color="auto" w:fill="CCEEFF"/>
            <w:vAlign w:val="bottom"/>
            <w:hideMark/>
          </w:tcPr>
          <w:p w14:paraId="5C6E3625" w14:textId="77777777" w:rsidR="00000000" w:rsidRDefault="002F725F">
            <w:pPr>
              <w:rPr>
                <w:rFonts w:eastAsia="Times New Roman"/>
                <w:sz w:val="20"/>
                <w:szCs w:val="20"/>
              </w:rPr>
            </w:pPr>
            <w:r>
              <w:rPr>
                <w:rFonts w:eastAsia="Times New Roman"/>
                <w:sz w:val="20"/>
                <w:szCs w:val="20"/>
              </w:rPr>
              <w:t>$</w:t>
            </w:r>
          </w:p>
        </w:tc>
        <w:tc>
          <w:tcPr>
            <w:tcW w:w="350" w:type="pct"/>
            <w:tcBorders>
              <w:bottom w:val="single" w:sz="12" w:space="0" w:color="000000"/>
            </w:tcBorders>
            <w:shd w:val="clear" w:color="auto" w:fill="CCEEFF"/>
            <w:vAlign w:val="bottom"/>
            <w:hideMark/>
          </w:tcPr>
          <w:p w14:paraId="0B2009BA" w14:textId="77777777" w:rsidR="00000000" w:rsidRDefault="002F725F">
            <w:pPr>
              <w:jc w:val="right"/>
              <w:rPr>
                <w:rFonts w:eastAsia="Times New Roman"/>
                <w:sz w:val="20"/>
                <w:szCs w:val="20"/>
              </w:rPr>
            </w:pPr>
            <w:r>
              <w:rPr>
                <w:rFonts w:eastAsia="Times New Roman"/>
                <w:sz w:val="20"/>
                <w:szCs w:val="20"/>
              </w:rPr>
              <w:t>1,539</w:t>
            </w:r>
          </w:p>
        </w:tc>
        <w:tc>
          <w:tcPr>
            <w:tcW w:w="50" w:type="pct"/>
            <w:shd w:val="clear" w:color="auto" w:fill="CCEEFF"/>
            <w:tcMar>
              <w:top w:w="0" w:type="dxa"/>
              <w:left w:w="0" w:type="dxa"/>
              <w:bottom w:w="30" w:type="dxa"/>
              <w:right w:w="0" w:type="dxa"/>
            </w:tcMar>
            <w:vAlign w:val="bottom"/>
            <w:hideMark/>
          </w:tcPr>
          <w:p w14:paraId="6721E7B4"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tcMar>
              <w:top w:w="0" w:type="dxa"/>
              <w:left w:w="0" w:type="dxa"/>
              <w:bottom w:w="30" w:type="dxa"/>
              <w:right w:w="0" w:type="dxa"/>
            </w:tcMar>
            <w:vAlign w:val="bottom"/>
            <w:hideMark/>
          </w:tcPr>
          <w:p w14:paraId="1AC2DB01" w14:textId="77777777" w:rsidR="00000000" w:rsidRDefault="002F725F">
            <w:pPr>
              <w:rPr>
                <w:rFonts w:eastAsia="Times New Roman"/>
                <w:sz w:val="20"/>
                <w:szCs w:val="20"/>
              </w:rPr>
            </w:pPr>
            <w:r>
              <w:rPr>
                <w:rFonts w:eastAsia="Times New Roman"/>
                <w:sz w:val="20"/>
                <w:szCs w:val="20"/>
              </w:rPr>
              <w:t> </w:t>
            </w:r>
          </w:p>
        </w:tc>
        <w:tc>
          <w:tcPr>
            <w:tcW w:w="50" w:type="pct"/>
            <w:tcBorders>
              <w:bottom w:val="single" w:sz="12" w:space="0" w:color="000000"/>
            </w:tcBorders>
            <w:shd w:val="clear" w:color="auto" w:fill="CCEEFF"/>
            <w:vAlign w:val="bottom"/>
            <w:hideMark/>
          </w:tcPr>
          <w:p w14:paraId="40587D72" w14:textId="77777777" w:rsidR="00000000" w:rsidRDefault="002F725F">
            <w:pPr>
              <w:rPr>
                <w:rFonts w:eastAsia="Times New Roman"/>
                <w:sz w:val="20"/>
                <w:szCs w:val="20"/>
              </w:rPr>
            </w:pPr>
            <w:r>
              <w:rPr>
                <w:rFonts w:eastAsia="Times New Roman"/>
                <w:sz w:val="20"/>
                <w:szCs w:val="20"/>
              </w:rPr>
              <w:t>$</w:t>
            </w:r>
          </w:p>
        </w:tc>
        <w:tc>
          <w:tcPr>
            <w:tcW w:w="350" w:type="pct"/>
            <w:tcBorders>
              <w:bottom w:val="single" w:sz="12" w:space="0" w:color="000000"/>
            </w:tcBorders>
            <w:shd w:val="clear" w:color="auto" w:fill="CCEEFF"/>
            <w:vAlign w:val="bottom"/>
            <w:hideMark/>
          </w:tcPr>
          <w:p w14:paraId="1DD14E37" w14:textId="77777777" w:rsidR="00000000" w:rsidRDefault="002F725F">
            <w:pPr>
              <w:jc w:val="right"/>
              <w:rPr>
                <w:rFonts w:eastAsia="Times New Roman"/>
                <w:sz w:val="20"/>
                <w:szCs w:val="20"/>
              </w:rPr>
            </w:pPr>
            <w:r>
              <w:rPr>
                <w:rFonts w:eastAsia="Times New Roman"/>
                <w:sz w:val="20"/>
                <w:szCs w:val="20"/>
              </w:rPr>
              <w:t>331</w:t>
            </w:r>
          </w:p>
        </w:tc>
        <w:tc>
          <w:tcPr>
            <w:tcW w:w="50" w:type="pct"/>
            <w:shd w:val="clear" w:color="auto" w:fill="CCEEFF"/>
            <w:tcMar>
              <w:top w:w="0" w:type="dxa"/>
              <w:left w:w="0" w:type="dxa"/>
              <w:bottom w:w="30" w:type="dxa"/>
              <w:right w:w="0" w:type="dxa"/>
            </w:tcMar>
            <w:vAlign w:val="bottom"/>
            <w:hideMark/>
          </w:tcPr>
          <w:p w14:paraId="01B2589E"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tcMar>
              <w:top w:w="0" w:type="dxa"/>
              <w:left w:w="0" w:type="dxa"/>
              <w:bottom w:w="30" w:type="dxa"/>
              <w:right w:w="0" w:type="dxa"/>
            </w:tcMar>
            <w:vAlign w:val="bottom"/>
            <w:hideMark/>
          </w:tcPr>
          <w:p w14:paraId="31FE6790" w14:textId="77777777" w:rsidR="00000000" w:rsidRDefault="002F725F">
            <w:pPr>
              <w:rPr>
                <w:rFonts w:eastAsia="Times New Roman"/>
                <w:sz w:val="20"/>
                <w:szCs w:val="20"/>
              </w:rPr>
            </w:pPr>
            <w:r>
              <w:rPr>
                <w:rFonts w:eastAsia="Times New Roman"/>
                <w:sz w:val="20"/>
                <w:szCs w:val="20"/>
              </w:rPr>
              <w:t> </w:t>
            </w:r>
          </w:p>
        </w:tc>
        <w:tc>
          <w:tcPr>
            <w:tcW w:w="50" w:type="pct"/>
            <w:tcBorders>
              <w:bottom w:val="single" w:sz="12" w:space="0" w:color="000000"/>
            </w:tcBorders>
            <w:shd w:val="clear" w:color="auto" w:fill="CCEEFF"/>
            <w:vAlign w:val="bottom"/>
            <w:hideMark/>
          </w:tcPr>
          <w:p w14:paraId="07D7C1B4" w14:textId="77777777" w:rsidR="00000000" w:rsidRDefault="002F725F">
            <w:pPr>
              <w:rPr>
                <w:rFonts w:eastAsia="Times New Roman"/>
                <w:sz w:val="20"/>
                <w:szCs w:val="20"/>
              </w:rPr>
            </w:pPr>
            <w:r>
              <w:rPr>
                <w:rFonts w:eastAsia="Times New Roman"/>
                <w:sz w:val="20"/>
                <w:szCs w:val="20"/>
              </w:rPr>
              <w:t>$</w:t>
            </w:r>
          </w:p>
        </w:tc>
        <w:tc>
          <w:tcPr>
            <w:tcW w:w="350" w:type="pct"/>
            <w:tcBorders>
              <w:bottom w:val="single" w:sz="12" w:space="0" w:color="000000"/>
            </w:tcBorders>
            <w:shd w:val="clear" w:color="auto" w:fill="CCEEFF"/>
            <w:vAlign w:val="bottom"/>
            <w:hideMark/>
          </w:tcPr>
          <w:p w14:paraId="7B2EDE52" w14:textId="77777777" w:rsidR="00000000" w:rsidRDefault="002F725F">
            <w:pPr>
              <w:jc w:val="right"/>
              <w:rPr>
                <w:rFonts w:eastAsia="Times New Roman"/>
                <w:sz w:val="20"/>
                <w:szCs w:val="20"/>
              </w:rPr>
            </w:pPr>
            <w:r>
              <w:rPr>
                <w:rFonts w:eastAsia="Times New Roman"/>
                <w:sz w:val="20"/>
                <w:szCs w:val="20"/>
              </w:rPr>
              <w:t>24</w:t>
            </w:r>
          </w:p>
        </w:tc>
        <w:tc>
          <w:tcPr>
            <w:tcW w:w="50" w:type="pct"/>
            <w:shd w:val="clear" w:color="auto" w:fill="CCEEFF"/>
            <w:tcMar>
              <w:top w:w="0" w:type="dxa"/>
              <w:left w:w="0" w:type="dxa"/>
              <w:bottom w:w="30" w:type="dxa"/>
              <w:right w:w="0" w:type="dxa"/>
            </w:tcMar>
            <w:vAlign w:val="bottom"/>
            <w:hideMark/>
          </w:tcPr>
          <w:p w14:paraId="5013D803"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tcMar>
              <w:top w:w="0" w:type="dxa"/>
              <w:left w:w="0" w:type="dxa"/>
              <w:bottom w:w="30" w:type="dxa"/>
              <w:right w:w="0" w:type="dxa"/>
            </w:tcMar>
            <w:vAlign w:val="bottom"/>
            <w:hideMark/>
          </w:tcPr>
          <w:p w14:paraId="2452DE68" w14:textId="77777777" w:rsidR="00000000" w:rsidRDefault="002F725F">
            <w:pPr>
              <w:rPr>
                <w:rFonts w:eastAsia="Times New Roman"/>
                <w:sz w:val="20"/>
                <w:szCs w:val="20"/>
              </w:rPr>
            </w:pPr>
            <w:r>
              <w:rPr>
                <w:rFonts w:eastAsia="Times New Roman"/>
                <w:sz w:val="20"/>
                <w:szCs w:val="20"/>
              </w:rPr>
              <w:t> </w:t>
            </w:r>
          </w:p>
        </w:tc>
        <w:tc>
          <w:tcPr>
            <w:tcW w:w="50" w:type="pct"/>
            <w:tcBorders>
              <w:bottom w:val="single" w:sz="12" w:space="0" w:color="000000"/>
            </w:tcBorders>
            <w:shd w:val="clear" w:color="auto" w:fill="CCEEFF"/>
            <w:vAlign w:val="bottom"/>
            <w:hideMark/>
          </w:tcPr>
          <w:p w14:paraId="1A2B042A" w14:textId="77777777" w:rsidR="00000000" w:rsidRDefault="002F725F">
            <w:pPr>
              <w:rPr>
                <w:rFonts w:eastAsia="Times New Roman"/>
                <w:sz w:val="20"/>
                <w:szCs w:val="20"/>
              </w:rPr>
            </w:pPr>
            <w:r>
              <w:rPr>
                <w:rFonts w:eastAsia="Times New Roman"/>
                <w:sz w:val="20"/>
                <w:szCs w:val="20"/>
              </w:rPr>
              <w:t> </w:t>
            </w:r>
          </w:p>
        </w:tc>
        <w:tc>
          <w:tcPr>
            <w:tcW w:w="350" w:type="pct"/>
            <w:tcBorders>
              <w:bottom w:val="single" w:sz="12" w:space="0" w:color="000000"/>
            </w:tcBorders>
            <w:shd w:val="clear" w:color="auto" w:fill="CCEEFF"/>
            <w:vAlign w:val="bottom"/>
            <w:hideMark/>
          </w:tcPr>
          <w:p w14:paraId="7F4B8490" w14:textId="77777777" w:rsidR="00000000" w:rsidRDefault="002F725F">
            <w:pPr>
              <w:jc w:val="right"/>
              <w:rPr>
                <w:rFonts w:eastAsia="Times New Roman"/>
                <w:sz w:val="20"/>
                <w:szCs w:val="20"/>
              </w:rPr>
            </w:pPr>
            <w:r>
              <w:rPr>
                <w:rFonts w:eastAsia="Times New Roman"/>
                <w:sz w:val="20"/>
                <w:szCs w:val="20"/>
              </w:rPr>
              <w:t>7.3</w:t>
            </w:r>
          </w:p>
        </w:tc>
        <w:tc>
          <w:tcPr>
            <w:tcW w:w="50" w:type="pct"/>
            <w:shd w:val="clear" w:color="auto" w:fill="CCEEFF"/>
            <w:tcMar>
              <w:top w:w="0" w:type="dxa"/>
              <w:left w:w="0" w:type="dxa"/>
              <w:bottom w:w="30" w:type="dxa"/>
              <w:right w:w="0" w:type="dxa"/>
            </w:tcMar>
            <w:vAlign w:val="bottom"/>
            <w:hideMark/>
          </w:tcPr>
          <w:p w14:paraId="0F298931" w14:textId="77777777" w:rsidR="00000000" w:rsidRDefault="002F725F">
            <w:pPr>
              <w:rPr>
                <w:rFonts w:eastAsia="Times New Roman"/>
                <w:sz w:val="20"/>
                <w:szCs w:val="20"/>
              </w:rPr>
            </w:pPr>
            <w:r>
              <w:rPr>
                <w:rFonts w:eastAsia="Times New Roman"/>
                <w:sz w:val="20"/>
                <w:szCs w:val="20"/>
              </w:rPr>
              <w:t>%</w:t>
            </w:r>
          </w:p>
        </w:tc>
        <w:tc>
          <w:tcPr>
            <w:tcW w:w="50" w:type="pct"/>
            <w:shd w:val="clear" w:color="auto" w:fill="CCEEFF"/>
            <w:tcMar>
              <w:top w:w="0" w:type="dxa"/>
              <w:left w:w="0" w:type="dxa"/>
              <w:bottom w:w="30" w:type="dxa"/>
              <w:right w:w="0" w:type="dxa"/>
            </w:tcMar>
            <w:vAlign w:val="bottom"/>
            <w:hideMark/>
          </w:tcPr>
          <w:p w14:paraId="4780E076" w14:textId="77777777" w:rsidR="00000000" w:rsidRDefault="002F725F">
            <w:pPr>
              <w:rPr>
                <w:rFonts w:eastAsia="Times New Roman"/>
                <w:sz w:val="20"/>
                <w:szCs w:val="20"/>
              </w:rPr>
            </w:pPr>
            <w:r>
              <w:rPr>
                <w:rFonts w:eastAsia="Times New Roman"/>
                <w:sz w:val="20"/>
                <w:szCs w:val="20"/>
              </w:rPr>
              <w:t> </w:t>
            </w:r>
          </w:p>
        </w:tc>
        <w:tc>
          <w:tcPr>
            <w:tcW w:w="50" w:type="pct"/>
            <w:tcBorders>
              <w:bottom w:val="single" w:sz="12" w:space="0" w:color="000000"/>
            </w:tcBorders>
            <w:shd w:val="clear" w:color="auto" w:fill="CCEEFF"/>
            <w:vAlign w:val="bottom"/>
            <w:hideMark/>
          </w:tcPr>
          <w:p w14:paraId="362FE988" w14:textId="77777777" w:rsidR="00000000" w:rsidRDefault="002F725F">
            <w:pPr>
              <w:rPr>
                <w:rFonts w:eastAsia="Times New Roman"/>
                <w:sz w:val="20"/>
                <w:szCs w:val="20"/>
              </w:rPr>
            </w:pPr>
            <w:r>
              <w:rPr>
                <w:rFonts w:eastAsia="Times New Roman"/>
                <w:sz w:val="20"/>
                <w:szCs w:val="20"/>
              </w:rPr>
              <w:t> </w:t>
            </w:r>
          </w:p>
        </w:tc>
        <w:tc>
          <w:tcPr>
            <w:tcW w:w="350" w:type="pct"/>
            <w:tcBorders>
              <w:bottom w:val="single" w:sz="12" w:space="0" w:color="000000"/>
            </w:tcBorders>
            <w:shd w:val="clear" w:color="auto" w:fill="CCEEFF"/>
            <w:vAlign w:val="bottom"/>
            <w:hideMark/>
          </w:tcPr>
          <w:p w14:paraId="671ED800" w14:textId="77777777" w:rsidR="00000000" w:rsidRDefault="002F725F">
            <w:pPr>
              <w:jc w:val="right"/>
              <w:rPr>
                <w:rFonts w:eastAsia="Times New Roman"/>
                <w:sz w:val="20"/>
                <w:szCs w:val="20"/>
              </w:rPr>
            </w:pPr>
            <w:r>
              <w:rPr>
                <w:rFonts w:eastAsia="Times New Roman"/>
                <w:sz w:val="20"/>
                <w:szCs w:val="20"/>
              </w:rPr>
              <w:t>4.66</w:t>
            </w:r>
          </w:p>
        </w:tc>
        <w:tc>
          <w:tcPr>
            <w:tcW w:w="50" w:type="pct"/>
            <w:shd w:val="clear" w:color="auto" w:fill="CCEEFF"/>
            <w:tcMar>
              <w:top w:w="0" w:type="dxa"/>
              <w:left w:w="0" w:type="dxa"/>
              <w:bottom w:w="30" w:type="dxa"/>
              <w:right w:w="0" w:type="dxa"/>
            </w:tcMar>
            <w:vAlign w:val="bottom"/>
            <w:hideMark/>
          </w:tcPr>
          <w:p w14:paraId="255170C9" w14:textId="77777777" w:rsidR="00000000" w:rsidRDefault="002F725F">
            <w:pPr>
              <w:rPr>
                <w:rFonts w:eastAsia="Times New Roman"/>
                <w:sz w:val="20"/>
                <w:szCs w:val="20"/>
              </w:rPr>
            </w:pPr>
            <w:r>
              <w:rPr>
                <w:rFonts w:eastAsia="Times New Roman"/>
                <w:sz w:val="20"/>
                <w:szCs w:val="20"/>
              </w:rPr>
              <w:t>x</w:t>
            </w:r>
          </w:p>
        </w:tc>
        <w:tc>
          <w:tcPr>
            <w:tcW w:w="50" w:type="pct"/>
            <w:shd w:val="clear" w:color="auto" w:fill="CCEEFF"/>
            <w:tcMar>
              <w:top w:w="0" w:type="dxa"/>
              <w:left w:w="0" w:type="dxa"/>
              <w:bottom w:w="30" w:type="dxa"/>
              <w:right w:w="0" w:type="dxa"/>
            </w:tcMar>
            <w:vAlign w:val="bottom"/>
            <w:hideMark/>
          </w:tcPr>
          <w:p w14:paraId="4060A15E" w14:textId="77777777" w:rsidR="00000000" w:rsidRDefault="002F725F">
            <w:pPr>
              <w:rPr>
                <w:rFonts w:eastAsia="Times New Roman"/>
                <w:sz w:val="20"/>
                <w:szCs w:val="20"/>
              </w:rPr>
            </w:pPr>
            <w:r>
              <w:rPr>
                <w:rFonts w:eastAsia="Times New Roman"/>
                <w:sz w:val="20"/>
                <w:szCs w:val="20"/>
              </w:rPr>
              <w:t> </w:t>
            </w:r>
          </w:p>
        </w:tc>
        <w:tc>
          <w:tcPr>
            <w:tcW w:w="50" w:type="pct"/>
            <w:tcBorders>
              <w:bottom w:val="single" w:sz="12" w:space="0" w:color="000000"/>
            </w:tcBorders>
            <w:shd w:val="clear" w:color="auto" w:fill="CCEEFF"/>
            <w:vAlign w:val="bottom"/>
            <w:hideMark/>
          </w:tcPr>
          <w:p w14:paraId="561B5E86" w14:textId="77777777" w:rsidR="00000000" w:rsidRDefault="002F725F">
            <w:pPr>
              <w:rPr>
                <w:rFonts w:eastAsia="Times New Roman"/>
                <w:sz w:val="20"/>
                <w:szCs w:val="20"/>
              </w:rPr>
            </w:pPr>
            <w:r>
              <w:rPr>
                <w:rFonts w:eastAsia="Times New Roman"/>
                <w:sz w:val="20"/>
                <w:szCs w:val="20"/>
              </w:rPr>
              <w:t> </w:t>
            </w:r>
          </w:p>
        </w:tc>
        <w:tc>
          <w:tcPr>
            <w:tcW w:w="350" w:type="pct"/>
            <w:tcBorders>
              <w:bottom w:val="single" w:sz="12" w:space="0" w:color="000000"/>
            </w:tcBorders>
            <w:shd w:val="clear" w:color="auto" w:fill="CCEEFF"/>
            <w:vAlign w:val="bottom"/>
            <w:hideMark/>
          </w:tcPr>
          <w:p w14:paraId="7306308A" w14:textId="77777777" w:rsidR="00000000" w:rsidRDefault="002F725F">
            <w:pPr>
              <w:jc w:val="right"/>
              <w:rPr>
                <w:rFonts w:eastAsia="Times New Roman"/>
                <w:sz w:val="20"/>
                <w:szCs w:val="20"/>
              </w:rPr>
            </w:pPr>
            <w:r>
              <w:rPr>
                <w:rFonts w:eastAsia="Times New Roman"/>
                <w:sz w:val="20"/>
                <w:szCs w:val="20"/>
              </w:rPr>
              <w:t>63.6</w:t>
            </w:r>
          </w:p>
        </w:tc>
        <w:tc>
          <w:tcPr>
            <w:tcW w:w="50" w:type="pct"/>
            <w:shd w:val="clear" w:color="auto" w:fill="CCEEFF"/>
            <w:tcMar>
              <w:top w:w="0" w:type="dxa"/>
              <w:left w:w="0" w:type="dxa"/>
              <w:bottom w:w="30" w:type="dxa"/>
              <w:right w:w="0" w:type="dxa"/>
            </w:tcMar>
            <w:vAlign w:val="bottom"/>
            <w:hideMark/>
          </w:tcPr>
          <w:p w14:paraId="4F81139F" w14:textId="77777777" w:rsidR="00000000" w:rsidRDefault="002F725F">
            <w:pPr>
              <w:rPr>
                <w:rFonts w:eastAsia="Times New Roman"/>
                <w:sz w:val="20"/>
                <w:szCs w:val="20"/>
              </w:rPr>
            </w:pPr>
            <w:r>
              <w:rPr>
                <w:rFonts w:eastAsia="Times New Roman"/>
                <w:sz w:val="20"/>
                <w:szCs w:val="20"/>
              </w:rPr>
              <w:t>x</w:t>
            </w:r>
          </w:p>
        </w:tc>
      </w:tr>
      <w:tr w:rsidR="002F725F" w14:paraId="4C62026F" w14:textId="77777777">
        <w:trPr>
          <w:divId w:val="415980837"/>
        </w:trPr>
        <w:tc>
          <w:tcPr>
            <w:tcW w:w="0" w:type="auto"/>
            <w:shd w:val="clear" w:color="auto" w:fill="FFFFFF"/>
            <w:tcMar>
              <w:top w:w="0" w:type="dxa"/>
              <w:left w:w="0" w:type="dxa"/>
              <w:bottom w:w="30" w:type="dxa"/>
              <w:right w:w="0" w:type="dxa"/>
            </w:tcMar>
            <w:vAlign w:val="bottom"/>
            <w:hideMark/>
          </w:tcPr>
          <w:p w14:paraId="4C6FB608" w14:textId="77777777" w:rsidR="00000000" w:rsidRDefault="002F725F">
            <w:pPr>
              <w:rPr>
                <w:rFonts w:eastAsia="Times New Roman"/>
                <w:sz w:val="20"/>
                <w:szCs w:val="20"/>
              </w:rPr>
            </w:pPr>
            <w:r>
              <w:rPr>
                <w:rFonts w:eastAsia="Times New Roman"/>
                <w:sz w:val="20"/>
                <w:szCs w:val="20"/>
              </w:rPr>
              <w:t>6/12/2025</w:t>
            </w:r>
          </w:p>
        </w:tc>
        <w:tc>
          <w:tcPr>
            <w:tcW w:w="0" w:type="auto"/>
            <w:shd w:val="clear" w:color="auto" w:fill="FFFFFF"/>
            <w:tcMar>
              <w:top w:w="0" w:type="dxa"/>
              <w:left w:w="0" w:type="dxa"/>
              <w:bottom w:w="30" w:type="dxa"/>
              <w:right w:w="0" w:type="dxa"/>
            </w:tcMar>
            <w:vAlign w:val="bottom"/>
            <w:hideMark/>
          </w:tcPr>
          <w:p w14:paraId="74A7364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4DDA5F24" w14:textId="77777777" w:rsidR="00000000" w:rsidRDefault="002F725F">
            <w:pPr>
              <w:rPr>
                <w:rFonts w:eastAsia="Times New Roman"/>
                <w:sz w:val="20"/>
                <w:szCs w:val="20"/>
              </w:rPr>
            </w:pPr>
            <w:r>
              <w:rPr>
                <w:rFonts w:eastAsia="Times New Roman"/>
                <w:sz w:val="20"/>
                <w:szCs w:val="20"/>
              </w:rPr>
              <w:t>CureVac N.V.</w:t>
            </w:r>
          </w:p>
        </w:tc>
        <w:tc>
          <w:tcPr>
            <w:tcW w:w="0" w:type="auto"/>
            <w:shd w:val="clear" w:color="auto" w:fill="FFFFFF"/>
            <w:tcMar>
              <w:top w:w="0" w:type="dxa"/>
              <w:left w:w="0" w:type="dxa"/>
              <w:bottom w:w="30" w:type="dxa"/>
              <w:right w:w="0" w:type="dxa"/>
            </w:tcMar>
            <w:vAlign w:val="bottom"/>
            <w:hideMark/>
          </w:tcPr>
          <w:p w14:paraId="4D80D30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622B888E" w14:textId="77777777" w:rsidR="00000000" w:rsidRDefault="002F725F">
            <w:pPr>
              <w:rPr>
                <w:rFonts w:eastAsia="Times New Roman"/>
                <w:sz w:val="20"/>
                <w:szCs w:val="20"/>
              </w:rPr>
            </w:pPr>
            <w:r>
              <w:rPr>
                <w:rFonts w:eastAsia="Times New Roman"/>
                <w:sz w:val="20"/>
                <w:szCs w:val="20"/>
              </w:rPr>
              <w:t>BioNTech SE</w:t>
            </w:r>
          </w:p>
        </w:tc>
        <w:tc>
          <w:tcPr>
            <w:tcW w:w="0" w:type="auto"/>
            <w:shd w:val="clear" w:color="auto" w:fill="FFFFFF"/>
            <w:tcMar>
              <w:top w:w="0" w:type="dxa"/>
              <w:left w:w="0" w:type="dxa"/>
              <w:bottom w:w="30" w:type="dxa"/>
              <w:right w:w="0" w:type="dxa"/>
            </w:tcMar>
            <w:vAlign w:val="bottom"/>
            <w:hideMark/>
          </w:tcPr>
          <w:p w14:paraId="3B229C75"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39D90B6C"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FFFFFF"/>
            <w:vAlign w:val="bottom"/>
            <w:hideMark/>
          </w:tcPr>
          <w:p w14:paraId="5697FCAF" w14:textId="77777777" w:rsidR="00000000" w:rsidRDefault="002F725F">
            <w:pPr>
              <w:jc w:val="right"/>
              <w:rPr>
                <w:rFonts w:eastAsia="Times New Roman"/>
                <w:sz w:val="20"/>
                <w:szCs w:val="20"/>
              </w:rPr>
            </w:pPr>
            <w:r>
              <w:rPr>
                <w:rFonts w:eastAsia="Times New Roman"/>
                <w:sz w:val="20"/>
                <w:szCs w:val="20"/>
              </w:rPr>
              <w:t>795</w:t>
            </w:r>
          </w:p>
        </w:tc>
        <w:tc>
          <w:tcPr>
            <w:tcW w:w="0" w:type="auto"/>
            <w:shd w:val="clear" w:color="auto" w:fill="FFFFFF"/>
            <w:tcMar>
              <w:top w:w="0" w:type="dxa"/>
              <w:left w:w="0" w:type="dxa"/>
              <w:bottom w:w="30" w:type="dxa"/>
              <w:right w:w="0" w:type="dxa"/>
            </w:tcMar>
            <w:vAlign w:val="bottom"/>
            <w:hideMark/>
          </w:tcPr>
          <w:p w14:paraId="1FC5A63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7C870B68"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3CD9D26"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FFFFFF"/>
            <w:vAlign w:val="bottom"/>
            <w:hideMark/>
          </w:tcPr>
          <w:p w14:paraId="6212AB1F" w14:textId="77777777" w:rsidR="00000000" w:rsidRDefault="002F725F">
            <w:pPr>
              <w:jc w:val="right"/>
              <w:rPr>
                <w:rFonts w:eastAsia="Times New Roman"/>
                <w:sz w:val="20"/>
                <w:szCs w:val="20"/>
              </w:rPr>
            </w:pPr>
            <w:r>
              <w:rPr>
                <w:rFonts w:eastAsia="Times New Roman"/>
                <w:sz w:val="20"/>
                <w:szCs w:val="20"/>
              </w:rPr>
              <w:t>566</w:t>
            </w:r>
          </w:p>
        </w:tc>
        <w:tc>
          <w:tcPr>
            <w:tcW w:w="0" w:type="auto"/>
            <w:shd w:val="clear" w:color="auto" w:fill="FFFFFF"/>
            <w:tcMar>
              <w:top w:w="0" w:type="dxa"/>
              <w:left w:w="0" w:type="dxa"/>
              <w:bottom w:w="30" w:type="dxa"/>
              <w:right w:w="0" w:type="dxa"/>
            </w:tcMar>
            <w:vAlign w:val="bottom"/>
            <w:hideMark/>
          </w:tcPr>
          <w:p w14:paraId="013BA8D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68C82A9F"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21807A7"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FFFFFF"/>
            <w:vAlign w:val="bottom"/>
            <w:hideMark/>
          </w:tcPr>
          <w:p w14:paraId="4EEA7A91" w14:textId="77777777" w:rsidR="00000000" w:rsidRDefault="002F725F">
            <w:pPr>
              <w:jc w:val="right"/>
              <w:rPr>
                <w:rFonts w:eastAsia="Times New Roman"/>
                <w:sz w:val="20"/>
                <w:szCs w:val="20"/>
              </w:rPr>
            </w:pPr>
            <w:r>
              <w:rPr>
                <w:rFonts w:eastAsia="Times New Roman"/>
                <w:sz w:val="20"/>
                <w:szCs w:val="20"/>
              </w:rPr>
              <w:t>266</w:t>
            </w:r>
          </w:p>
        </w:tc>
        <w:tc>
          <w:tcPr>
            <w:tcW w:w="0" w:type="auto"/>
            <w:shd w:val="clear" w:color="auto" w:fill="FFFFFF"/>
            <w:tcMar>
              <w:top w:w="0" w:type="dxa"/>
              <w:left w:w="0" w:type="dxa"/>
              <w:bottom w:w="30" w:type="dxa"/>
              <w:right w:w="0" w:type="dxa"/>
            </w:tcMar>
            <w:vAlign w:val="bottom"/>
            <w:hideMark/>
          </w:tcPr>
          <w:p w14:paraId="146CF1E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328913F8"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FCFDDE5"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74807AFF" w14:textId="77777777" w:rsidR="00000000" w:rsidRDefault="002F725F">
            <w:pPr>
              <w:jc w:val="right"/>
              <w:rPr>
                <w:rFonts w:eastAsia="Times New Roman"/>
                <w:sz w:val="20"/>
                <w:szCs w:val="20"/>
              </w:rPr>
            </w:pPr>
            <w:r>
              <w:rPr>
                <w:rFonts w:eastAsia="Times New Roman"/>
                <w:sz w:val="20"/>
                <w:szCs w:val="20"/>
              </w:rPr>
              <w:t>47.0</w:t>
            </w:r>
          </w:p>
        </w:tc>
        <w:tc>
          <w:tcPr>
            <w:tcW w:w="0" w:type="auto"/>
            <w:shd w:val="clear" w:color="auto" w:fill="FFFFFF"/>
            <w:tcMar>
              <w:top w:w="0" w:type="dxa"/>
              <w:left w:w="0" w:type="dxa"/>
              <w:bottom w:w="30" w:type="dxa"/>
              <w:right w:w="0" w:type="dxa"/>
            </w:tcMar>
            <w:vAlign w:val="bottom"/>
            <w:hideMark/>
          </w:tcPr>
          <w:p w14:paraId="7FFB7C8C"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6DE6070F"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2CA9C290"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0799C863" w14:textId="77777777" w:rsidR="00000000" w:rsidRDefault="002F725F">
            <w:pPr>
              <w:jc w:val="right"/>
              <w:rPr>
                <w:rFonts w:eastAsia="Times New Roman"/>
                <w:sz w:val="20"/>
                <w:szCs w:val="20"/>
              </w:rPr>
            </w:pPr>
            <w:r>
              <w:rPr>
                <w:rFonts w:eastAsia="Times New Roman"/>
                <w:sz w:val="20"/>
                <w:szCs w:val="20"/>
              </w:rPr>
              <w:t>1.40</w:t>
            </w:r>
          </w:p>
        </w:tc>
        <w:tc>
          <w:tcPr>
            <w:tcW w:w="0" w:type="auto"/>
            <w:shd w:val="clear" w:color="auto" w:fill="FFFFFF"/>
            <w:tcMar>
              <w:top w:w="0" w:type="dxa"/>
              <w:left w:w="0" w:type="dxa"/>
              <w:bottom w:w="30" w:type="dxa"/>
              <w:right w:w="0" w:type="dxa"/>
            </w:tcMar>
            <w:vAlign w:val="bottom"/>
            <w:hideMark/>
          </w:tcPr>
          <w:p w14:paraId="31A928AD" w14:textId="77777777" w:rsidR="00000000" w:rsidRDefault="002F725F">
            <w:pPr>
              <w:rPr>
                <w:rFonts w:eastAsia="Times New Roman"/>
                <w:sz w:val="20"/>
                <w:szCs w:val="20"/>
              </w:rPr>
            </w:pPr>
            <w:r>
              <w:rPr>
                <w:rFonts w:eastAsia="Times New Roman"/>
                <w:sz w:val="20"/>
                <w:szCs w:val="20"/>
              </w:rPr>
              <w:t>x</w:t>
            </w:r>
          </w:p>
        </w:tc>
        <w:tc>
          <w:tcPr>
            <w:tcW w:w="0" w:type="auto"/>
            <w:shd w:val="clear" w:color="auto" w:fill="FFFFFF"/>
            <w:tcMar>
              <w:top w:w="0" w:type="dxa"/>
              <w:left w:w="0" w:type="dxa"/>
              <w:bottom w:w="30" w:type="dxa"/>
              <w:right w:w="0" w:type="dxa"/>
            </w:tcMar>
            <w:vAlign w:val="bottom"/>
            <w:hideMark/>
          </w:tcPr>
          <w:p w14:paraId="418A3CDB"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F4D6663"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075DD316" w14:textId="77777777" w:rsidR="00000000" w:rsidRDefault="002F725F">
            <w:pPr>
              <w:jc w:val="right"/>
              <w:rPr>
                <w:rFonts w:eastAsia="Times New Roman"/>
                <w:sz w:val="20"/>
                <w:szCs w:val="20"/>
              </w:rPr>
            </w:pPr>
            <w:r>
              <w:rPr>
                <w:rFonts w:eastAsia="Times New Roman"/>
                <w:sz w:val="20"/>
                <w:szCs w:val="20"/>
              </w:rPr>
              <w:t>3.0</w:t>
            </w:r>
          </w:p>
        </w:tc>
        <w:tc>
          <w:tcPr>
            <w:tcW w:w="0" w:type="auto"/>
            <w:shd w:val="clear" w:color="auto" w:fill="FFFFFF"/>
            <w:tcMar>
              <w:top w:w="0" w:type="dxa"/>
              <w:left w:w="0" w:type="dxa"/>
              <w:bottom w:w="30" w:type="dxa"/>
              <w:right w:w="0" w:type="dxa"/>
            </w:tcMar>
            <w:vAlign w:val="bottom"/>
            <w:hideMark/>
          </w:tcPr>
          <w:p w14:paraId="3577B4DB" w14:textId="77777777" w:rsidR="00000000" w:rsidRDefault="002F725F">
            <w:pPr>
              <w:rPr>
                <w:rFonts w:eastAsia="Times New Roman"/>
                <w:sz w:val="20"/>
                <w:szCs w:val="20"/>
              </w:rPr>
            </w:pPr>
            <w:r>
              <w:rPr>
                <w:rFonts w:eastAsia="Times New Roman"/>
                <w:sz w:val="20"/>
                <w:szCs w:val="20"/>
              </w:rPr>
              <w:t>x</w:t>
            </w:r>
          </w:p>
        </w:tc>
      </w:tr>
      <w:tr w:rsidR="002F725F" w14:paraId="7A9F31FF" w14:textId="77777777">
        <w:trPr>
          <w:divId w:val="415980837"/>
        </w:trPr>
        <w:tc>
          <w:tcPr>
            <w:tcW w:w="0" w:type="auto"/>
            <w:shd w:val="clear" w:color="auto" w:fill="CCEEFF"/>
            <w:tcMar>
              <w:top w:w="0" w:type="dxa"/>
              <w:left w:w="0" w:type="dxa"/>
              <w:bottom w:w="30" w:type="dxa"/>
              <w:right w:w="0" w:type="dxa"/>
            </w:tcMar>
            <w:vAlign w:val="bottom"/>
            <w:hideMark/>
          </w:tcPr>
          <w:p w14:paraId="67044419" w14:textId="77777777" w:rsidR="00000000" w:rsidRDefault="002F725F">
            <w:pPr>
              <w:rPr>
                <w:rFonts w:eastAsia="Times New Roman"/>
                <w:sz w:val="20"/>
                <w:szCs w:val="20"/>
              </w:rPr>
            </w:pPr>
            <w:r>
              <w:rPr>
                <w:rFonts w:eastAsia="Times New Roman"/>
                <w:sz w:val="20"/>
                <w:szCs w:val="20"/>
              </w:rPr>
              <w:t>2/7/2025</w:t>
            </w:r>
          </w:p>
        </w:tc>
        <w:tc>
          <w:tcPr>
            <w:tcW w:w="0" w:type="auto"/>
            <w:shd w:val="clear" w:color="auto" w:fill="CCEEFF"/>
            <w:tcMar>
              <w:top w:w="0" w:type="dxa"/>
              <w:left w:w="0" w:type="dxa"/>
              <w:bottom w:w="30" w:type="dxa"/>
              <w:right w:w="0" w:type="dxa"/>
            </w:tcMar>
            <w:vAlign w:val="bottom"/>
            <w:hideMark/>
          </w:tcPr>
          <w:p w14:paraId="29B562E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2E9F0584" w14:textId="77777777" w:rsidR="00000000" w:rsidRDefault="002F725F">
            <w:pPr>
              <w:rPr>
                <w:rFonts w:eastAsia="Times New Roman"/>
                <w:sz w:val="20"/>
                <w:szCs w:val="20"/>
              </w:rPr>
            </w:pPr>
            <w:r>
              <w:rPr>
                <w:rFonts w:eastAsia="Times New Roman"/>
                <w:sz w:val="20"/>
                <w:szCs w:val="20"/>
              </w:rPr>
              <w:t>Mitsubishi Tanabe Pharma Corporation</w:t>
            </w:r>
          </w:p>
        </w:tc>
        <w:tc>
          <w:tcPr>
            <w:tcW w:w="0" w:type="auto"/>
            <w:shd w:val="clear" w:color="auto" w:fill="CCEEFF"/>
            <w:tcMar>
              <w:top w:w="0" w:type="dxa"/>
              <w:left w:w="0" w:type="dxa"/>
              <w:bottom w:w="30" w:type="dxa"/>
              <w:right w:w="0" w:type="dxa"/>
            </w:tcMar>
            <w:vAlign w:val="bottom"/>
            <w:hideMark/>
          </w:tcPr>
          <w:p w14:paraId="25A3602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07ABE7A0" w14:textId="77777777" w:rsidR="00000000" w:rsidRDefault="002F725F">
            <w:pPr>
              <w:rPr>
                <w:rFonts w:eastAsia="Times New Roman"/>
                <w:sz w:val="20"/>
                <w:szCs w:val="20"/>
              </w:rPr>
            </w:pPr>
            <w:r>
              <w:rPr>
                <w:rFonts w:eastAsia="Times New Roman"/>
                <w:sz w:val="20"/>
                <w:szCs w:val="20"/>
              </w:rPr>
              <w:t>Bain Capital Private Equity, LP</w:t>
            </w:r>
          </w:p>
        </w:tc>
        <w:tc>
          <w:tcPr>
            <w:tcW w:w="0" w:type="auto"/>
            <w:shd w:val="clear" w:color="auto" w:fill="CCEEFF"/>
            <w:tcMar>
              <w:top w:w="0" w:type="dxa"/>
              <w:left w:w="0" w:type="dxa"/>
              <w:bottom w:w="30" w:type="dxa"/>
              <w:right w:w="0" w:type="dxa"/>
            </w:tcMar>
            <w:vAlign w:val="bottom"/>
            <w:hideMark/>
          </w:tcPr>
          <w:p w14:paraId="68E18E7C"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30240F14"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CCEEFF"/>
            <w:vAlign w:val="bottom"/>
            <w:hideMark/>
          </w:tcPr>
          <w:p w14:paraId="7263388C" w14:textId="77777777" w:rsidR="00000000" w:rsidRDefault="002F725F">
            <w:pPr>
              <w:jc w:val="right"/>
              <w:rPr>
                <w:rFonts w:eastAsia="Times New Roman"/>
                <w:sz w:val="20"/>
                <w:szCs w:val="20"/>
              </w:rPr>
            </w:pPr>
            <w:r>
              <w:rPr>
                <w:rFonts w:eastAsia="Times New Roman"/>
                <w:sz w:val="20"/>
                <w:szCs w:val="20"/>
              </w:rPr>
              <w:t>3,373</w:t>
            </w:r>
          </w:p>
        </w:tc>
        <w:tc>
          <w:tcPr>
            <w:tcW w:w="0" w:type="auto"/>
            <w:shd w:val="clear" w:color="auto" w:fill="CCEEFF"/>
            <w:tcMar>
              <w:top w:w="0" w:type="dxa"/>
              <w:left w:w="0" w:type="dxa"/>
              <w:bottom w:w="30" w:type="dxa"/>
              <w:right w:w="0" w:type="dxa"/>
            </w:tcMar>
            <w:vAlign w:val="bottom"/>
            <w:hideMark/>
          </w:tcPr>
          <w:p w14:paraId="637D3B3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565647AF"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4708EB13"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CCEEFF"/>
            <w:vAlign w:val="bottom"/>
            <w:hideMark/>
          </w:tcPr>
          <w:p w14:paraId="3C2F2453" w14:textId="77777777" w:rsidR="00000000" w:rsidRDefault="002F725F">
            <w:pPr>
              <w:jc w:val="right"/>
              <w:rPr>
                <w:rFonts w:eastAsia="Times New Roman"/>
                <w:sz w:val="20"/>
                <w:szCs w:val="20"/>
              </w:rPr>
            </w:pPr>
            <w:r>
              <w:rPr>
                <w:rFonts w:eastAsia="Times New Roman"/>
                <w:sz w:val="20"/>
                <w:szCs w:val="20"/>
              </w:rPr>
              <w:t>3,437</w:t>
            </w:r>
          </w:p>
        </w:tc>
        <w:tc>
          <w:tcPr>
            <w:tcW w:w="0" w:type="auto"/>
            <w:shd w:val="clear" w:color="auto" w:fill="CCEEFF"/>
            <w:tcMar>
              <w:top w:w="0" w:type="dxa"/>
              <w:left w:w="0" w:type="dxa"/>
              <w:bottom w:w="30" w:type="dxa"/>
              <w:right w:w="0" w:type="dxa"/>
            </w:tcMar>
            <w:vAlign w:val="bottom"/>
            <w:hideMark/>
          </w:tcPr>
          <w:p w14:paraId="7791579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1DDB55F1"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027CB6AD"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CCEEFF"/>
            <w:vAlign w:val="bottom"/>
            <w:hideMark/>
          </w:tcPr>
          <w:p w14:paraId="0578C033" w14:textId="77777777" w:rsidR="00000000" w:rsidRDefault="002F725F">
            <w:pPr>
              <w:jc w:val="right"/>
              <w:rPr>
                <w:rFonts w:eastAsia="Times New Roman"/>
                <w:sz w:val="20"/>
                <w:szCs w:val="20"/>
              </w:rPr>
            </w:pPr>
            <w:r>
              <w:rPr>
                <w:rFonts w:eastAsia="Times New Roman"/>
                <w:sz w:val="20"/>
                <w:szCs w:val="20"/>
              </w:rPr>
              <w:t>(362</w:t>
            </w:r>
          </w:p>
        </w:tc>
        <w:tc>
          <w:tcPr>
            <w:tcW w:w="0" w:type="auto"/>
            <w:shd w:val="clear" w:color="auto" w:fill="CCEEFF"/>
            <w:tcMar>
              <w:top w:w="0" w:type="dxa"/>
              <w:left w:w="0" w:type="dxa"/>
              <w:bottom w:w="30" w:type="dxa"/>
              <w:right w:w="0" w:type="dxa"/>
            </w:tcMar>
            <w:vAlign w:val="bottom"/>
            <w:hideMark/>
          </w:tcPr>
          <w:p w14:paraId="04722499"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tcMar>
              <w:top w:w="0" w:type="dxa"/>
              <w:left w:w="0" w:type="dxa"/>
              <w:bottom w:w="30" w:type="dxa"/>
              <w:right w:w="0" w:type="dxa"/>
            </w:tcMar>
            <w:vAlign w:val="bottom"/>
            <w:hideMark/>
          </w:tcPr>
          <w:p w14:paraId="29F2B14E"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5E88BC9A"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3EB84CE4"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CCEEFF"/>
            <w:tcMar>
              <w:top w:w="0" w:type="dxa"/>
              <w:left w:w="0" w:type="dxa"/>
              <w:bottom w:w="30" w:type="dxa"/>
              <w:right w:w="0" w:type="dxa"/>
            </w:tcMar>
            <w:vAlign w:val="bottom"/>
            <w:hideMark/>
          </w:tcPr>
          <w:p w14:paraId="3F6AA4B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793DCACE"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529A483B"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03D1E1F8" w14:textId="77777777" w:rsidR="00000000" w:rsidRDefault="002F725F">
            <w:pPr>
              <w:jc w:val="right"/>
              <w:rPr>
                <w:rFonts w:eastAsia="Times New Roman"/>
                <w:sz w:val="20"/>
                <w:szCs w:val="20"/>
              </w:rPr>
            </w:pPr>
            <w:r>
              <w:rPr>
                <w:rFonts w:eastAsia="Times New Roman"/>
                <w:sz w:val="20"/>
                <w:szCs w:val="20"/>
              </w:rPr>
              <w:t>0.98</w:t>
            </w:r>
          </w:p>
        </w:tc>
        <w:tc>
          <w:tcPr>
            <w:tcW w:w="0" w:type="auto"/>
            <w:shd w:val="clear" w:color="auto" w:fill="CCEEFF"/>
            <w:tcMar>
              <w:top w:w="0" w:type="dxa"/>
              <w:left w:w="0" w:type="dxa"/>
              <w:bottom w:w="30" w:type="dxa"/>
              <w:right w:w="0" w:type="dxa"/>
            </w:tcMar>
            <w:vAlign w:val="bottom"/>
            <w:hideMark/>
          </w:tcPr>
          <w:p w14:paraId="25D6951A" w14:textId="77777777" w:rsidR="00000000" w:rsidRDefault="002F725F">
            <w:pPr>
              <w:rPr>
                <w:rFonts w:eastAsia="Times New Roman"/>
                <w:sz w:val="20"/>
                <w:szCs w:val="20"/>
              </w:rPr>
            </w:pPr>
            <w:r>
              <w:rPr>
                <w:rFonts w:eastAsia="Times New Roman"/>
                <w:sz w:val="20"/>
                <w:szCs w:val="20"/>
              </w:rPr>
              <w:t>x</w:t>
            </w:r>
          </w:p>
        </w:tc>
        <w:tc>
          <w:tcPr>
            <w:tcW w:w="0" w:type="auto"/>
            <w:shd w:val="clear" w:color="auto" w:fill="CCEEFF"/>
            <w:tcMar>
              <w:top w:w="0" w:type="dxa"/>
              <w:left w:w="0" w:type="dxa"/>
              <w:bottom w:w="30" w:type="dxa"/>
              <w:right w:w="0" w:type="dxa"/>
            </w:tcMar>
            <w:vAlign w:val="bottom"/>
            <w:hideMark/>
          </w:tcPr>
          <w:p w14:paraId="3422CE27"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364B817D"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09B371A7"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CCEEFF"/>
            <w:tcMar>
              <w:top w:w="0" w:type="dxa"/>
              <w:left w:w="0" w:type="dxa"/>
              <w:bottom w:w="30" w:type="dxa"/>
              <w:right w:w="0" w:type="dxa"/>
            </w:tcMar>
            <w:vAlign w:val="bottom"/>
            <w:hideMark/>
          </w:tcPr>
          <w:p w14:paraId="441BD3F5" w14:textId="77777777" w:rsidR="00000000" w:rsidRDefault="002F725F">
            <w:pPr>
              <w:rPr>
                <w:rFonts w:eastAsia="Times New Roman"/>
                <w:sz w:val="20"/>
                <w:szCs w:val="20"/>
              </w:rPr>
            </w:pPr>
            <w:r>
              <w:rPr>
                <w:rFonts w:eastAsia="Times New Roman"/>
                <w:sz w:val="20"/>
                <w:szCs w:val="20"/>
              </w:rPr>
              <w:t> </w:t>
            </w:r>
          </w:p>
        </w:tc>
      </w:tr>
      <w:tr w:rsidR="002F725F" w14:paraId="336BE15C" w14:textId="77777777">
        <w:trPr>
          <w:divId w:val="415980837"/>
        </w:trPr>
        <w:tc>
          <w:tcPr>
            <w:tcW w:w="0" w:type="auto"/>
            <w:shd w:val="clear" w:color="auto" w:fill="FFFFFF"/>
            <w:tcMar>
              <w:top w:w="0" w:type="dxa"/>
              <w:left w:w="0" w:type="dxa"/>
              <w:bottom w:w="30" w:type="dxa"/>
              <w:right w:w="0" w:type="dxa"/>
            </w:tcMar>
            <w:vAlign w:val="bottom"/>
            <w:hideMark/>
          </w:tcPr>
          <w:p w14:paraId="484DF53A" w14:textId="77777777" w:rsidR="00000000" w:rsidRDefault="002F725F">
            <w:pPr>
              <w:rPr>
                <w:rFonts w:eastAsia="Times New Roman"/>
                <w:sz w:val="20"/>
                <w:szCs w:val="20"/>
              </w:rPr>
            </w:pPr>
            <w:r>
              <w:rPr>
                <w:rFonts w:eastAsia="Times New Roman"/>
                <w:sz w:val="20"/>
                <w:szCs w:val="20"/>
              </w:rPr>
              <w:t>3/13/2025</w:t>
            </w:r>
          </w:p>
        </w:tc>
        <w:tc>
          <w:tcPr>
            <w:tcW w:w="0" w:type="auto"/>
            <w:shd w:val="clear" w:color="auto" w:fill="FFFFFF"/>
            <w:tcMar>
              <w:top w:w="0" w:type="dxa"/>
              <w:left w:w="0" w:type="dxa"/>
              <w:bottom w:w="30" w:type="dxa"/>
              <w:right w:w="0" w:type="dxa"/>
            </w:tcMar>
            <w:vAlign w:val="bottom"/>
            <w:hideMark/>
          </w:tcPr>
          <w:p w14:paraId="71C599F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44B1A301" w14:textId="77777777" w:rsidR="00000000" w:rsidRDefault="002F725F">
            <w:pPr>
              <w:rPr>
                <w:rFonts w:eastAsia="Times New Roman"/>
                <w:sz w:val="20"/>
                <w:szCs w:val="20"/>
              </w:rPr>
            </w:pPr>
            <w:r>
              <w:rPr>
                <w:rFonts w:eastAsia="Times New Roman"/>
                <w:sz w:val="20"/>
                <w:szCs w:val="20"/>
              </w:rPr>
              <w:t>Endo, Inc.</w:t>
            </w:r>
          </w:p>
        </w:tc>
        <w:tc>
          <w:tcPr>
            <w:tcW w:w="0" w:type="auto"/>
            <w:shd w:val="clear" w:color="auto" w:fill="FFFFFF"/>
            <w:tcMar>
              <w:top w:w="0" w:type="dxa"/>
              <w:left w:w="0" w:type="dxa"/>
              <w:bottom w:w="30" w:type="dxa"/>
              <w:right w:w="0" w:type="dxa"/>
            </w:tcMar>
            <w:vAlign w:val="bottom"/>
            <w:hideMark/>
          </w:tcPr>
          <w:p w14:paraId="6DC72F6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0D72A504" w14:textId="77777777" w:rsidR="00000000" w:rsidRDefault="002F725F">
            <w:pPr>
              <w:rPr>
                <w:rFonts w:eastAsia="Times New Roman"/>
                <w:sz w:val="20"/>
                <w:szCs w:val="20"/>
              </w:rPr>
            </w:pPr>
            <w:r>
              <w:rPr>
                <w:rFonts w:eastAsia="Times New Roman"/>
                <w:sz w:val="20"/>
                <w:szCs w:val="20"/>
              </w:rPr>
              <w:t>Keenova Therapeutics plc</w:t>
            </w:r>
          </w:p>
        </w:tc>
        <w:tc>
          <w:tcPr>
            <w:tcW w:w="0" w:type="auto"/>
            <w:shd w:val="clear" w:color="auto" w:fill="FFFFFF"/>
            <w:tcMar>
              <w:top w:w="0" w:type="dxa"/>
              <w:left w:w="0" w:type="dxa"/>
              <w:bottom w:w="30" w:type="dxa"/>
              <w:right w:w="0" w:type="dxa"/>
            </w:tcMar>
            <w:vAlign w:val="bottom"/>
            <w:hideMark/>
          </w:tcPr>
          <w:p w14:paraId="0231443A"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37131A45"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FFFFFF"/>
            <w:vAlign w:val="bottom"/>
            <w:hideMark/>
          </w:tcPr>
          <w:p w14:paraId="72E3A18E" w14:textId="77777777" w:rsidR="00000000" w:rsidRDefault="002F725F">
            <w:pPr>
              <w:jc w:val="right"/>
              <w:rPr>
                <w:rFonts w:eastAsia="Times New Roman"/>
                <w:sz w:val="20"/>
                <w:szCs w:val="20"/>
              </w:rPr>
            </w:pPr>
            <w:r>
              <w:rPr>
                <w:rFonts w:eastAsia="Times New Roman"/>
                <w:sz w:val="20"/>
                <w:szCs w:val="20"/>
              </w:rPr>
              <w:t>4,010</w:t>
            </w:r>
          </w:p>
        </w:tc>
        <w:tc>
          <w:tcPr>
            <w:tcW w:w="0" w:type="auto"/>
            <w:shd w:val="clear" w:color="auto" w:fill="FFFFFF"/>
            <w:tcMar>
              <w:top w:w="0" w:type="dxa"/>
              <w:left w:w="0" w:type="dxa"/>
              <w:bottom w:w="30" w:type="dxa"/>
              <w:right w:w="0" w:type="dxa"/>
            </w:tcMar>
            <w:vAlign w:val="bottom"/>
            <w:hideMark/>
          </w:tcPr>
          <w:p w14:paraId="21B9C94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6F6BC35E"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432E2CA"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FFFFFF"/>
            <w:vAlign w:val="bottom"/>
            <w:hideMark/>
          </w:tcPr>
          <w:p w14:paraId="7F3319C0" w14:textId="77777777" w:rsidR="00000000" w:rsidRDefault="002F725F">
            <w:pPr>
              <w:jc w:val="right"/>
              <w:rPr>
                <w:rFonts w:eastAsia="Times New Roman"/>
                <w:sz w:val="20"/>
                <w:szCs w:val="20"/>
              </w:rPr>
            </w:pPr>
            <w:r>
              <w:rPr>
                <w:rFonts w:eastAsia="Times New Roman"/>
                <w:sz w:val="20"/>
                <w:szCs w:val="20"/>
              </w:rPr>
              <w:t>1,760</w:t>
            </w:r>
          </w:p>
        </w:tc>
        <w:tc>
          <w:tcPr>
            <w:tcW w:w="0" w:type="auto"/>
            <w:shd w:val="clear" w:color="auto" w:fill="FFFFFF"/>
            <w:tcMar>
              <w:top w:w="0" w:type="dxa"/>
              <w:left w:w="0" w:type="dxa"/>
              <w:bottom w:w="30" w:type="dxa"/>
              <w:right w:w="0" w:type="dxa"/>
            </w:tcMar>
            <w:vAlign w:val="bottom"/>
            <w:hideMark/>
          </w:tcPr>
          <w:p w14:paraId="666FC7B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694CD5B2"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3AF0C4B"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FFFFFF"/>
            <w:vAlign w:val="bottom"/>
            <w:hideMark/>
          </w:tcPr>
          <w:p w14:paraId="2D77720A" w14:textId="77777777" w:rsidR="00000000" w:rsidRDefault="002F725F">
            <w:pPr>
              <w:jc w:val="right"/>
              <w:rPr>
                <w:rFonts w:eastAsia="Times New Roman"/>
                <w:sz w:val="20"/>
                <w:szCs w:val="20"/>
              </w:rPr>
            </w:pPr>
            <w:r>
              <w:rPr>
                <w:rFonts w:eastAsia="Times New Roman"/>
                <w:sz w:val="20"/>
                <w:szCs w:val="20"/>
              </w:rPr>
              <w:t>(13</w:t>
            </w:r>
          </w:p>
        </w:tc>
        <w:tc>
          <w:tcPr>
            <w:tcW w:w="0" w:type="auto"/>
            <w:shd w:val="clear" w:color="auto" w:fill="FFFFFF"/>
            <w:tcMar>
              <w:top w:w="0" w:type="dxa"/>
              <w:left w:w="0" w:type="dxa"/>
              <w:bottom w:w="30" w:type="dxa"/>
              <w:right w:w="0" w:type="dxa"/>
            </w:tcMar>
            <w:vAlign w:val="bottom"/>
            <w:hideMark/>
          </w:tcPr>
          <w:p w14:paraId="5A5EA679"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7C255CAD"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0614831"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F1B56A4" w14:textId="77777777" w:rsidR="00000000" w:rsidRDefault="002F725F">
            <w:pPr>
              <w:jc w:val="right"/>
              <w:rPr>
                <w:rFonts w:eastAsia="Times New Roman"/>
                <w:sz w:val="20"/>
                <w:szCs w:val="20"/>
              </w:rPr>
            </w:pPr>
            <w:r>
              <w:rPr>
                <w:rFonts w:eastAsia="Times New Roman"/>
                <w:sz w:val="20"/>
                <w:szCs w:val="20"/>
              </w:rPr>
              <w:t>-0.8</w:t>
            </w:r>
          </w:p>
        </w:tc>
        <w:tc>
          <w:tcPr>
            <w:tcW w:w="0" w:type="auto"/>
            <w:shd w:val="clear" w:color="auto" w:fill="FFFFFF"/>
            <w:tcMar>
              <w:top w:w="0" w:type="dxa"/>
              <w:left w:w="0" w:type="dxa"/>
              <w:bottom w:w="30" w:type="dxa"/>
              <w:right w:w="0" w:type="dxa"/>
            </w:tcMar>
            <w:vAlign w:val="bottom"/>
            <w:hideMark/>
          </w:tcPr>
          <w:p w14:paraId="06D7BF6D"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1DD7772A"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E03536E"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0A4A69D" w14:textId="77777777" w:rsidR="00000000" w:rsidRDefault="002F725F">
            <w:pPr>
              <w:jc w:val="right"/>
              <w:rPr>
                <w:rFonts w:eastAsia="Times New Roman"/>
                <w:sz w:val="20"/>
                <w:szCs w:val="20"/>
              </w:rPr>
            </w:pPr>
            <w:r>
              <w:rPr>
                <w:rFonts w:eastAsia="Times New Roman"/>
                <w:sz w:val="20"/>
                <w:szCs w:val="20"/>
              </w:rPr>
              <w:t>2.28</w:t>
            </w:r>
          </w:p>
        </w:tc>
        <w:tc>
          <w:tcPr>
            <w:tcW w:w="0" w:type="auto"/>
            <w:shd w:val="clear" w:color="auto" w:fill="FFFFFF"/>
            <w:tcMar>
              <w:top w:w="0" w:type="dxa"/>
              <w:left w:w="0" w:type="dxa"/>
              <w:bottom w:w="30" w:type="dxa"/>
              <w:right w:w="0" w:type="dxa"/>
            </w:tcMar>
            <w:vAlign w:val="bottom"/>
            <w:hideMark/>
          </w:tcPr>
          <w:p w14:paraId="17988E0F" w14:textId="77777777" w:rsidR="00000000" w:rsidRDefault="002F725F">
            <w:pPr>
              <w:rPr>
                <w:rFonts w:eastAsia="Times New Roman"/>
                <w:sz w:val="20"/>
                <w:szCs w:val="20"/>
              </w:rPr>
            </w:pPr>
            <w:r>
              <w:rPr>
                <w:rFonts w:eastAsia="Times New Roman"/>
                <w:sz w:val="20"/>
                <w:szCs w:val="20"/>
              </w:rPr>
              <w:t>x</w:t>
            </w:r>
          </w:p>
        </w:tc>
        <w:tc>
          <w:tcPr>
            <w:tcW w:w="0" w:type="auto"/>
            <w:shd w:val="clear" w:color="auto" w:fill="FFFFFF"/>
            <w:tcMar>
              <w:top w:w="0" w:type="dxa"/>
              <w:left w:w="0" w:type="dxa"/>
              <w:bottom w:w="30" w:type="dxa"/>
              <w:right w:w="0" w:type="dxa"/>
            </w:tcMar>
            <w:vAlign w:val="bottom"/>
            <w:hideMark/>
          </w:tcPr>
          <w:p w14:paraId="528E91B1"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42780EA3"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2D66D2B"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FFFFFF"/>
            <w:tcMar>
              <w:top w:w="0" w:type="dxa"/>
              <w:left w:w="0" w:type="dxa"/>
              <w:bottom w:w="30" w:type="dxa"/>
              <w:right w:w="0" w:type="dxa"/>
            </w:tcMar>
            <w:vAlign w:val="bottom"/>
            <w:hideMark/>
          </w:tcPr>
          <w:p w14:paraId="4726B7F4" w14:textId="77777777" w:rsidR="00000000" w:rsidRDefault="002F725F">
            <w:pPr>
              <w:rPr>
                <w:rFonts w:eastAsia="Times New Roman"/>
                <w:sz w:val="20"/>
                <w:szCs w:val="20"/>
              </w:rPr>
            </w:pPr>
            <w:r>
              <w:rPr>
                <w:rFonts w:eastAsia="Times New Roman"/>
                <w:sz w:val="20"/>
                <w:szCs w:val="20"/>
              </w:rPr>
              <w:t> </w:t>
            </w:r>
          </w:p>
        </w:tc>
      </w:tr>
      <w:tr w:rsidR="002F725F" w14:paraId="76968E3F" w14:textId="77777777">
        <w:trPr>
          <w:divId w:val="415980837"/>
        </w:trPr>
        <w:tc>
          <w:tcPr>
            <w:tcW w:w="0" w:type="auto"/>
            <w:shd w:val="clear" w:color="auto" w:fill="CCEEFF"/>
            <w:tcMar>
              <w:top w:w="0" w:type="dxa"/>
              <w:left w:w="0" w:type="dxa"/>
              <w:bottom w:w="30" w:type="dxa"/>
              <w:right w:w="0" w:type="dxa"/>
            </w:tcMar>
            <w:vAlign w:val="bottom"/>
            <w:hideMark/>
          </w:tcPr>
          <w:p w14:paraId="4CB15878" w14:textId="77777777" w:rsidR="00000000" w:rsidRDefault="002F725F">
            <w:pPr>
              <w:rPr>
                <w:rFonts w:eastAsia="Times New Roman"/>
                <w:sz w:val="20"/>
                <w:szCs w:val="20"/>
              </w:rPr>
            </w:pPr>
            <w:r>
              <w:rPr>
                <w:rFonts w:eastAsia="Times New Roman"/>
                <w:sz w:val="20"/>
                <w:szCs w:val="20"/>
              </w:rPr>
              <w:lastRenderedPageBreak/>
              <w:t>3/29/2023</w:t>
            </w:r>
          </w:p>
        </w:tc>
        <w:tc>
          <w:tcPr>
            <w:tcW w:w="0" w:type="auto"/>
            <w:shd w:val="clear" w:color="auto" w:fill="CCEEFF"/>
            <w:tcMar>
              <w:top w:w="0" w:type="dxa"/>
              <w:left w:w="0" w:type="dxa"/>
              <w:bottom w:w="30" w:type="dxa"/>
              <w:right w:w="0" w:type="dxa"/>
            </w:tcMar>
            <w:vAlign w:val="bottom"/>
            <w:hideMark/>
          </w:tcPr>
          <w:p w14:paraId="4A9BC97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558C93D9" w14:textId="77777777" w:rsidR="00000000" w:rsidRDefault="002F725F">
            <w:pPr>
              <w:rPr>
                <w:rFonts w:eastAsia="Times New Roman"/>
                <w:sz w:val="20"/>
                <w:szCs w:val="20"/>
              </w:rPr>
            </w:pPr>
            <w:r>
              <w:rPr>
                <w:rFonts w:eastAsia="Times New Roman"/>
                <w:sz w:val="20"/>
                <w:szCs w:val="20"/>
              </w:rPr>
              <w:t>GreenLight Biosciences, Inc.</w:t>
            </w:r>
          </w:p>
        </w:tc>
        <w:tc>
          <w:tcPr>
            <w:tcW w:w="0" w:type="auto"/>
            <w:shd w:val="clear" w:color="auto" w:fill="CCEEFF"/>
            <w:tcMar>
              <w:top w:w="0" w:type="dxa"/>
              <w:left w:w="0" w:type="dxa"/>
              <w:bottom w:w="30" w:type="dxa"/>
              <w:right w:w="0" w:type="dxa"/>
            </w:tcMar>
            <w:vAlign w:val="bottom"/>
            <w:hideMark/>
          </w:tcPr>
          <w:p w14:paraId="0D10DFD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5B675C05" w14:textId="77777777" w:rsidR="00000000" w:rsidRDefault="002F725F">
            <w:pPr>
              <w:rPr>
                <w:rFonts w:eastAsia="Times New Roman"/>
                <w:sz w:val="20"/>
                <w:szCs w:val="20"/>
              </w:rPr>
            </w:pPr>
            <w:r>
              <w:rPr>
                <w:rFonts w:eastAsia="Times New Roman"/>
                <w:sz w:val="20"/>
                <w:szCs w:val="20"/>
              </w:rPr>
              <w:t>Fall Line Capital, LLC; Fall Line Endurance Fund, Lp</w:t>
            </w:r>
          </w:p>
        </w:tc>
        <w:tc>
          <w:tcPr>
            <w:tcW w:w="0" w:type="auto"/>
            <w:shd w:val="clear" w:color="auto" w:fill="CCEEFF"/>
            <w:tcMar>
              <w:top w:w="0" w:type="dxa"/>
              <w:left w:w="0" w:type="dxa"/>
              <w:bottom w:w="30" w:type="dxa"/>
              <w:right w:w="0" w:type="dxa"/>
            </w:tcMar>
            <w:vAlign w:val="bottom"/>
            <w:hideMark/>
          </w:tcPr>
          <w:p w14:paraId="274218C4"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2DBCCEBA"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CCEEFF"/>
            <w:vAlign w:val="bottom"/>
            <w:hideMark/>
          </w:tcPr>
          <w:p w14:paraId="3F537FE6" w14:textId="77777777" w:rsidR="00000000" w:rsidRDefault="002F725F">
            <w:pPr>
              <w:jc w:val="right"/>
              <w:rPr>
                <w:rFonts w:eastAsia="Times New Roman"/>
                <w:sz w:val="20"/>
                <w:szCs w:val="20"/>
              </w:rPr>
            </w:pPr>
            <w:r>
              <w:rPr>
                <w:rFonts w:eastAsia="Times New Roman"/>
                <w:sz w:val="20"/>
                <w:szCs w:val="20"/>
              </w:rPr>
              <w:t>38</w:t>
            </w:r>
          </w:p>
        </w:tc>
        <w:tc>
          <w:tcPr>
            <w:tcW w:w="0" w:type="auto"/>
            <w:shd w:val="clear" w:color="auto" w:fill="CCEEFF"/>
            <w:tcMar>
              <w:top w:w="0" w:type="dxa"/>
              <w:left w:w="0" w:type="dxa"/>
              <w:bottom w:w="30" w:type="dxa"/>
              <w:right w:w="0" w:type="dxa"/>
            </w:tcMar>
            <w:vAlign w:val="bottom"/>
            <w:hideMark/>
          </w:tcPr>
          <w:p w14:paraId="015E7B9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20B80BF3"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4FAF36AE"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CCEEFF"/>
            <w:vAlign w:val="bottom"/>
            <w:hideMark/>
          </w:tcPr>
          <w:p w14:paraId="0FD1888B" w14:textId="77777777" w:rsidR="00000000" w:rsidRDefault="002F725F">
            <w:pPr>
              <w:jc w:val="right"/>
              <w:rPr>
                <w:rFonts w:eastAsia="Times New Roman"/>
                <w:sz w:val="20"/>
                <w:szCs w:val="20"/>
              </w:rPr>
            </w:pPr>
            <w:r>
              <w:rPr>
                <w:rFonts w:eastAsia="Times New Roman"/>
                <w:sz w:val="20"/>
                <w:szCs w:val="20"/>
              </w:rPr>
              <w:t>10</w:t>
            </w:r>
          </w:p>
        </w:tc>
        <w:tc>
          <w:tcPr>
            <w:tcW w:w="0" w:type="auto"/>
            <w:shd w:val="clear" w:color="auto" w:fill="CCEEFF"/>
            <w:tcMar>
              <w:top w:w="0" w:type="dxa"/>
              <w:left w:w="0" w:type="dxa"/>
              <w:bottom w:w="30" w:type="dxa"/>
              <w:right w:w="0" w:type="dxa"/>
            </w:tcMar>
            <w:vAlign w:val="bottom"/>
            <w:hideMark/>
          </w:tcPr>
          <w:p w14:paraId="746FF7B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067E07D0"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2BFE6731"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CCEEFF"/>
            <w:vAlign w:val="bottom"/>
            <w:hideMark/>
          </w:tcPr>
          <w:p w14:paraId="59C99838" w14:textId="77777777" w:rsidR="00000000" w:rsidRDefault="002F725F">
            <w:pPr>
              <w:jc w:val="right"/>
              <w:rPr>
                <w:rFonts w:eastAsia="Times New Roman"/>
                <w:sz w:val="20"/>
                <w:szCs w:val="20"/>
              </w:rPr>
            </w:pPr>
            <w:r>
              <w:rPr>
                <w:rFonts w:eastAsia="Times New Roman"/>
                <w:sz w:val="20"/>
                <w:szCs w:val="20"/>
              </w:rPr>
              <w:t>(146</w:t>
            </w:r>
          </w:p>
        </w:tc>
        <w:tc>
          <w:tcPr>
            <w:tcW w:w="0" w:type="auto"/>
            <w:shd w:val="clear" w:color="auto" w:fill="CCEEFF"/>
            <w:tcMar>
              <w:top w:w="0" w:type="dxa"/>
              <w:left w:w="0" w:type="dxa"/>
              <w:bottom w:w="30" w:type="dxa"/>
              <w:right w:w="0" w:type="dxa"/>
            </w:tcMar>
            <w:vAlign w:val="bottom"/>
            <w:hideMark/>
          </w:tcPr>
          <w:p w14:paraId="25E178E2"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tcMar>
              <w:top w:w="0" w:type="dxa"/>
              <w:left w:w="0" w:type="dxa"/>
              <w:bottom w:w="30" w:type="dxa"/>
              <w:right w:w="0" w:type="dxa"/>
            </w:tcMar>
            <w:vAlign w:val="bottom"/>
            <w:hideMark/>
          </w:tcPr>
          <w:p w14:paraId="55E73617"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2212EED8"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4B6189D1"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CCEEFF"/>
            <w:tcMar>
              <w:top w:w="0" w:type="dxa"/>
              <w:left w:w="0" w:type="dxa"/>
              <w:bottom w:w="30" w:type="dxa"/>
              <w:right w:w="0" w:type="dxa"/>
            </w:tcMar>
            <w:vAlign w:val="bottom"/>
            <w:hideMark/>
          </w:tcPr>
          <w:p w14:paraId="77F0FD5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73344B25"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3833C88C"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35A1714F" w14:textId="77777777" w:rsidR="00000000" w:rsidRDefault="002F725F">
            <w:pPr>
              <w:jc w:val="right"/>
              <w:rPr>
                <w:rFonts w:eastAsia="Times New Roman"/>
                <w:sz w:val="20"/>
                <w:szCs w:val="20"/>
              </w:rPr>
            </w:pPr>
            <w:r>
              <w:rPr>
                <w:rFonts w:eastAsia="Times New Roman"/>
                <w:sz w:val="20"/>
                <w:szCs w:val="20"/>
              </w:rPr>
              <w:t>3.66</w:t>
            </w:r>
          </w:p>
        </w:tc>
        <w:tc>
          <w:tcPr>
            <w:tcW w:w="0" w:type="auto"/>
            <w:shd w:val="clear" w:color="auto" w:fill="CCEEFF"/>
            <w:tcMar>
              <w:top w:w="0" w:type="dxa"/>
              <w:left w:w="0" w:type="dxa"/>
              <w:bottom w:w="30" w:type="dxa"/>
              <w:right w:w="0" w:type="dxa"/>
            </w:tcMar>
            <w:vAlign w:val="bottom"/>
            <w:hideMark/>
          </w:tcPr>
          <w:p w14:paraId="0D84C45C" w14:textId="77777777" w:rsidR="00000000" w:rsidRDefault="002F725F">
            <w:pPr>
              <w:rPr>
                <w:rFonts w:eastAsia="Times New Roman"/>
                <w:sz w:val="20"/>
                <w:szCs w:val="20"/>
              </w:rPr>
            </w:pPr>
            <w:r>
              <w:rPr>
                <w:rFonts w:eastAsia="Times New Roman"/>
                <w:sz w:val="20"/>
                <w:szCs w:val="20"/>
              </w:rPr>
              <w:t>x</w:t>
            </w:r>
          </w:p>
        </w:tc>
        <w:tc>
          <w:tcPr>
            <w:tcW w:w="0" w:type="auto"/>
            <w:shd w:val="clear" w:color="auto" w:fill="CCEEFF"/>
            <w:tcMar>
              <w:top w:w="0" w:type="dxa"/>
              <w:left w:w="0" w:type="dxa"/>
              <w:bottom w:w="30" w:type="dxa"/>
              <w:right w:w="0" w:type="dxa"/>
            </w:tcMar>
            <w:vAlign w:val="bottom"/>
            <w:hideMark/>
          </w:tcPr>
          <w:p w14:paraId="396DBD09"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41F9E447"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2AB741C0" w14:textId="77777777" w:rsidR="00000000" w:rsidRDefault="002F725F">
            <w:pPr>
              <w:jc w:val="right"/>
              <w:rPr>
                <w:rFonts w:eastAsia="Times New Roman"/>
                <w:sz w:val="20"/>
                <w:szCs w:val="20"/>
              </w:rPr>
            </w:pPr>
            <w:r>
              <w:rPr>
                <w:rFonts w:eastAsia="Times New Roman"/>
                <w:sz w:val="20"/>
                <w:szCs w:val="20"/>
              </w:rPr>
              <w:t>NM</w:t>
            </w:r>
          </w:p>
        </w:tc>
        <w:tc>
          <w:tcPr>
            <w:tcW w:w="0" w:type="auto"/>
            <w:shd w:val="clear" w:color="auto" w:fill="CCEEFF"/>
            <w:tcMar>
              <w:top w:w="0" w:type="dxa"/>
              <w:left w:w="0" w:type="dxa"/>
              <w:bottom w:w="30" w:type="dxa"/>
              <w:right w:w="0" w:type="dxa"/>
            </w:tcMar>
            <w:vAlign w:val="bottom"/>
            <w:hideMark/>
          </w:tcPr>
          <w:p w14:paraId="536220F1" w14:textId="77777777" w:rsidR="00000000" w:rsidRDefault="002F725F">
            <w:pPr>
              <w:rPr>
                <w:rFonts w:eastAsia="Times New Roman"/>
                <w:sz w:val="20"/>
                <w:szCs w:val="20"/>
              </w:rPr>
            </w:pPr>
            <w:r>
              <w:rPr>
                <w:rFonts w:eastAsia="Times New Roman"/>
                <w:sz w:val="20"/>
                <w:szCs w:val="20"/>
              </w:rPr>
              <w:t> </w:t>
            </w:r>
          </w:p>
        </w:tc>
      </w:tr>
      <w:tr w:rsidR="002F725F" w14:paraId="5AF91CDD" w14:textId="77777777">
        <w:trPr>
          <w:divId w:val="415980837"/>
        </w:trPr>
        <w:tc>
          <w:tcPr>
            <w:tcW w:w="0" w:type="auto"/>
            <w:shd w:val="clear" w:color="auto" w:fill="FFFFFF"/>
            <w:tcMar>
              <w:top w:w="0" w:type="dxa"/>
              <w:left w:w="0" w:type="dxa"/>
              <w:bottom w:w="30" w:type="dxa"/>
              <w:right w:w="0" w:type="dxa"/>
            </w:tcMar>
            <w:vAlign w:val="bottom"/>
            <w:hideMark/>
          </w:tcPr>
          <w:p w14:paraId="08DBF8C8" w14:textId="77777777" w:rsidR="00000000" w:rsidRDefault="002F725F">
            <w:pPr>
              <w:rPr>
                <w:rFonts w:eastAsia="Times New Roman"/>
                <w:sz w:val="20"/>
                <w:szCs w:val="20"/>
              </w:rPr>
            </w:pPr>
            <w:r>
              <w:rPr>
                <w:rFonts w:eastAsia="Times New Roman"/>
                <w:sz w:val="20"/>
                <w:szCs w:val="20"/>
              </w:rPr>
              <w:t>12/20/2021</w:t>
            </w:r>
          </w:p>
        </w:tc>
        <w:tc>
          <w:tcPr>
            <w:tcW w:w="0" w:type="auto"/>
            <w:shd w:val="clear" w:color="auto" w:fill="FFFFFF"/>
            <w:tcMar>
              <w:top w:w="0" w:type="dxa"/>
              <w:left w:w="0" w:type="dxa"/>
              <w:bottom w:w="30" w:type="dxa"/>
              <w:right w:w="0" w:type="dxa"/>
            </w:tcMar>
            <w:vAlign w:val="bottom"/>
            <w:hideMark/>
          </w:tcPr>
          <w:p w14:paraId="79E3C7B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327217D1" w14:textId="77777777" w:rsidR="00000000" w:rsidRDefault="002F725F">
            <w:pPr>
              <w:rPr>
                <w:rFonts w:eastAsia="Times New Roman"/>
                <w:sz w:val="20"/>
                <w:szCs w:val="20"/>
              </w:rPr>
            </w:pPr>
            <w:r>
              <w:rPr>
                <w:rFonts w:eastAsia="Times New Roman"/>
                <w:sz w:val="20"/>
                <w:szCs w:val="20"/>
              </w:rPr>
              <w:t>Sanofi-Aventis Pakistan Limited</w:t>
            </w:r>
          </w:p>
        </w:tc>
        <w:tc>
          <w:tcPr>
            <w:tcW w:w="0" w:type="auto"/>
            <w:shd w:val="clear" w:color="auto" w:fill="FFFFFF"/>
            <w:tcMar>
              <w:top w:w="0" w:type="dxa"/>
              <w:left w:w="0" w:type="dxa"/>
              <w:bottom w:w="30" w:type="dxa"/>
              <w:right w:w="0" w:type="dxa"/>
            </w:tcMar>
            <w:vAlign w:val="bottom"/>
            <w:hideMark/>
          </w:tcPr>
          <w:p w14:paraId="5E08807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073569BE" w14:textId="77777777" w:rsidR="00000000" w:rsidRDefault="002F725F">
            <w:pPr>
              <w:rPr>
                <w:rFonts w:eastAsia="Times New Roman"/>
                <w:sz w:val="20"/>
                <w:szCs w:val="20"/>
              </w:rPr>
            </w:pPr>
            <w:r>
              <w:rPr>
                <w:rFonts w:eastAsia="Times New Roman"/>
                <w:sz w:val="20"/>
                <w:szCs w:val="20"/>
              </w:rPr>
              <w:t xml:space="preserve">Packages Limited; Ali Gohar &amp; </w:t>
            </w:r>
            <w:r>
              <w:rPr>
                <w:rFonts w:eastAsia="Times New Roman"/>
                <w:sz w:val="20"/>
                <w:szCs w:val="20"/>
              </w:rPr>
              <w:t>Co. (Pvt) Ltd; IGI Investments (Private) Limited</w:t>
            </w:r>
          </w:p>
        </w:tc>
        <w:tc>
          <w:tcPr>
            <w:tcW w:w="0" w:type="auto"/>
            <w:shd w:val="clear" w:color="auto" w:fill="FFFFFF"/>
            <w:tcMar>
              <w:top w:w="0" w:type="dxa"/>
              <w:left w:w="0" w:type="dxa"/>
              <w:bottom w:w="30" w:type="dxa"/>
              <w:right w:w="0" w:type="dxa"/>
            </w:tcMar>
            <w:vAlign w:val="bottom"/>
            <w:hideMark/>
          </w:tcPr>
          <w:p w14:paraId="272651F3"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0422AC66"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FFFFFF"/>
            <w:vAlign w:val="bottom"/>
            <w:hideMark/>
          </w:tcPr>
          <w:p w14:paraId="413C85B8" w14:textId="77777777" w:rsidR="00000000" w:rsidRDefault="002F725F">
            <w:pPr>
              <w:jc w:val="right"/>
              <w:rPr>
                <w:rFonts w:eastAsia="Times New Roman"/>
                <w:sz w:val="20"/>
                <w:szCs w:val="20"/>
              </w:rPr>
            </w:pPr>
            <w:r>
              <w:rPr>
                <w:rFonts w:eastAsia="Times New Roman"/>
                <w:sz w:val="20"/>
                <w:szCs w:val="20"/>
              </w:rPr>
              <w:t>43</w:t>
            </w:r>
          </w:p>
        </w:tc>
        <w:tc>
          <w:tcPr>
            <w:tcW w:w="0" w:type="auto"/>
            <w:shd w:val="clear" w:color="auto" w:fill="FFFFFF"/>
            <w:tcMar>
              <w:top w:w="0" w:type="dxa"/>
              <w:left w:w="0" w:type="dxa"/>
              <w:bottom w:w="30" w:type="dxa"/>
              <w:right w:w="0" w:type="dxa"/>
            </w:tcMar>
            <w:vAlign w:val="bottom"/>
            <w:hideMark/>
          </w:tcPr>
          <w:p w14:paraId="49E2B45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192C646A"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5714F9F1"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FFFFFF"/>
            <w:vAlign w:val="bottom"/>
            <w:hideMark/>
          </w:tcPr>
          <w:p w14:paraId="5AC57EAC" w14:textId="77777777" w:rsidR="00000000" w:rsidRDefault="002F725F">
            <w:pPr>
              <w:jc w:val="right"/>
              <w:rPr>
                <w:rFonts w:eastAsia="Times New Roman"/>
                <w:sz w:val="20"/>
                <w:szCs w:val="20"/>
              </w:rPr>
            </w:pPr>
            <w:r>
              <w:rPr>
                <w:rFonts w:eastAsia="Times New Roman"/>
                <w:sz w:val="20"/>
                <w:szCs w:val="20"/>
              </w:rPr>
              <w:t>79</w:t>
            </w:r>
          </w:p>
        </w:tc>
        <w:tc>
          <w:tcPr>
            <w:tcW w:w="0" w:type="auto"/>
            <w:shd w:val="clear" w:color="auto" w:fill="FFFFFF"/>
            <w:tcMar>
              <w:top w:w="0" w:type="dxa"/>
              <w:left w:w="0" w:type="dxa"/>
              <w:bottom w:w="30" w:type="dxa"/>
              <w:right w:w="0" w:type="dxa"/>
            </w:tcMar>
            <w:vAlign w:val="bottom"/>
            <w:hideMark/>
          </w:tcPr>
          <w:p w14:paraId="65996A7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499568B6"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03DEEB08"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FFFFFF"/>
            <w:vAlign w:val="bottom"/>
            <w:hideMark/>
          </w:tcPr>
          <w:p w14:paraId="19EB4E60" w14:textId="77777777" w:rsidR="00000000" w:rsidRDefault="002F725F">
            <w:pPr>
              <w:jc w:val="right"/>
              <w:rPr>
                <w:rFonts w:eastAsia="Times New Roman"/>
                <w:sz w:val="20"/>
                <w:szCs w:val="20"/>
              </w:rPr>
            </w:pPr>
            <w:r>
              <w:rPr>
                <w:rFonts w:eastAsia="Times New Roman"/>
                <w:sz w:val="20"/>
                <w:szCs w:val="20"/>
              </w:rPr>
              <w:t>10</w:t>
            </w:r>
          </w:p>
        </w:tc>
        <w:tc>
          <w:tcPr>
            <w:tcW w:w="0" w:type="auto"/>
            <w:shd w:val="clear" w:color="auto" w:fill="FFFFFF"/>
            <w:tcMar>
              <w:top w:w="0" w:type="dxa"/>
              <w:left w:w="0" w:type="dxa"/>
              <w:bottom w:w="30" w:type="dxa"/>
              <w:right w:w="0" w:type="dxa"/>
            </w:tcMar>
            <w:vAlign w:val="bottom"/>
            <w:hideMark/>
          </w:tcPr>
          <w:p w14:paraId="732A82C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40E703B3"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7985BEEB"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1AFA35DC" w14:textId="77777777" w:rsidR="00000000" w:rsidRDefault="002F725F">
            <w:pPr>
              <w:jc w:val="right"/>
              <w:rPr>
                <w:rFonts w:eastAsia="Times New Roman"/>
                <w:sz w:val="20"/>
                <w:szCs w:val="20"/>
              </w:rPr>
            </w:pPr>
            <w:r>
              <w:rPr>
                <w:rFonts w:eastAsia="Times New Roman"/>
                <w:sz w:val="20"/>
                <w:szCs w:val="20"/>
              </w:rPr>
              <w:t>12.3</w:t>
            </w:r>
          </w:p>
        </w:tc>
        <w:tc>
          <w:tcPr>
            <w:tcW w:w="0" w:type="auto"/>
            <w:shd w:val="clear" w:color="auto" w:fill="FFFFFF"/>
            <w:tcMar>
              <w:top w:w="0" w:type="dxa"/>
              <w:left w:w="0" w:type="dxa"/>
              <w:bottom w:w="30" w:type="dxa"/>
              <w:right w:w="0" w:type="dxa"/>
            </w:tcMar>
            <w:vAlign w:val="bottom"/>
            <w:hideMark/>
          </w:tcPr>
          <w:p w14:paraId="0BF0EF66"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tcMar>
              <w:top w:w="0" w:type="dxa"/>
              <w:left w:w="0" w:type="dxa"/>
              <w:bottom w:w="30" w:type="dxa"/>
              <w:right w:w="0" w:type="dxa"/>
            </w:tcMar>
            <w:vAlign w:val="bottom"/>
            <w:hideMark/>
          </w:tcPr>
          <w:p w14:paraId="351CD18E"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2DA00296"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E9011B3" w14:textId="77777777" w:rsidR="00000000" w:rsidRDefault="002F725F">
            <w:pPr>
              <w:jc w:val="right"/>
              <w:rPr>
                <w:rFonts w:eastAsia="Times New Roman"/>
                <w:sz w:val="20"/>
                <w:szCs w:val="20"/>
              </w:rPr>
            </w:pPr>
            <w:r>
              <w:rPr>
                <w:rFonts w:eastAsia="Times New Roman"/>
                <w:sz w:val="20"/>
                <w:szCs w:val="20"/>
              </w:rPr>
              <w:t>0.55</w:t>
            </w:r>
          </w:p>
        </w:tc>
        <w:tc>
          <w:tcPr>
            <w:tcW w:w="0" w:type="auto"/>
            <w:shd w:val="clear" w:color="auto" w:fill="FFFFFF"/>
            <w:tcMar>
              <w:top w:w="0" w:type="dxa"/>
              <w:left w:w="0" w:type="dxa"/>
              <w:bottom w:w="30" w:type="dxa"/>
              <w:right w:w="0" w:type="dxa"/>
            </w:tcMar>
            <w:vAlign w:val="bottom"/>
            <w:hideMark/>
          </w:tcPr>
          <w:p w14:paraId="2803FEBC" w14:textId="77777777" w:rsidR="00000000" w:rsidRDefault="002F725F">
            <w:pPr>
              <w:rPr>
                <w:rFonts w:eastAsia="Times New Roman"/>
                <w:sz w:val="20"/>
                <w:szCs w:val="20"/>
              </w:rPr>
            </w:pPr>
            <w:r>
              <w:rPr>
                <w:rFonts w:eastAsia="Times New Roman"/>
                <w:sz w:val="20"/>
                <w:szCs w:val="20"/>
              </w:rPr>
              <w:t>x</w:t>
            </w:r>
          </w:p>
        </w:tc>
        <w:tc>
          <w:tcPr>
            <w:tcW w:w="0" w:type="auto"/>
            <w:shd w:val="clear" w:color="auto" w:fill="FFFFFF"/>
            <w:tcMar>
              <w:top w:w="0" w:type="dxa"/>
              <w:left w:w="0" w:type="dxa"/>
              <w:bottom w:w="30" w:type="dxa"/>
              <w:right w:w="0" w:type="dxa"/>
            </w:tcMar>
            <w:vAlign w:val="bottom"/>
            <w:hideMark/>
          </w:tcPr>
          <w:p w14:paraId="3C502BC4"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AABE441"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5F607A96" w14:textId="77777777" w:rsidR="00000000" w:rsidRDefault="002F725F">
            <w:pPr>
              <w:jc w:val="right"/>
              <w:rPr>
                <w:rFonts w:eastAsia="Times New Roman"/>
                <w:sz w:val="20"/>
                <w:szCs w:val="20"/>
              </w:rPr>
            </w:pPr>
            <w:r>
              <w:rPr>
                <w:rFonts w:eastAsia="Times New Roman"/>
                <w:sz w:val="20"/>
                <w:szCs w:val="20"/>
              </w:rPr>
              <w:t>4.5</w:t>
            </w:r>
          </w:p>
        </w:tc>
        <w:tc>
          <w:tcPr>
            <w:tcW w:w="0" w:type="auto"/>
            <w:shd w:val="clear" w:color="auto" w:fill="FFFFFF"/>
            <w:tcMar>
              <w:top w:w="0" w:type="dxa"/>
              <w:left w:w="0" w:type="dxa"/>
              <w:bottom w:w="30" w:type="dxa"/>
              <w:right w:w="0" w:type="dxa"/>
            </w:tcMar>
            <w:vAlign w:val="bottom"/>
            <w:hideMark/>
          </w:tcPr>
          <w:p w14:paraId="134BB8B1" w14:textId="77777777" w:rsidR="00000000" w:rsidRDefault="002F725F">
            <w:pPr>
              <w:rPr>
                <w:rFonts w:eastAsia="Times New Roman"/>
                <w:sz w:val="20"/>
                <w:szCs w:val="20"/>
              </w:rPr>
            </w:pPr>
            <w:r>
              <w:rPr>
                <w:rFonts w:eastAsia="Times New Roman"/>
                <w:sz w:val="20"/>
                <w:szCs w:val="20"/>
              </w:rPr>
              <w:t>x</w:t>
            </w:r>
          </w:p>
        </w:tc>
      </w:tr>
      <w:tr w:rsidR="002F725F" w14:paraId="64B84371" w14:textId="77777777">
        <w:trPr>
          <w:divId w:val="415980837"/>
        </w:trPr>
        <w:tc>
          <w:tcPr>
            <w:tcW w:w="0" w:type="auto"/>
            <w:shd w:val="clear" w:color="auto" w:fill="CCEEFF"/>
            <w:tcMar>
              <w:top w:w="0" w:type="dxa"/>
              <w:left w:w="0" w:type="dxa"/>
              <w:bottom w:w="30" w:type="dxa"/>
              <w:right w:w="0" w:type="dxa"/>
            </w:tcMar>
            <w:vAlign w:val="bottom"/>
            <w:hideMark/>
          </w:tcPr>
          <w:p w14:paraId="21D53DD4" w14:textId="77777777" w:rsidR="00000000" w:rsidRDefault="002F725F">
            <w:pPr>
              <w:rPr>
                <w:rFonts w:eastAsia="Times New Roman"/>
                <w:sz w:val="20"/>
                <w:szCs w:val="20"/>
              </w:rPr>
            </w:pPr>
            <w:r>
              <w:rPr>
                <w:rFonts w:eastAsia="Times New Roman"/>
                <w:sz w:val="20"/>
                <w:szCs w:val="20"/>
              </w:rPr>
              <w:t>1/21/2021</w:t>
            </w:r>
          </w:p>
        </w:tc>
        <w:tc>
          <w:tcPr>
            <w:tcW w:w="0" w:type="auto"/>
            <w:shd w:val="clear" w:color="auto" w:fill="CCEEFF"/>
            <w:tcMar>
              <w:top w:w="0" w:type="dxa"/>
              <w:left w:w="0" w:type="dxa"/>
              <w:bottom w:w="30" w:type="dxa"/>
              <w:right w:w="0" w:type="dxa"/>
            </w:tcMar>
            <w:vAlign w:val="bottom"/>
            <w:hideMark/>
          </w:tcPr>
          <w:p w14:paraId="0CB1A4F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16116A80" w14:textId="77777777" w:rsidR="00000000" w:rsidRDefault="002F725F">
            <w:pPr>
              <w:rPr>
                <w:rFonts w:eastAsia="Times New Roman"/>
                <w:sz w:val="20"/>
                <w:szCs w:val="20"/>
              </w:rPr>
            </w:pPr>
            <w:r>
              <w:rPr>
                <w:rFonts w:eastAsia="Times New Roman"/>
                <w:sz w:val="20"/>
                <w:szCs w:val="20"/>
              </w:rPr>
              <w:t>Sanofi Bangladesh Limited</w:t>
            </w:r>
          </w:p>
        </w:tc>
        <w:tc>
          <w:tcPr>
            <w:tcW w:w="0" w:type="auto"/>
            <w:shd w:val="clear" w:color="auto" w:fill="CCEEFF"/>
            <w:tcMar>
              <w:top w:w="0" w:type="dxa"/>
              <w:left w:w="0" w:type="dxa"/>
              <w:bottom w:w="30" w:type="dxa"/>
              <w:right w:w="0" w:type="dxa"/>
            </w:tcMar>
            <w:vAlign w:val="bottom"/>
            <w:hideMark/>
          </w:tcPr>
          <w:p w14:paraId="352F65C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76603C63" w14:textId="77777777" w:rsidR="00000000" w:rsidRDefault="002F725F">
            <w:pPr>
              <w:rPr>
                <w:rFonts w:eastAsia="Times New Roman"/>
                <w:sz w:val="20"/>
                <w:szCs w:val="20"/>
              </w:rPr>
            </w:pPr>
            <w:r>
              <w:rPr>
                <w:rFonts w:eastAsia="Times New Roman"/>
                <w:sz w:val="20"/>
                <w:szCs w:val="20"/>
              </w:rPr>
              <w:t>Beximco Pharmaceuticals Limited (nka:Beximco Pharmaceuticals PLC.)</w:t>
            </w:r>
          </w:p>
        </w:tc>
        <w:tc>
          <w:tcPr>
            <w:tcW w:w="0" w:type="auto"/>
            <w:shd w:val="clear" w:color="auto" w:fill="CCEEFF"/>
            <w:tcMar>
              <w:top w:w="0" w:type="dxa"/>
              <w:left w:w="0" w:type="dxa"/>
              <w:bottom w:w="30" w:type="dxa"/>
              <w:right w:w="0" w:type="dxa"/>
            </w:tcMar>
            <w:vAlign w:val="bottom"/>
            <w:hideMark/>
          </w:tcPr>
          <w:p w14:paraId="64F98B89"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546B046C"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CCEEFF"/>
            <w:vAlign w:val="bottom"/>
            <w:hideMark/>
          </w:tcPr>
          <w:p w14:paraId="28959487" w14:textId="77777777" w:rsidR="00000000" w:rsidRDefault="002F725F">
            <w:pPr>
              <w:jc w:val="right"/>
              <w:rPr>
                <w:rFonts w:eastAsia="Times New Roman"/>
                <w:sz w:val="20"/>
                <w:szCs w:val="20"/>
              </w:rPr>
            </w:pPr>
            <w:r>
              <w:rPr>
                <w:rFonts w:eastAsia="Times New Roman"/>
                <w:sz w:val="20"/>
                <w:szCs w:val="20"/>
              </w:rPr>
              <w:t>101</w:t>
            </w:r>
          </w:p>
        </w:tc>
        <w:tc>
          <w:tcPr>
            <w:tcW w:w="0" w:type="auto"/>
            <w:shd w:val="clear" w:color="auto" w:fill="CCEEFF"/>
            <w:tcMar>
              <w:top w:w="0" w:type="dxa"/>
              <w:left w:w="0" w:type="dxa"/>
              <w:bottom w:w="30" w:type="dxa"/>
              <w:right w:w="0" w:type="dxa"/>
            </w:tcMar>
            <w:vAlign w:val="bottom"/>
            <w:hideMark/>
          </w:tcPr>
          <w:p w14:paraId="0D6FCB1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14CF3F93"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6DC6946F" w14:textId="77777777" w:rsidR="00000000" w:rsidRDefault="002F725F">
            <w:pPr>
              <w:rPr>
                <w:rFonts w:eastAsia="Times New Roman"/>
                <w:sz w:val="20"/>
                <w:szCs w:val="20"/>
              </w:rPr>
            </w:pPr>
            <w:r>
              <w:rPr>
                <w:rFonts w:eastAsia="Times New Roman"/>
                <w:sz w:val="20"/>
                <w:szCs w:val="20"/>
              </w:rPr>
              <w:t>$</w:t>
            </w:r>
          </w:p>
        </w:tc>
        <w:tc>
          <w:tcPr>
            <w:tcW w:w="0" w:type="auto"/>
            <w:tcBorders>
              <w:bottom w:val="single" w:sz="12" w:space="0" w:color="000000"/>
            </w:tcBorders>
            <w:shd w:val="clear" w:color="auto" w:fill="CCEEFF"/>
            <w:vAlign w:val="bottom"/>
            <w:hideMark/>
          </w:tcPr>
          <w:p w14:paraId="763962B4" w14:textId="77777777" w:rsidR="00000000" w:rsidRDefault="002F725F">
            <w:pPr>
              <w:jc w:val="right"/>
              <w:rPr>
                <w:rFonts w:eastAsia="Times New Roman"/>
                <w:sz w:val="20"/>
                <w:szCs w:val="20"/>
              </w:rPr>
            </w:pPr>
            <w:r>
              <w:rPr>
                <w:rFonts w:eastAsia="Times New Roman"/>
                <w:sz w:val="20"/>
                <w:szCs w:val="20"/>
              </w:rPr>
              <w:t>35</w:t>
            </w:r>
          </w:p>
        </w:tc>
        <w:tc>
          <w:tcPr>
            <w:tcW w:w="0" w:type="auto"/>
            <w:shd w:val="clear" w:color="auto" w:fill="CCEEFF"/>
            <w:tcMar>
              <w:top w:w="0" w:type="dxa"/>
              <w:left w:w="0" w:type="dxa"/>
              <w:bottom w:w="30" w:type="dxa"/>
              <w:right w:w="0" w:type="dxa"/>
            </w:tcMar>
            <w:vAlign w:val="bottom"/>
            <w:hideMark/>
          </w:tcPr>
          <w:p w14:paraId="128C815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33499F86"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2A7999C5"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160CD5FD"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tcMar>
              <w:top w:w="0" w:type="dxa"/>
              <w:left w:w="0" w:type="dxa"/>
              <w:bottom w:w="30" w:type="dxa"/>
              <w:right w:w="0" w:type="dxa"/>
            </w:tcMar>
            <w:vAlign w:val="bottom"/>
            <w:hideMark/>
          </w:tcPr>
          <w:p w14:paraId="0579FFF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345D4AEC"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7A100F4E"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55281FCA"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tcMar>
              <w:top w:w="0" w:type="dxa"/>
              <w:left w:w="0" w:type="dxa"/>
              <w:bottom w:w="30" w:type="dxa"/>
              <w:right w:w="0" w:type="dxa"/>
            </w:tcMar>
            <w:vAlign w:val="bottom"/>
            <w:hideMark/>
          </w:tcPr>
          <w:p w14:paraId="7F587D5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00CD8791"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67D67D0C"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2A88181E" w14:textId="77777777" w:rsidR="00000000" w:rsidRDefault="002F725F">
            <w:pPr>
              <w:jc w:val="right"/>
              <w:rPr>
                <w:rFonts w:eastAsia="Times New Roman"/>
                <w:sz w:val="20"/>
                <w:szCs w:val="20"/>
              </w:rPr>
            </w:pPr>
            <w:r>
              <w:rPr>
                <w:rFonts w:eastAsia="Times New Roman"/>
                <w:sz w:val="20"/>
                <w:szCs w:val="20"/>
              </w:rPr>
              <w:t>2.84</w:t>
            </w:r>
          </w:p>
        </w:tc>
        <w:tc>
          <w:tcPr>
            <w:tcW w:w="0" w:type="auto"/>
            <w:shd w:val="clear" w:color="auto" w:fill="CCEEFF"/>
            <w:tcMar>
              <w:top w:w="0" w:type="dxa"/>
              <w:left w:w="0" w:type="dxa"/>
              <w:bottom w:w="30" w:type="dxa"/>
              <w:right w:w="0" w:type="dxa"/>
            </w:tcMar>
            <w:vAlign w:val="bottom"/>
            <w:hideMark/>
          </w:tcPr>
          <w:p w14:paraId="42120546" w14:textId="77777777" w:rsidR="00000000" w:rsidRDefault="002F725F">
            <w:pPr>
              <w:rPr>
                <w:rFonts w:eastAsia="Times New Roman"/>
                <w:sz w:val="20"/>
                <w:szCs w:val="20"/>
              </w:rPr>
            </w:pPr>
            <w:r>
              <w:rPr>
                <w:rFonts w:eastAsia="Times New Roman"/>
                <w:sz w:val="20"/>
                <w:szCs w:val="20"/>
              </w:rPr>
              <w:t>x</w:t>
            </w:r>
          </w:p>
        </w:tc>
        <w:tc>
          <w:tcPr>
            <w:tcW w:w="0" w:type="auto"/>
            <w:shd w:val="clear" w:color="auto" w:fill="CCEEFF"/>
            <w:tcMar>
              <w:top w:w="0" w:type="dxa"/>
              <w:left w:w="0" w:type="dxa"/>
              <w:bottom w:w="30" w:type="dxa"/>
              <w:right w:w="0" w:type="dxa"/>
            </w:tcMar>
            <w:vAlign w:val="bottom"/>
            <w:hideMark/>
          </w:tcPr>
          <w:p w14:paraId="4861281E"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524CF0FF"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6CC64844" w14:textId="77777777" w:rsidR="00000000" w:rsidRDefault="002F725F">
            <w:pPr>
              <w:jc w:val="right"/>
              <w:rPr>
                <w:rFonts w:eastAsia="Times New Roman"/>
                <w:sz w:val="20"/>
                <w:szCs w:val="20"/>
              </w:rPr>
            </w:pPr>
            <w:r>
              <w:rPr>
                <w:rFonts w:eastAsia="Times New Roman"/>
                <w:sz w:val="20"/>
                <w:szCs w:val="20"/>
              </w:rPr>
              <w:t>NA</w:t>
            </w:r>
          </w:p>
        </w:tc>
        <w:tc>
          <w:tcPr>
            <w:tcW w:w="0" w:type="auto"/>
            <w:shd w:val="clear" w:color="auto" w:fill="CCEEFF"/>
            <w:tcMar>
              <w:top w:w="0" w:type="dxa"/>
              <w:left w:w="0" w:type="dxa"/>
              <w:bottom w:w="30" w:type="dxa"/>
              <w:right w:w="0" w:type="dxa"/>
            </w:tcMar>
            <w:vAlign w:val="bottom"/>
            <w:hideMark/>
          </w:tcPr>
          <w:p w14:paraId="0DCF4C8C" w14:textId="77777777" w:rsidR="00000000" w:rsidRDefault="002F725F">
            <w:pPr>
              <w:rPr>
                <w:rFonts w:eastAsia="Times New Roman"/>
                <w:sz w:val="20"/>
                <w:szCs w:val="20"/>
              </w:rPr>
            </w:pPr>
            <w:r>
              <w:rPr>
                <w:rFonts w:eastAsia="Times New Roman"/>
                <w:sz w:val="20"/>
                <w:szCs w:val="20"/>
              </w:rPr>
              <w:t> </w:t>
            </w:r>
          </w:p>
        </w:tc>
      </w:tr>
      <w:tr w:rsidR="002F725F" w14:paraId="3CE074FC" w14:textId="77777777">
        <w:trPr>
          <w:divId w:val="415980837"/>
        </w:trPr>
        <w:tc>
          <w:tcPr>
            <w:tcW w:w="0" w:type="auto"/>
            <w:shd w:val="clear" w:color="auto" w:fill="FFFFFF"/>
            <w:vAlign w:val="bottom"/>
            <w:hideMark/>
          </w:tcPr>
          <w:p w14:paraId="0C0022D1" w14:textId="77777777" w:rsidR="00000000" w:rsidRDefault="002F725F">
            <w:pPr>
              <w:rPr>
                <w:rFonts w:eastAsia="Times New Roman"/>
                <w:b/>
                <w:bCs/>
                <w:sz w:val="20"/>
                <w:szCs w:val="20"/>
              </w:rPr>
            </w:pPr>
            <w:r>
              <w:rPr>
                <w:rFonts w:eastAsia="Times New Roman"/>
                <w:b/>
                <w:bCs/>
                <w:sz w:val="20"/>
                <w:szCs w:val="20"/>
              </w:rPr>
              <w:t>Mean</w:t>
            </w:r>
          </w:p>
        </w:tc>
        <w:tc>
          <w:tcPr>
            <w:tcW w:w="0" w:type="auto"/>
            <w:shd w:val="clear" w:color="auto" w:fill="FFFFFF"/>
            <w:vAlign w:val="bottom"/>
            <w:hideMark/>
          </w:tcPr>
          <w:p w14:paraId="7C445A7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54F0CA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4A432F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A43E33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9711C7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35CAB8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52D7F1C"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7D72350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1684D6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96EC4A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97A4E9F"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1427067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82F37B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678CAA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3028550"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72C12D7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7F9510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2A6082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693AA32"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09F4F47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5534AD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76A797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AC1900A" w14:textId="77777777" w:rsidR="00000000" w:rsidRDefault="002F725F">
            <w:pPr>
              <w:jc w:val="right"/>
              <w:rPr>
                <w:rFonts w:eastAsia="Times New Roman"/>
                <w:sz w:val="20"/>
                <w:szCs w:val="20"/>
              </w:rPr>
            </w:pPr>
            <w:r>
              <w:rPr>
                <w:rFonts w:eastAsia="Times New Roman"/>
                <w:sz w:val="20"/>
                <w:szCs w:val="20"/>
              </w:rPr>
              <w:t>2.34</w:t>
            </w:r>
          </w:p>
        </w:tc>
        <w:tc>
          <w:tcPr>
            <w:tcW w:w="0" w:type="auto"/>
            <w:shd w:val="clear" w:color="auto" w:fill="FFFFFF"/>
            <w:vAlign w:val="bottom"/>
            <w:hideMark/>
          </w:tcPr>
          <w:p w14:paraId="3EBF74A6" w14:textId="77777777" w:rsidR="00000000" w:rsidRDefault="002F725F">
            <w:pPr>
              <w:rPr>
                <w:rFonts w:eastAsia="Times New Roman"/>
                <w:sz w:val="20"/>
                <w:szCs w:val="20"/>
              </w:rPr>
            </w:pPr>
            <w:r>
              <w:rPr>
                <w:rFonts w:eastAsia="Times New Roman"/>
                <w:sz w:val="20"/>
                <w:szCs w:val="20"/>
              </w:rPr>
              <w:t>x</w:t>
            </w:r>
          </w:p>
        </w:tc>
        <w:tc>
          <w:tcPr>
            <w:tcW w:w="0" w:type="auto"/>
            <w:shd w:val="clear" w:color="auto" w:fill="FFFFFF"/>
            <w:vAlign w:val="bottom"/>
            <w:hideMark/>
          </w:tcPr>
          <w:p w14:paraId="51EAD3C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8CC54F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1E43404" w14:textId="77777777" w:rsidR="00000000" w:rsidRDefault="002F725F">
            <w:pPr>
              <w:jc w:val="right"/>
              <w:rPr>
                <w:rFonts w:eastAsia="Times New Roman"/>
                <w:sz w:val="20"/>
                <w:szCs w:val="20"/>
              </w:rPr>
            </w:pPr>
            <w:r>
              <w:rPr>
                <w:rFonts w:eastAsia="Times New Roman"/>
                <w:sz w:val="20"/>
                <w:szCs w:val="20"/>
              </w:rPr>
              <w:t>23.67</w:t>
            </w:r>
          </w:p>
        </w:tc>
        <w:tc>
          <w:tcPr>
            <w:tcW w:w="0" w:type="auto"/>
            <w:shd w:val="clear" w:color="auto" w:fill="FFFFFF"/>
            <w:vAlign w:val="bottom"/>
            <w:hideMark/>
          </w:tcPr>
          <w:p w14:paraId="7AAC3E56" w14:textId="77777777" w:rsidR="00000000" w:rsidRDefault="002F725F">
            <w:pPr>
              <w:rPr>
                <w:rFonts w:eastAsia="Times New Roman"/>
                <w:sz w:val="20"/>
                <w:szCs w:val="20"/>
              </w:rPr>
            </w:pPr>
            <w:r>
              <w:rPr>
                <w:rFonts w:eastAsia="Times New Roman"/>
                <w:sz w:val="20"/>
                <w:szCs w:val="20"/>
              </w:rPr>
              <w:t>x</w:t>
            </w:r>
          </w:p>
        </w:tc>
      </w:tr>
      <w:tr w:rsidR="002F725F" w14:paraId="73CC56C9" w14:textId="77777777">
        <w:trPr>
          <w:divId w:val="415980837"/>
        </w:trPr>
        <w:tc>
          <w:tcPr>
            <w:tcW w:w="0" w:type="auto"/>
            <w:shd w:val="clear" w:color="auto" w:fill="CCEEFF"/>
            <w:tcMar>
              <w:top w:w="0" w:type="dxa"/>
              <w:left w:w="0" w:type="dxa"/>
              <w:bottom w:w="30" w:type="dxa"/>
              <w:right w:w="0" w:type="dxa"/>
            </w:tcMar>
            <w:vAlign w:val="bottom"/>
            <w:hideMark/>
          </w:tcPr>
          <w:p w14:paraId="09F4B840" w14:textId="77777777" w:rsidR="00000000" w:rsidRDefault="002F725F">
            <w:pPr>
              <w:rPr>
                <w:rFonts w:eastAsia="Times New Roman"/>
                <w:b/>
                <w:bCs/>
                <w:sz w:val="20"/>
                <w:szCs w:val="20"/>
              </w:rPr>
            </w:pPr>
            <w:r>
              <w:rPr>
                <w:rFonts w:eastAsia="Times New Roman"/>
                <w:b/>
                <w:bCs/>
                <w:sz w:val="20"/>
                <w:szCs w:val="20"/>
              </w:rPr>
              <w:t>Median</w:t>
            </w:r>
          </w:p>
        </w:tc>
        <w:tc>
          <w:tcPr>
            <w:tcW w:w="0" w:type="auto"/>
            <w:shd w:val="clear" w:color="auto" w:fill="CCEEFF"/>
            <w:tcMar>
              <w:top w:w="0" w:type="dxa"/>
              <w:left w:w="0" w:type="dxa"/>
              <w:bottom w:w="30" w:type="dxa"/>
              <w:right w:w="0" w:type="dxa"/>
            </w:tcMar>
            <w:vAlign w:val="bottom"/>
            <w:hideMark/>
          </w:tcPr>
          <w:p w14:paraId="0C4D146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041503F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354521C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382E628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6685CF1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3665C81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79B92EE8"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5049685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2B35181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2EEA0A9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63A418D7"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2959EAD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799301C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17B95BE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3D06C657"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47F3DE4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71A25DF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7CFBE4A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6680F57F"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7C5706F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tcMar>
              <w:top w:w="0" w:type="dxa"/>
              <w:left w:w="0" w:type="dxa"/>
              <w:bottom w:w="30" w:type="dxa"/>
              <w:right w:w="0" w:type="dxa"/>
            </w:tcMar>
            <w:vAlign w:val="bottom"/>
            <w:hideMark/>
          </w:tcPr>
          <w:p w14:paraId="31B2246B"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1A2BE0D5"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205D1B8E" w14:textId="77777777" w:rsidR="00000000" w:rsidRDefault="002F725F">
            <w:pPr>
              <w:jc w:val="right"/>
              <w:rPr>
                <w:rFonts w:eastAsia="Times New Roman"/>
                <w:sz w:val="20"/>
                <w:szCs w:val="20"/>
              </w:rPr>
            </w:pPr>
            <w:r>
              <w:rPr>
                <w:rFonts w:eastAsia="Times New Roman"/>
                <w:sz w:val="20"/>
                <w:szCs w:val="20"/>
              </w:rPr>
              <w:t>2.28</w:t>
            </w:r>
          </w:p>
        </w:tc>
        <w:tc>
          <w:tcPr>
            <w:tcW w:w="0" w:type="auto"/>
            <w:shd w:val="clear" w:color="auto" w:fill="CCEEFF"/>
            <w:tcMar>
              <w:top w:w="0" w:type="dxa"/>
              <w:left w:w="0" w:type="dxa"/>
              <w:bottom w:w="30" w:type="dxa"/>
              <w:right w:w="0" w:type="dxa"/>
            </w:tcMar>
            <w:vAlign w:val="bottom"/>
            <w:hideMark/>
          </w:tcPr>
          <w:p w14:paraId="2EF6D7B3" w14:textId="77777777" w:rsidR="00000000" w:rsidRDefault="002F725F">
            <w:pPr>
              <w:rPr>
                <w:rFonts w:eastAsia="Times New Roman"/>
                <w:sz w:val="20"/>
                <w:szCs w:val="20"/>
              </w:rPr>
            </w:pPr>
            <w:r>
              <w:rPr>
                <w:rFonts w:eastAsia="Times New Roman"/>
                <w:sz w:val="20"/>
                <w:szCs w:val="20"/>
              </w:rPr>
              <w:t>x</w:t>
            </w:r>
          </w:p>
        </w:tc>
        <w:tc>
          <w:tcPr>
            <w:tcW w:w="0" w:type="auto"/>
            <w:shd w:val="clear" w:color="auto" w:fill="CCEEFF"/>
            <w:tcMar>
              <w:top w:w="0" w:type="dxa"/>
              <w:left w:w="0" w:type="dxa"/>
              <w:bottom w:w="30" w:type="dxa"/>
              <w:right w:w="0" w:type="dxa"/>
            </w:tcMar>
            <w:vAlign w:val="bottom"/>
            <w:hideMark/>
          </w:tcPr>
          <w:p w14:paraId="4EBDC1F2"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60C64B89"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324CB2D1" w14:textId="77777777" w:rsidR="00000000" w:rsidRDefault="002F725F">
            <w:pPr>
              <w:jc w:val="right"/>
              <w:rPr>
                <w:rFonts w:eastAsia="Times New Roman"/>
                <w:sz w:val="20"/>
                <w:szCs w:val="20"/>
              </w:rPr>
            </w:pPr>
            <w:r>
              <w:rPr>
                <w:rFonts w:eastAsia="Times New Roman"/>
                <w:sz w:val="20"/>
                <w:szCs w:val="20"/>
              </w:rPr>
              <w:t>4.47</w:t>
            </w:r>
          </w:p>
        </w:tc>
        <w:tc>
          <w:tcPr>
            <w:tcW w:w="0" w:type="auto"/>
            <w:shd w:val="clear" w:color="auto" w:fill="CCEEFF"/>
            <w:tcMar>
              <w:top w:w="0" w:type="dxa"/>
              <w:left w:w="0" w:type="dxa"/>
              <w:bottom w:w="30" w:type="dxa"/>
              <w:right w:w="0" w:type="dxa"/>
            </w:tcMar>
            <w:vAlign w:val="bottom"/>
            <w:hideMark/>
          </w:tcPr>
          <w:p w14:paraId="4374D2EB" w14:textId="77777777" w:rsidR="00000000" w:rsidRDefault="002F725F">
            <w:pPr>
              <w:rPr>
                <w:rFonts w:eastAsia="Times New Roman"/>
                <w:sz w:val="20"/>
                <w:szCs w:val="20"/>
              </w:rPr>
            </w:pPr>
            <w:r>
              <w:rPr>
                <w:rFonts w:eastAsia="Times New Roman"/>
                <w:sz w:val="20"/>
                <w:szCs w:val="20"/>
              </w:rPr>
              <w:t>x</w:t>
            </w:r>
          </w:p>
        </w:tc>
      </w:tr>
    </w:tbl>
    <w:p w14:paraId="012A5FE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1AEA0CC" w14:textId="77777777" w:rsidR="00000000" w:rsidRDefault="002F725F">
      <w:pPr>
        <w:pStyle w:val="NormalWeb"/>
        <w:spacing w:before="0" w:beforeAutospacing="0" w:after="0" w:afterAutospacing="0"/>
        <w:jc w:val="both"/>
        <w:divId w:val="415980837"/>
        <w:rPr>
          <w:sz w:val="20"/>
          <w:szCs w:val="20"/>
        </w:rPr>
      </w:pPr>
      <w:r>
        <w:rPr>
          <w:sz w:val="20"/>
          <w:szCs w:val="20"/>
        </w:rPr>
        <w:t>Notes:</w:t>
      </w:r>
    </w:p>
    <w:p w14:paraId="335B9791" w14:textId="77777777" w:rsidR="00000000" w:rsidRDefault="002F725F">
      <w:pPr>
        <w:pStyle w:val="NormalWeb"/>
        <w:shd w:val="clear" w:color="auto" w:fill="FFFFFF"/>
        <w:spacing w:before="0" w:beforeAutospacing="0" w:after="0" w:afterAutospacing="0"/>
        <w:divId w:val="415980837"/>
        <w:rPr>
          <w:sz w:val="20"/>
          <w:szCs w:val="20"/>
        </w:rPr>
      </w:pPr>
      <w:r>
        <w:rPr>
          <w:sz w:val="20"/>
          <w:szCs w:val="20"/>
        </w:rPr>
        <w:t> </w:t>
      </w:r>
    </w:p>
    <w:p w14:paraId="5BD2525E" w14:textId="77777777" w:rsidR="00000000" w:rsidRDefault="002F725F">
      <w:pPr>
        <w:pStyle w:val="NormalWeb"/>
        <w:shd w:val="clear" w:color="auto" w:fill="FFFFFF"/>
        <w:spacing w:before="0" w:beforeAutospacing="0" w:after="0" w:afterAutospacing="0"/>
        <w:divId w:val="415980837"/>
        <w:rPr>
          <w:sz w:val="20"/>
          <w:szCs w:val="20"/>
        </w:rPr>
      </w:pPr>
      <w:r>
        <w:rPr>
          <w:sz w:val="20"/>
          <w:szCs w:val="20"/>
        </w:rPr>
        <w:t>LTM = Latest Twelve Months</w:t>
      </w:r>
    </w:p>
    <w:p w14:paraId="2EAEBEEF" w14:textId="77777777" w:rsidR="00000000" w:rsidRDefault="002F725F">
      <w:pPr>
        <w:pStyle w:val="NormalWeb"/>
        <w:shd w:val="clear" w:color="auto" w:fill="FFFFFF"/>
        <w:spacing w:before="0" w:beforeAutospacing="0" w:after="0" w:afterAutospacing="0"/>
        <w:divId w:val="415980837"/>
        <w:rPr>
          <w:sz w:val="20"/>
          <w:szCs w:val="20"/>
        </w:rPr>
      </w:pPr>
      <w:r>
        <w:rPr>
          <w:sz w:val="20"/>
          <w:szCs w:val="20"/>
        </w:rPr>
        <w:t> </w:t>
      </w:r>
    </w:p>
    <w:p w14:paraId="00DFA80D" w14:textId="77777777" w:rsidR="00000000" w:rsidRDefault="002F725F">
      <w:pPr>
        <w:pStyle w:val="NormalWeb"/>
        <w:spacing w:before="0" w:beforeAutospacing="0" w:after="0" w:afterAutospacing="0"/>
        <w:divId w:val="415980837"/>
        <w:rPr>
          <w:sz w:val="20"/>
          <w:szCs w:val="20"/>
        </w:rPr>
      </w:pPr>
      <w:r>
        <w:rPr>
          <w:sz w:val="20"/>
          <w:szCs w:val="20"/>
        </w:rPr>
        <w:t>Source: Capital IQ, Bloomberg, company filings, press releases</w:t>
      </w:r>
    </w:p>
    <w:p w14:paraId="1F3EAA4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21832ED" w14:textId="77777777" w:rsidR="00000000" w:rsidRDefault="002F725F">
      <w:pPr>
        <w:pStyle w:val="NormalWeb"/>
        <w:spacing w:before="0" w:beforeAutospacing="0" w:after="0" w:afterAutospacing="0"/>
        <w:jc w:val="center"/>
        <w:divId w:val="1019045467"/>
        <w:rPr>
          <w:sz w:val="20"/>
          <w:szCs w:val="20"/>
        </w:rPr>
      </w:pPr>
      <w:r>
        <w:rPr>
          <w:sz w:val="20"/>
          <w:szCs w:val="20"/>
        </w:rPr>
        <w:t>5</w:t>
      </w:r>
      <w:r>
        <w:rPr>
          <w:sz w:val="20"/>
          <w:szCs w:val="20"/>
        </w:rPr>
        <w:t>4</w:t>
      </w:r>
    </w:p>
    <w:p w14:paraId="3566831B" w14:textId="77777777" w:rsidR="00000000" w:rsidRDefault="002F725F">
      <w:pPr>
        <w:pStyle w:val="NormalWeb"/>
        <w:spacing w:before="0" w:beforeAutospacing="0" w:after="0" w:afterAutospacing="0"/>
        <w:divId w:val="1567760903"/>
        <w:rPr>
          <w:sz w:val="20"/>
          <w:szCs w:val="20"/>
        </w:rPr>
      </w:pPr>
      <w:r>
        <w:rPr>
          <w:sz w:val="20"/>
          <w:szCs w:val="20"/>
        </w:rPr>
        <w:t> </w:t>
      </w:r>
    </w:p>
    <w:p w14:paraId="38C06C3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9053A4C" w14:textId="77777777" w:rsidR="00000000" w:rsidRDefault="002F725F">
      <w:pPr>
        <w:pStyle w:val="NormalWeb"/>
        <w:spacing w:before="0" w:beforeAutospacing="0" w:after="0" w:afterAutospacing="0"/>
        <w:jc w:val="both"/>
        <w:divId w:val="415980837"/>
        <w:rPr>
          <w:sz w:val="20"/>
          <w:szCs w:val="20"/>
        </w:rPr>
      </w:pPr>
      <w:r>
        <w:rPr>
          <w:b/>
          <w:bCs/>
          <w:i/>
          <w:iCs/>
          <w:sz w:val="20"/>
          <w:szCs w:val="20"/>
        </w:rPr>
        <w:t>Summary of Selected Public Companies /M&amp;A Transactions Analyses</w:t>
      </w:r>
    </w:p>
    <w:p w14:paraId="689A632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5DABE7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In order to estimate a range </w:t>
      </w:r>
      <w:r>
        <w:rPr>
          <w:sz w:val="20"/>
          <w:szCs w:val="20"/>
        </w:rPr>
        <w:t xml:space="preserve">of enterprise values for the Company, Duff &amp; Phelps applied valuation multiples to the Company’s projected EBITDA ending March 31, 2027 and March 31, 2028. The projected EBITDA were adjusted for purposes of this analysis to eliminate public company costs, </w:t>
      </w:r>
      <w:r>
        <w:rPr>
          <w:sz w:val="20"/>
          <w:szCs w:val="20"/>
        </w:rPr>
        <w:t>transaction costs, and non-recurring income (expenses). Duff &amp; Phelps’ selected valuation multiples were as follows: projected fiscal 2026 EBITDA multiple ranged from 8.0x to 9.5x, and projected fiscal 2027 EBITDA multiple ranged from 6.5x to 8.0x. Valuati</w:t>
      </w:r>
      <w:r>
        <w:rPr>
          <w:sz w:val="20"/>
          <w:szCs w:val="20"/>
        </w:rPr>
        <w:t>on multiples were selected taking into consideration historical and projected financial performance metrics of the Company relative to such metrics of the selected public companies. Rather than applying the average or median multiple from the public compan</w:t>
      </w:r>
      <w:r>
        <w:rPr>
          <w:sz w:val="20"/>
          <w:szCs w:val="20"/>
        </w:rPr>
        <w:t>y set, Duff &amp; Phelps selected multiples that, in its judgement, reflected the Company’s size, growth outlook, capital requirements, profit margins, revenue mix, and other characteristics relative to the comparable group. Duff &amp; Phelps noted that while it r</w:t>
      </w:r>
      <w:r>
        <w:rPr>
          <w:sz w:val="20"/>
          <w:szCs w:val="20"/>
        </w:rPr>
        <w:t>eviewed the selected M&amp;A transactions, it did not select valuation multiples for the Company based on the selected M&amp;A transactions analysis for the reasons described in the section titled “Selected M&amp;A Transactions Analysis” above.</w:t>
      </w:r>
    </w:p>
    <w:p w14:paraId="33C89E6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272062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Based on these analys</w:t>
      </w:r>
      <w:r>
        <w:rPr>
          <w:sz w:val="20"/>
          <w:szCs w:val="20"/>
        </w:rPr>
        <w:t>es, Duff &amp; Phelps’ selected public companies analysis resulted in an estimated enterprise value for the Company of RMB534.90 million to RMB646.60 million.</w:t>
      </w:r>
    </w:p>
    <w:p w14:paraId="5B63B2A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AC8B2D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Based on the above analysis, without considering optionality of the Company’s equity, the Company’s</w:t>
      </w:r>
      <w:r>
        <w:rPr>
          <w:sz w:val="20"/>
          <w:szCs w:val="20"/>
        </w:rPr>
        <w:t xml:space="preserve"> enterprise value, or asset value, is insufficient to fund the Company’s debt and other liabilities (including the arbitral award liabilities), leaving no equity value. However, using an option value analysis, which considers equity as an option on the ass</w:t>
      </w:r>
      <w:r>
        <w:rPr>
          <w:sz w:val="20"/>
          <w:szCs w:val="20"/>
        </w:rPr>
        <w:t>et value of the Company, indicates some equity value.</w:t>
      </w:r>
    </w:p>
    <w:p w14:paraId="2082A31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EB7D59D"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The option value analysis utilizes the Black-Scholes option pricing model to value equity as a call option on the assets of a company, using the amount of debt and other liabilities as the strike pric</w:t>
      </w:r>
      <w:r>
        <w:rPr>
          <w:sz w:val="20"/>
          <w:szCs w:val="20"/>
        </w:rPr>
        <w:t>e. The option value analysis assess the value of a company’s equity based on the likelihood that the value of the assets will exceed the amount of the debt and other liabilities, including accrued interest, in a certain time frame.</w:t>
      </w:r>
    </w:p>
    <w:p w14:paraId="7D8AD89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2A378D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utilized</w:t>
      </w:r>
      <w:r>
        <w:rPr>
          <w:sz w:val="20"/>
          <w:szCs w:val="20"/>
        </w:rPr>
        <w:t xml:space="preserve"> the following assumptions: (i) asset value based on the enterprise value ranges resulting from the selected public companies analysis, (ii) strike price of the option is the forward value of total net liabilities (including debt, payables to related parti</w:t>
      </w:r>
      <w:r>
        <w:rPr>
          <w:sz w:val="20"/>
          <w:szCs w:val="20"/>
        </w:rPr>
        <w:t>es, cash, financial liabilities from arbitral awards, and future interest accruals), (iii) term of four to ten months, based on the estimated time frame for processes related to the arbitral award liabilities, per Company management, and (iv) asset volatil</w:t>
      </w:r>
      <w:r>
        <w:rPr>
          <w:sz w:val="20"/>
          <w:szCs w:val="20"/>
        </w:rPr>
        <w:t>ity of 30.0%, based on the selected public companies.</w:t>
      </w:r>
    </w:p>
    <w:p w14:paraId="64607AB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44FD24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Based on these assumptions, Duff &amp; Phelps’ option value analysis utilizing the enterprise value determined in the selected public companies analysis resulted in an estimated equity value for the Compa</w:t>
      </w:r>
      <w:r>
        <w:rPr>
          <w:sz w:val="20"/>
          <w:szCs w:val="20"/>
        </w:rPr>
        <w:t>ny of RMB0.42 million to RMB35.79 million, and a range on implied values of the Company’s Shares of US$0.00 to US$0.13.</w:t>
      </w:r>
    </w:p>
    <w:p w14:paraId="65430944" w14:textId="77777777" w:rsidR="00000000" w:rsidRDefault="002F725F">
      <w:pPr>
        <w:pStyle w:val="NormalWeb"/>
        <w:spacing w:before="0" w:beforeAutospacing="0" w:after="0" w:afterAutospacing="0"/>
        <w:jc w:val="both"/>
        <w:divId w:val="415980837"/>
        <w:rPr>
          <w:sz w:val="20"/>
          <w:szCs w:val="20"/>
        </w:rPr>
      </w:pPr>
      <w:r>
        <w:rPr>
          <w:b/>
          <w:bCs/>
          <w:i/>
          <w:iCs/>
          <w:sz w:val="20"/>
          <w:szCs w:val="20"/>
        </w:rPr>
        <w:t> </w:t>
      </w:r>
    </w:p>
    <w:p w14:paraId="57C7723C" w14:textId="77777777" w:rsidR="00000000" w:rsidRDefault="002F725F">
      <w:pPr>
        <w:pStyle w:val="NormalWeb"/>
        <w:spacing w:before="0" w:beforeAutospacing="0" w:after="0" w:afterAutospacing="0"/>
        <w:jc w:val="both"/>
        <w:divId w:val="415980837"/>
        <w:rPr>
          <w:sz w:val="20"/>
          <w:szCs w:val="20"/>
        </w:rPr>
      </w:pPr>
      <w:r>
        <w:rPr>
          <w:b/>
          <w:bCs/>
          <w:i/>
          <w:iCs/>
          <w:sz w:val="20"/>
          <w:szCs w:val="20"/>
        </w:rPr>
        <w:t>Summary of Discounted Cash Flow Analysis and Selected Public Companies / M&amp;A Transaction Analyses</w:t>
      </w:r>
    </w:p>
    <w:p w14:paraId="19763D4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81A236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range of estimated enterprise values for the Company that Duff &amp; Phelps derived from its discounted cash flow analysis within a range of RMB594.00 million to RMB713.30 million while from its public companies analysis was RMB534.90 million to RMB646.60 </w:t>
      </w:r>
      <w:r>
        <w:rPr>
          <w:sz w:val="20"/>
          <w:szCs w:val="20"/>
        </w:rPr>
        <w:t>million.</w:t>
      </w:r>
    </w:p>
    <w:p w14:paraId="4DCC6F3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6D2B00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Based on the above enterprise value ranges, Duff &amp; Phelps estimated the range of common equity value of the Company to be negative under both discounted cash flow analysis and public companies analysis by:</w:t>
      </w:r>
    </w:p>
    <w:p w14:paraId="4BB7AE5F" w14:textId="77777777" w:rsidR="00000000" w:rsidRDefault="002F725F">
      <w:pPr>
        <w:pStyle w:val="NormalWeb"/>
        <w:spacing w:before="0" w:beforeAutospacing="0" w:after="0" w:afterAutospacing="0"/>
        <w:ind w:right="1710" w:firstLine="45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26A83AA" w14:textId="77777777">
        <w:trPr>
          <w:divId w:val="415980837"/>
          <w:tblCellSpacing w:w="0" w:type="dxa"/>
        </w:trPr>
        <w:tc>
          <w:tcPr>
            <w:tcW w:w="720" w:type="dxa"/>
            <w:hideMark/>
          </w:tcPr>
          <w:p w14:paraId="60A94455" w14:textId="77777777" w:rsidR="00000000" w:rsidRDefault="002F725F">
            <w:pPr>
              <w:rPr>
                <w:sz w:val="20"/>
                <w:szCs w:val="20"/>
              </w:rPr>
            </w:pPr>
          </w:p>
        </w:tc>
        <w:tc>
          <w:tcPr>
            <w:tcW w:w="360" w:type="dxa"/>
            <w:hideMark/>
          </w:tcPr>
          <w:p w14:paraId="58AF5834" w14:textId="77777777" w:rsidR="00000000" w:rsidRDefault="002F725F">
            <w:pPr>
              <w:rPr>
                <w:rFonts w:eastAsia="Times New Roman"/>
                <w:sz w:val="20"/>
                <w:szCs w:val="20"/>
              </w:rPr>
            </w:pPr>
            <w:r>
              <w:rPr>
                <w:rFonts w:eastAsia="Times New Roman"/>
                <w:sz w:val="20"/>
                <w:szCs w:val="20"/>
              </w:rPr>
              <w:t>●</w:t>
            </w:r>
          </w:p>
        </w:tc>
        <w:tc>
          <w:tcPr>
            <w:tcW w:w="0" w:type="auto"/>
            <w:hideMark/>
          </w:tcPr>
          <w:p w14:paraId="59D7AF3C" w14:textId="77777777" w:rsidR="00000000" w:rsidRDefault="002F725F">
            <w:pPr>
              <w:jc w:val="both"/>
              <w:rPr>
                <w:rFonts w:eastAsia="Times New Roman"/>
                <w:sz w:val="20"/>
                <w:szCs w:val="20"/>
              </w:rPr>
            </w:pPr>
            <w:r>
              <w:rPr>
                <w:rFonts w:eastAsia="Times New Roman"/>
                <w:sz w:val="20"/>
                <w:szCs w:val="20"/>
              </w:rPr>
              <w:t>adding cash and cash equivalents o</w:t>
            </w:r>
            <w:r>
              <w:rPr>
                <w:rFonts w:eastAsia="Times New Roman"/>
                <w:sz w:val="20"/>
                <w:szCs w:val="20"/>
              </w:rPr>
              <w:t>f RMB102.31 million.</w:t>
            </w:r>
          </w:p>
        </w:tc>
      </w:tr>
    </w:tbl>
    <w:p w14:paraId="0B49D5B2" w14:textId="77777777" w:rsidR="00000000" w:rsidRDefault="002F725F">
      <w:pPr>
        <w:pStyle w:val="NormalWeb"/>
        <w:spacing w:before="0" w:beforeAutospacing="0" w:after="0" w:afterAutospacing="0"/>
        <w:ind w:right="1710" w:firstLine="45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365ACA8" w14:textId="77777777">
        <w:trPr>
          <w:divId w:val="415980837"/>
          <w:tblCellSpacing w:w="0" w:type="dxa"/>
        </w:trPr>
        <w:tc>
          <w:tcPr>
            <w:tcW w:w="720" w:type="dxa"/>
            <w:hideMark/>
          </w:tcPr>
          <w:p w14:paraId="2A97C556" w14:textId="77777777" w:rsidR="00000000" w:rsidRDefault="002F725F">
            <w:pPr>
              <w:rPr>
                <w:sz w:val="20"/>
                <w:szCs w:val="20"/>
              </w:rPr>
            </w:pPr>
          </w:p>
        </w:tc>
        <w:tc>
          <w:tcPr>
            <w:tcW w:w="360" w:type="dxa"/>
            <w:hideMark/>
          </w:tcPr>
          <w:p w14:paraId="1B7A4C83" w14:textId="77777777" w:rsidR="00000000" w:rsidRDefault="002F725F">
            <w:pPr>
              <w:rPr>
                <w:rFonts w:eastAsia="Times New Roman"/>
                <w:sz w:val="20"/>
                <w:szCs w:val="20"/>
              </w:rPr>
            </w:pPr>
            <w:r>
              <w:rPr>
                <w:rFonts w:eastAsia="Times New Roman"/>
                <w:sz w:val="20"/>
                <w:szCs w:val="20"/>
              </w:rPr>
              <w:t>●</w:t>
            </w:r>
          </w:p>
        </w:tc>
        <w:tc>
          <w:tcPr>
            <w:tcW w:w="0" w:type="auto"/>
            <w:hideMark/>
          </w:tcPr>
          <w:p w14:paraId="3DD5F004" w14:textId="77777777" w:rsidR="00000000" w:rsidRDefault="002F725F">
            <w:pPr>
              <w:jc w:val="both"/>
              <w:rPr>
                <w:rFonts w:eastAsia="Times New Roman"/>
                <w:sz w:val="20"/>
                <w:szCs w:val="20"/>
              </w:rPr>
            </w:pPr>
            <w:r>
              <w:rPr>
                <w:rFonts w:eastAsia="Times New Roman"/>
                <w:sz w:val="20"/>
                <w:szCs w:val="20"/>
              </w:rPr>
              <w:t>deducting bank loans and other borrowings of RMB133.52 million.</w:t>
            </w:r>
          </w:p>
        </w:tc>
      </w:tr>
    </w:tbl>
    <w:p w14:paraId="7E9D95C0" w14:textId="77777777" w:rsidR="00000000" w:rsidRDefault="002F725F">
      <w:pPr>
        <w:pStyle w:val="NormalWeb"/>
        <w:spacing w:before="0" w:beforeAutospacing="0" w:after="0" w:afterAutospacing="0"/>
        <w:ind w:right="1710" w:firstLine="45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4D79464" w14:textId="77777777">
        <w:trPr>
          <w:divId w:val="415980837"/>
          <w:tblCellSpacing w:w="0" w:type="dxa"/>
        </w:trPr>
        <w:tc>
          <w:tcPr>
            <w:tcW w:w="720" w:type="dxa"/>
            <w:hideMark/>
          </w:tcPr>
          <w:p w14:paraId="7E86D617" w14:textId="77777777" w:rsidR="00000000" w:rsidRDefault="002F725F">
            <w:pPr>
              <w:rPr>
                <w:sz w:val="20"/>
                <w:szCs w:val="20"/>
              </w:rPr>
            </w:pPr>
          </w:p>
        </w:tc>
        <w:tc>
          <w:tcPr>
            <w:tcW w:w="360" w:type="dxa"/>
            <w:hideMark/>
          </w:tcPr>
          <w:p w14:paraId="15D02D90" w14:textId="77777777" w:rsidR="00000000" w:rsidRDefault="002F725F">
            <w:pPr>
              <w:rPr>
                <w:rFonts w:eastAsia="Times New Roman"/>
                <w:sz w:val="20"/>
                <w:szCs w:val="20"/>
              </w:rPr>
            </w:pPr>
            <w:r>
              <w:rPr>
                <w:rFonts w:eastAsia="Times New Roman"/>
                <w:sz w:val="20"/>
                <w:szCs w:val="20"/>
              </w:rPr>
              <w:t>●</w:t>
            </w:r>
          </w:p>
        </w:tc>
        <w:tc>
          <w:tcPr>
            <w:tcW w:w="0" w:type="auto"/>
            <w:hideMark/>
          </w:tcPr>
          <w:p w14:paraId="6E70B4DE" w14:textId="77777777" w:rsidR="00000000" w:rsidRDefault="002F725F">
            <w:pPr>
              <w:jc w:val="both"/>
              <w:rPr>
                <w:rFonts w:eastAsia="Times New Roman"/>
                <w:sz w:val="20"/>
                <w:szCs w:val="20"/>
              </w:rPr>
            </w:pPr>
            <w:r>
              <w:rPr>
                <w:rFonts w:eastAsia="Times New Roman"/>
                <w:sz w:val="20"/>
                <w:szCs w:val="20"/>
              </w:rPr>
              <w:t>deducting due to related parties of RMB155.00 million.</w:t>
            </w:r>
          </w:p>
        </w:tc>
      </w:tr>
    </w:tbl>
    <w:p w14:paraId="0D64C854" w14:textId="77777777" w:rsidR="00000000" w:rsidRDefault="002F725F">
      <w:pPr>
        <w:pStyle w:val="NormalWeb"/>
        <w:spacing w:before="0" w:beforeAutospacing="0" w:after="0" w:afterAutospacing="0"/>
        <w:ind w:right="1710" w:firstLine="45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2B5C40C" w14:textId="77777777">
        <w:trPr>
          <w:divId w:val="415980837"/>
          <w:tblCellSpacing w:w="0" w:type="dxa"/>
        </w:trPr>
        <w:tc>
          <w:tcPr>
            <w:tcW w:w="720" w:type="dxa"/>
            <w:hideMark/>
          </w:tcPr>
          <w:p w14:paraId="6E65E5B3" w14:textId="77777777" w:rsidR="00000000" w:rsidRDefault="002F725F">
            <w:pPr>
              <w:rPr>
                <w:sz w:val="20"/>
                <w:szCs w:val="20"/>
              </w:rPr>
            </w:pPr>
          </w:p>
        </w:tc>
        <w:tc>
          <w:tcPr>
            <w:tcW w:w="360" w:type="dxa"/>
            <w:hideMark/>
          </w:tcPr>
          <w:p w14:paraId="562A0427" w14:textId="77777777" w:rsidR="00000000" w:rsidRDefault="002F725F">
            <w:pPr>
              <w:rPr>
                <w:rFonts w:eastAsia="Times New Roman"/>
                <w:sz w:val="20"/>
                <w:szCs w:val="20"/>
              </w:rPr>
            </w:pPr>
            <w:r>
              <w:rPr>
                <w:rFonts w:eastAsia="Times New Roman"/>
                <w:sz w:val="20"/>
                <w:szCs w:val="20"/>
              </w:rPr>
              <w:t>●</w:t>
            </w:r>
          </w:p>
        </w:tc>
        <w:tc>
          <w:tcPr>
            <w:tcW w:w="0" w:type="auto"/>
            <w:hideMark/>
          </w:tcPr>
          <w:p w14:paraId="24EE3D63" w14:textId="77777777" w:rsidR="00000000" w:rsidRDefault="002F725F">
            <w:pPr>
              <w:jc w:val="both"/>
              <w:rPr>
                <w:rFonts w:eastAsia="Times New Roman"/>
                <w:sz w:val="20"/>
                <w:szCs w:val="20"/>
              </w:rPr>
            </w:pPr>
            <w:r>
              <w:rPr>
                <w:rFonts w:eastAsia="Times New Roman"/>
                <w:sz w:val="20"/>
                <w:szCs w:val="20"/>
              </w:rPr>
              <w:t>deducting financial liabilities from arbitral awards of RMB576.50 million.</w:t>
            </w:r>
          </w:p>
        </w:tc>
      </w:tr>
    </w:tbl>
    <w:p w14:paraId="722EEC5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D2D48E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Based on the foregoing analysis, Duff &amp; Phelps estimated the value of each Share to be negative. However, using an option value analysis, which considers equity as an option on t</w:t>
      </w:r>
      <w:r>
        <w:rPr>
          <w:sz w:val="20"/>
          <w:szCs w:val="20"/>
        </w:rPr>
        <w:t>he asset value of the Company, Duff &amp; Phelps estimated the value of each Share to range from</w:t>
      </w:r>
      <w:r>
        <w:rPr>
          <w:b/>
          <w:bCs/>
          <w:i/>
          <w:iCs/>
          <w:sz w:val="20"/>
          <w:szCs w:val="20"/>
        </w:rPr>
        <w:t> </w:t>
      </w:r>
      <w:r>
        <w:rPr>
          <w:sz w:val="20"/>
          <w:szCs w:val="20"/>
        </w:rPr>
        <w:t>US$0.01 to US$0.22 from its discounted cash flow analysis and from US$0.00 to US$0.13 from its public companies analysis.</w:t>
      </w:r>
    </w:p>
    <w:p w14:paraId="1D529F7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5BC27AB" w14:textId="77777777" w:rsidR="00000000" w:rsidRDefault="002F725F">
      <w:pPr>
        <w:pStyle w:val="NormalWeb"/>
        <w:spacing w:before="0" w:beforeAutospacing="0" w:after="0" w:afterAutospacing="0"/>
        <w:jc w:val="center"/>
        <w:divId w:val="243146288"/>
        <w:rPr>
          <w:sz w:val="20"/>
          <w:szCs w:val="20"/>
        </w:rPr>
      </w:pPr>
      <w:r>
        <w:rPr>
          <w:sz w:val="20"/>
          <w:szCs w:val="20"/>
        </w:rPr>
        <w:t>5</w:t>
      </w:r>
      <w:r>
        <w:rPr>
          <w:sz w:val="20"/>
          <w:szCs w:val="20"/>
        </w:rPr>
        <w:t>5</w:t>
      </w:r>
    </w:p>
    <w:p w14:paraId="1E4A8EA2" w14:textId="77777777" w:rsidR="00000000" w:rsidRDefault="002F725F">
      <w:pPr>
        <w:pStyle w:val="NormalWeb"/>
        <w:spacing w:before="0" w:beforeAutospacing="0" w:after="0" w:afterAutospacing="0"/>
        <w:divId w:val="435029884"/>
        <w:rPr>
          <w:sz w:val="20"/>
          <w:szCs w:val="20"/>
        </w:rPr>
      </w:pPr>
      <w:r>
        <w:rPr>
          <w:sz w:val="20"/>
          <w:szCs w:val="20"/>
        </w:rPr>
        <w:t> </w:t>
      </w:r>
    </w:p>
    <w:p w14:paraId="2D4EA99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DCC6C9B" w14:textId="77777777" w:rsidR="00000000" w:rsidRDefault="002F725F">
      <w:pPr>
        <w:pStyle w:val="NormalWeb"/>
        <w:spacing w:before="0" w:beforeAutospacing="0" w:after="0" w:afterAutospacing="0"/>
        <w:jc w:val="both"/>
        <w:divId w:val="415980837"/>
        <w:rPr>
          <w:sz w:val="20"/>
          <w:szCs w:val="20"/>
        </w:rPr>
      </w:pPr>
      <w:r>
        <w:rPr>
          <w:b/>
          <w:bCs/>
          <w:i/>
          <w:iCs/>
          <w:sz w:val="20"/>
          <w:szCs w:val="20"/>
        </w:rPr>
        <w:t>Summary of Financial Analysis</w:t>
      </w:r>
    </w:p>
    <w:p w14:paraId="666F47F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629419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Duff &amp; Phelps noted that the Per Share Merger Consideration (as defined in the Merger Agreement) of US$0.066 to be received by the holders of Shares (other than the Excluded Shares and the Dissenting Shares) was within or above the range of the per Share </w:t>
      </w:r>
      <w:r>
        <w:rPr>
          <w:sz w:val="20"/>
          <w:szCs w:val="20"/>
        </w:rPr>
        <w:t>value indicated by its analyses.</w:t>
      </w:r>
    </w:p>
    <w:p w14:paraId="07C572A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CCB563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Duff &amp; Phelps’ opinion was only one of the many factors considered by the Special Committee in its evaluation of the Merger and should not be viewed as determinative of the views of the Special Committee.</w:t>
      </w:r>
    </w:p>
    <w:p w14:paraId="5FB8548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D8E9362" w14:textId="77777777" w:rsidR="00000000" w:rsidRDefault="002F725F">
      <w:pPr>
        <w:pStyle w:val="NormalWeb"/>
        <w:spacing w:before="0" w:beforeAutospacing="0" w:after="0" w:afterAutospacing="0"/>
        <w:jc w:val="both"/>
        <w:divId w:val="415980837"/>
        <w:rPr>
          <w:sz w:val="20"/>
          <w:szCs w:val="20"/>
        </w:rPr>
      </w:pPr>
      <w:r>
        <w:rPr>
          <w:b/>
          <w:bCs/>
          <w:i/>
          <w:iCs/>
          <w:sz w:val="20"/>
          <w:szCs w:val="20"/>
        </w:rPr>
        <w:t>Fees and Expen</w:t>
      </w:r>
      <w:r>
        <w:rPr>
          <w:b/>
          <w:bCs/>
          <w:i/>
          <w:iCs/>
          <w:sz w:val="20"/>
          <w:szCs w:val="20"/>
        </w:rPr>
        <w:t>ses</w:t>
      </w:r>
    </w:p>
    <w:p w14:paraId="21B8EB1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E20D9E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As compensation for Duff &amp; Phelps’ services in connection with the rendering of the opinion to the Special Committee, the Company agreed to pay Duff &amp; Phelps a fee of US$300,000, consisting of a non-refundable retainer </w:t>
      </w:r>
      <w:r>
        <w:rPr>
          <w:sz w:val="20"/>
          <w:szCs w:val="20"/>
        </w:rPr>
        <w:lastRenderedPageBreak/>
        <w:t>of US$150,000 payable upon enga</w:t>
      </w:r>
      <w:r>
        <w:rPr>
          <w:sz w:val="20"/>
          <w:szCs w:val="20"/>
        </w:rPr>
        <w:t>gement and US$150,000 payable upon Duff &amp; Phelps’ delivery of its opinion to the Special Committee.</w:t>
      </w:r>
    </w:p>
    <w:p w14:paraId="5D54645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99AF76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No portion of Duff &amp; Phelps’ fee is refundable or contingent upon the consummation of the Proposed Transaction or the conclusion reached in the opinion. T</w:t>
      </w:r>
      <w:r>
        <w:rPr>
          <w:sz w:val="20"/>
          <w:szCs w:val="20"/>
        </w:rPr>
        <w:t>he Company has also agreed to indemnify Duff &amp; Phelps for certain liabilities arising out of its engagement. In addition, the Company has agreed to reimburse Duff &amp; Phelps for its reasonable out-of-pocket expense (including the fees and expenses of outside</w:t>
      </w:r>
      <w:r>
        <w:rPr>
          <w:sz w:val="20"/>
          <w:szCs w:val="20"/>
        </w:rPr>
        <w:t xml:space="preserve"> counsel) incurred in connection with the rendering of its opinion, not to exceed US$50,000.</w:t>
      </w:r>
    </w:p>
    <w:p w14:paraId="191256C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F96FB4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terms of the fee arrangements with Duff &amp; Phelps, which the Company believes are customary in transactions of this nature, were negotiated at arm’s length, a</w:t>
      </w:r>
      <w:r>
        <w:rPr>
          <w:sz w:val="20"/>
          <w:szCs w:val="20"/>
        </w:rPr>
        <w:t>nd the Special Committee and the Board are aware of these fee arrangements.</w:t>
      </w:r>
    </w:p>
    <w:p w14:paraId="0E32085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075D04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Other than this engagement to render its opinion (including the Prior Opinion) to the Special Committee, during the two years preceding the date of its opinion, Duff &amp; Phelps and</w:t>
      </w:r>
      <w:r>
        <w:rPr>
          <w:sz w:val="20"/>
          <w:szCs w:val="20"/>
        </w:rPr>
        <w:t xml:space="preserve"> its affiliates have not had any material relationship with the Company or any of its affiliates for which compensation has been received or is intended to be received, nor is any such material relationship or related compensation mutually understood to be</w:t>
      </w:r>
      <w:r>
        <w:rPr>
          <w:sz w:val="20"/>
          <w:szCs w:val="20"/>
        </w:rPr>
        <w:t xml:space="preserve"> contemplated.</w:t>
      </w:r>
    </w:p>
    <w:p w14:paraId="32C45796"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3160F1E1" w14:textId="77777777" w:rsidR="00000000" w:rsidRDefault="002F725F">
      <w:pPr>
        <w:pStyle w:val="NormalWeb"/>
        <w:spacing w:before="0" w:beforeAutospacing="0" w:after="0" w:afterAutospacing="0"/>
        <w:jc w:val="both"/>
        <w:divId w:val="415980837"/>
        <w:rPr>
          <w:sz w:val="20"/>
          <w:szCs w:val="20"/>
        </w:rPr>
      </w:pPr>
      <w:r>
        <w:rPr>
          <w:b/>
          <w:bCs/>
          <w:sz w:val="20"/>
          <w:szCs w:val="20"/>
        </w:rPr>
        <w:t>Purposes of and Reasons for the Merger</w:t>
      </w:r>
    </w:p>
    <w:p w14:paraId="6F2C1D27" w14:textId="77777777" w:rsidR="00000000" w:rsidRDefault="002F725F">
      <w:pPr>
        <w:pStyle w:val="NormalWeb"/>
        <w:spacing w:before="0" w:beforeAutospacing="0" w:after="0" w:afterAutospacing="0"/>
        <w:jc w:val="both"/>
        <w:divId w:val="415980837"/>
        <w:rPr>
          <w:sz w:val="20"/>
          <w:szCs w:val="20"/>
        </w:rPr>
      </w:pPr>
      <w:r>
        <w:rPr>
          <w:b/>
          <w:bCs/>
          <w:i/>
          <w:iCs/>
          <w:sz w:val="20"/>
          <w:szCs w:val="20"/>
        </w:rPr>
        <w:t> </w:t>
      </w:r>
    </w:p>
    <w:p w14:paraId="0A6747E6" w14:textId="77777777" w:rsidR="00000000" w:rsidRDefault="002F725F">
      <w:pPr>
        <w:pStyle w:val="NormalWeb"/>
        <w:spacing w:before="0" w:beforeAutospacing="0" w:after="0" w:afterAutospacing="0"/>
        <w:jc w:val="both"/>
        <w:divId w:val="415980837"/>
        <w:rPr>
          <w:sz w:val="20"/>
          <w:szCs w:val="20"/>
        </w:rPr>
      </w:pPr>
      <w:r>
        <w:rPr>
          <w:b/>
          <w:bCs/>
          <w:i/>
          <w:iCs/>
          <w:sz w:val="20"/>
          <w:szCs w:val="20"/>
        </w:rPr>
        <w:t>The Buyer Filing Persons</w:t>
      </w:r>
    </w:p>
    <w:p w14:paraId="373DF73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F42608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Under the SEC rules governing “going private” transactions, each Buyer Filing Person is deemed to be engaged in a “going private” transaction and required to express its r</w:t>
      </w:r>
      <w:r>
        <w:rPr>
          <w:sz w:val="20"/>
          <w:szCs w:val="20"/>
        </w:rPr>
        <w:t>easons for the Merger to Unaffiliated Security Holders.</w:t>
      </w:r>
    </w:p>
    <w:p w14:paraId="107D3F69"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FF64D0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Each Buyer Filing Person is making the statements included in this section solely for the purpose of complying with the requirements of Rule 13e-3 and related rules under the Exchange Act. For the B</w:t>
      </w:r>
      <w:r>
        <w:rPr>
          <w:sz w:val="20"/>
          <w:szCs w:val="20"/>
        </w:rPr>
        <w:t>uyer Filing Persons, the purpose of the Merger is to enable Parent to acquire 100% ownership and control of the Company, in a transaction in which the Shares (other than the Excluded Shares and the Dissenting Shares) will be cancelled and cease to exist in</w:t>
      </w:r>
      <w:r>
        <w:rPr>
          <w:sz w:val="20"/>
          <w:szCs w:val="20"/>
        </w:rPr>
        <w:t xml:space="preserve"> exchange for US$0.066 per Share, without interest and net of any applicable withholding taxes, so Parent will benefit from the rewards and bear the risks of sole ownership of the Company after the Merger, including any future earnings and growth of the Co</w:t>
      </w:r>
      <w:r>
        <w:rPr>
          <w:sz w:val="20"/>
          <w:szCs w:val="20"/>
        </w:rPr>
        <w:t>mpany as a result of improvements to the Company’s operations or acquisitions of other businesses. In addition, the Merger will allow the Buyer Filing Persons which are currently shareholders of the Company to maintain a significant portion of their invest</w:t>
      </w:r>
      <w:r>
        <w:rPr>
          <w:sz w:val="20"/>
          <w:szCs w:val="20"/>
        </w:rPr>
        <w:t xml:space="preserve">ment in the Company through their respective indirect ownership in Parent as described under “Special Factors—Interests of Certain Persons in the Merger—Interests of the Buyer Filing Persons” and at the same time enable certain members of the Buyer Filing </w:t>
      </w:r>
      <w:r>
        <w:rPr>
          <w:sz w:val="20"/>
          <w:szCs w:val="20"/>
        </w:rPr>
        <w:t>Persons to retain or maintain their management leadership with the Surviving Company.</w:t>
      </w:r>
    </w:p>
    <w:p w14:paraId="16F4D923"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A3AC8EA" w14:textId="77777777" w:rsidR="00000000" w:rsidRDefault="002F725F">
      <w:pPr>
        <w:pStyle w:val="NormalWeb"/>
        <w:spacing w:before="0" w:beforeAutospacing="0" w:after="0" w:afterAutospacing="0"/>
        <w:jc w:val="center"/>
        <w:divId w:val="619603707"/>
        <w:rPr>
          <w:sz w:val="20"/>
          <w:szCs w:val="20"/>
        </w:rPr>
      </w:pPr>
      <w:r>
        <w:rPr>
          <w:sz w:val="20"/>
          <w:szCs w:val="20"/>
        </w:rPr>
        <w:t>5</w:t>
      </w:r>
      <w:r>
        <w:rPr>
          <w:sz w:val="20"/>
          <w:szCs w:val="20"/>
        </w:rPr>
        <w:t>6</w:t>
      </w:r>
    </w:p>
    <w:p w14:paraId="4C3A917F" w14:textId="77777777" w:rsidR="00000000" w:rsidRDefault="002F725F">
      <w:pPr>
        <w:pStyle w:val="NormalWeb"/>
        <w:spacing w:before="0" w:beforeAutospacing="0" w:after="0" w:afterAutospacing="0"/>
        <w:divId w:val="1358695482"/>
        <w:rPr>
          <w:sz w:val="20"/>
          <w:szCs w:val="20"/>
        </w:rPr>
      </w:pPr>
      <w:r>
        <w:rPr>
          <w:sz w:val="20"/>
          <w:szCs w:val="20"/>
        </w:rPr>
        <w:t> </w:t>
      </w:r>
    </w:p>
    <w:p w14:paraId="7DECA2D4"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A2F9C3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Buyer Filing Persons believes </w:t>
      </w:r>
      <w:r>
        <w:rPr>
          <w:sz w:val="20"/>
          <w:szCs w:val="20"/>
        </w:rPr>
        <w:t>that the operating environment has changed in a significant manner since the Company’s initial business combination in 2023. In particular:</w:t>
      </w:r>
    </w:p>
    <w:p w14:paraId="0F88FE44"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E622F2A" w14:textId="77777777">
        <w:trPr>
          <w:divId w:val="415980837"/>
          <w:tblCellSpacing w:w="0" w:type="dxa"/>
        </w:trPr>
        <w:tc>
          <w:tcPr>
            <w:tcW w:w="720" w:type="dxa"/>
            <w:hideMark/>
          </w:tcPr>
          <w:p w14:paraId="158F3C2A" w14:textId="77777777" w:rsidR="00000000" w:rsidRDefault="002F725F">
            <w:pPr>
              <w:rPr>
                <w:sz w:val="20"/>
                <w:szCs w:val="20"/>
              </w:rPr>
            </w:pPr>
          </w:p>
        </w:tc>
        <w:tc>
          <w:tcPr>
            <w:tcW w:w="360" w:type="dxa"/>
            <w:hideMark/>
          </w:tcPr>
          <w:p w14:paraId="3303D958" w14:textId="77777777" w:rsidR="00000000" w:rsidRDefault="002F725F">
            <w:pPr>
              <w:rPr>
                <w:rFonts w:eastAsia="Times New Roman"/>
                <w:sz w:val="20"/>
                <w:szCs w:val="20"/>
              </w:rPr>
            </w:pPr>
            <w:r>
              <w:rPr>
                <w:rFonts w:eastAsia="Times New Roman"/>
                <w:sz w:val="20"/>
                <w:szCs w:val="20"/>
              </w:rPr>
              <w:t>●</w:t>
            </w:r>
          </w:p>
        </w:tc>
        <w:tc>
          <w:tcPr>
            <w:tcW w:w="0" w:type="auto"/>
            <w:hideMark/>
          </w:tcPr>
          <w:p w14:paraId="35B5E6C0" w14:textId="77777777" w:rsidR="00000000" w:rsidRDefault="002F725F">
            <w:pPr>
              <w:jc w:val="both"/>
              <w:rPr>
                <w:rFonts w:eastAsia="Times New Roman"/>
                <w:sz w:val="20"/>
                <w:szCs w:val="20"/>
              </w:rPr>
            </w:pPr>
            <w:r>
              <w:rPr>
                <w:rFonts w:eastAsia="Times New Roman"/>
                <w:sz w:val="20"/>
                <w:szCs w:val="20"/>
              </w:rPr>
              <w:t>the factors noted under the heading “Risk Factors” in the Company’s Annual Report incorporated by reference her</w:t>
            </w:r>
            <w:r>
              <w:rPr>
                <w:rFonts w:eastAsia="Times New Roman"/>
                <w:sz w:val="20"/>
                <w:szCs w:val="20"/>
              </w:rPr>
              <w:t>eto;</w:t>
            </w:r>
          </w:p>
        </w:tc>
      </w:tr>
    </w:tbl>
    <w:p w14:paraId="37B828D0"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BC08AD5" w14:textId="77777777">
        <w:trPr>
          <w:divId w:val="415980837"/>
          <w:tblCellSpacing w:w="0" w:type="dxa"/>
        </w:trPr>
        <w:tc>
          <w:tcPr>
            <w:tcW w:w="720" w:type="dxa"/>
            <w:hideMark/>
          </w:tcPr>
          <w:p w14:paraId="2F028323" w14:textId="77777777" w:rsidR="00000000" w:rsidRDefault="002F725F">
            <w:pPr>
              <w:rPr>
                <w:sz w:val="20"/>
                <w:szCs w:val="20"/>
              </w:rPr>
            </w:pPr>
          </w:p>
        </w:tc>
        <w:tc>
          <w:tcPr>
            <w:tcW w:w="360" w:type="dxa"/>
            <w:hideMark/>
          </w:tcPr>
          <w:p w14:paraId="0E6DABD0" w14:textId="77777777" w:rsidR="00000000" w:rsidRDefault="002F725F">
            <w:pPr>
              <w:rPr>
                <w:rFonts w:eastAsia="Times New Roman"/>
                <w:sz w:val="20"/>
                <w:szCs w:val="20"/>
              </w:rPr>
            </w:pPr>
            <w:r>
              <w:rPr>
                <w:rFonts w:eastAsia="Times New Roman"/>
                <w:sz w:val="20"/>
                <w:szCs w:val="20"/>
              </w:rPr>
              <w:t>●</w:t>
            </w:r>
          </w:p>
        </w:tc>
        <w:tc>
          <w:tcPr>
            <w:tcW w:w="0" w:type="auto"/>
            <w:hideMark/>
          </w:tcPr>
          <w:p w14:paraId="2064F2BA" w14:textId="77777777" w:rsidR="00000000" w:rsidRDefault="002F725F">
            <w:pPr>
              <w:jc w:val="both"/>
              <w:rPr>
                <w:rFonts w:eastAsia="Times New Roman"/>
                <w:sz w:val="20"/>
                <w:szCs w:val="20"/>
              </w:rPr>
            </w:pPr>
            <w:r>
              <w:rPr>
                <w:rFonts w:eastAsia="Times New Roman"/>
                <w:sz w:val="20"/>
                <w:szCs w:val="20"/>
              </w:rPr>
              <w:t xml:space="preserve">companies that primarily operate in China whose securities are listed on U.S. securities exchanges may </w:t>
            </w:r>
            <w:r>
              <w:rPr>
                <w:rFonts w:eastAsia="Times New Roman"/>
                <w:sz w:val="20"/>
                <w:szCs w:val="20"/>
              </w:rPr>
              <w:t>be subject to additional costs and burdens to comply with various proposals (if enacted) relating to changes in listing and compliance rules in the future;</w:t>
            </w:r>
          </w:p>
        </w:tc>
      </w:tr>
    </w:tbl>
    <w:p w14:paraId="049AEF3D"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E0C9FE7" w14:textId="77777777">
        <w:trPr>
          <w:divId w:val="415980837"/>
          <w:tblCellSpacing w:w="0" w:type="dxa"/>
        </w:trPr>
        <w:tc>
          <w:tcPr>
            <w:tcW w:w="720" w:type="dxa"/>
            <w:hideMark/>
          </w:tcPr>
          <w:p w14:paraId="46D8B32D" w14:textId="77777777" w:rsidR="00000000" w:rsidRDefault="002F725F">
            <w:pPr>
              <w:rPr>
                <w:sz w:val="20"/>
                <w:szCs w:val="20"/>
              </w:rPr>
            </w:pPr>
          </w:p>
        </w:tc>
        <w:tc>
          <w:tcPr>
            <w:tcW w:w="360" w:type="dxa"/>
            <w:hideMark/>
          </w:tcPr>
          <w:p w14:paraId="025EB226" w14:textId="77777777" w:rsidR="00000000" w:rsidRDefault="002F725F">
            <w:pPr>
              <w:rPr>
                <w:rFonts w:eastAsia="Times New Roman"/>
                <w:sz w:val="20"/>
                <w:szCs w:val="20"/>
              </w:rPr>
            </w:pPr>
            <w:r>
              <w:rPr>
                <w:rFonts w:eastAsia="Times New Roman"/>
                <w:sz w:val="20"/>
                <w:szCs w:val="20"/>
              </w:rPr>
              <w:t>●</w:t>
            </w:r>
          </w:p>
        </w:tc>
        <w:tc>
          <w:tcPr>
            <w:tcW w:w="0" w:type="auto"/>
            <w:hideMark/>
          </w:tcPr>
          <w:p w14:paraId="05E50565" w14:textId="77777777" w:rsidR="00000000" w:rsidRDefault="002F725F">
            <w:pPr>
              <w:jc w:val="both"/>
              <w:rPr>
                <w:rFonts w:eastAsia="Times New Roman"/>
                <w:sz w:val="20"/>
                <w:szCs w:val="20"/>
              </w:rPr>
            </w:pPr>
            <w:r>
              <w:rPr>
                <w:rFonts w:eastAsia="Times New Roman"/>
                <w:sz w:val="20"/>
                <w:szCs w:val="20"/>
              </w:rPr>
              <w:t>the inherent misalignment between the public market’s focus on short-term financial performanc</w:t>
            </w:r>
            <w:r>
              <w:rPr>
                <w:rFonts w:eastAsia="Times New Roman"/>
                <w:sz w:val="20"/>
                <w:szCs w:val="20"/>
              </w:rPr>
              <w:t>e and the Company’s extended research, development, and commercialization cycle, as well as its commitment to sustainable long-term profitability; and</w:t>
            </w:r>
          </w:p>
        </w:tc>
      </w:tr>
    </w:tbl>
    <w:p w14:paraId="055F31D6"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6227F2C" w14:textId="77777777">
        <w:trPr>
          <w:divId w:val="415980837"/>
          <w:tblCellSpacing w:w="0" w:type="dxa"/>
        </w:trPr>
        <w:tc>
          <w:tcPr>
            <w:tcW w:w="720" w:type="dxa"/>
            <w:hideMark/>
          </w:tcPr>
          <w:p w14:paraId="30078987" w14:textId="77777777" w:rsidR="00000000" w:rsidRDefault="002F725F">
            <w:pPr>
              <w:rPr>
                <w:sz w:val="20"/>
                <w:szCs w:val="20"/>
              </w:rPr>
            </w:pPr>
          </w:p>
        </w:tc>
        <w:tc>
          <w:tcPr>
            <w:tcW w:w="360" w:type="dxa"/>
            <w:hideMark/>
          </w:tcPr>
          <w:p w14:paraId="2C33CF05" w14:textId="77777777" w:rsidR="00000000" w:rsidRDefault="002F725F">
            <w:pPr>
              <w:rPr>
                <w:rFonts w:eastAsia="Times New Roman"/>
                <w:sz w:val="20"/>
                <w:szCs w:val="20"/>
              </w:rPr>
            </w:pPr>
            <w:r>
              <w:rPr>
                <w:rFonts w:eastAsia="Times New Roman"/>
                <w:sz w:val="20"/>
                <w:szCs w:val="20"/>
              </w:rPr>
              <w:t>●</w:t>
            </w:r>
          </w:p>
        </w:tc>
        <w:tc>
          <w:tcPr>
            <w:tcW w:w="0" w:type="auto"/>
            <w:hideMark/>
          </w:tcPr>
          <w:p w14:paraId="5A99B786" w14:textId="77777777" w:rsidR="00000000" w:rsidRDefault="002F725F">
            <w:pPr>
              <w:jc w:val="both"/>
              <w:rPr>
                <w:rFonts w:eastAsia="Times New Roman"/>
                <w:sz w:val="20"/>
                <w:szCs w:val="20"/>
              </w:rPr>
            </w:pPr>
            <w:r>
              <w:rPr>
                <w:rFonts w:eastAsia="Times New Roman"/>
                <w:sz w:val="20"/>
                <w:szCs w:val="20"/>
              </w:rPr>
              <w:t>the potential adverse effects on the Company’</w:t>
            </w:r>
            <w:r>
              <w:rPr>
                <w:rFonts w:eastAsia="Times New Roman"/>
                <w:sz w:val="20"/>
                <w:szCs w:val="20"/>
              </w:rPr>
              <w:t>s business, financial condition and results of operations caused by the recent economic slowdown in China and globally and challenges in the macroeconomic environment.</w:t>
            </w:r>
          </w:p>
        </w:tc>
      </w:tr>
    </w:tbl>
    <w:p w14:paraId="04759F9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F7921B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These changes have increased the uncertainty and volatility inherent in the business </w:t>
      </w:r>
      <w:r>
        <w:rPr>
          <w:sz w:val="20"/>
          <w:szCs w:val="20"/>
        </w:rPr>
        <w:t>models of companies similar to the Company. As a result, the Buyer Filing Persons are of the view that there is potential for considerably greater short- and medium-term volatility in the Company’s earnings. Responding to current market challenges will req</w:t>
      </w:r>
      <w:r>
        <w:rPr>
          <w:sz w:val="20"/>
          <w:szCs w:val="20"/>
        </w:rPr>
        <w:t>uire tolerance for volatility in the performance of the Company’s business, and willingness to make business decisions focused on improving the Company’s long-term profitability. The Buyer Filing Persons believe that these strategies would be most effectiv</w:t>
      </w:r>
      <w:r>
        <w:rPr>
          <w:sz w:val="20"/>
          <w:szCs w:val="20"/>
        </w:rPr>
        <w:t>ely implemented in the context of a private company structure. Following the Merger, as a privately held company, the Company’s management will have greater flexibility to focus on improving long-term profitability without the pressures exerted by the U.S.</w:t>
      </w:r>
      <w:r>
        <w:rPr>
          <w:sz w:val="20"/>
          <w:szCs w:val="20"/>
        </w:rPr>
        <w:t xml:space="preserve"> public market’s valuation of the Company and the emphasis on short-term period-to-period performance.</w:t>
      </w:r>
    </w:p>
    <w:p w14:paraId="550EBDC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19418E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Notwithstanding the Awards and their potential material adverse impact on the Company’s operations and financial condition, the Buyer Filing Persons de</w:t>
      </w:r>
      <w:r>
        <w:rPr>
          <w:sz w:val="20"/>
          <w:szCs w:val="20"/>
        </w:rPr>
        <w:t>cided to proceed with the Merger on the revised terms and considered, among other things, the following factors: (i) the significant amount of time, resources and effort that the Buyer Filing Persons had invested in the transactions contemplated by the Ori</w:t>
      </w:r>
      <w:r>
        <w:rPr>
          <w:sz w:val="20"/>
          <w:szCs w:val="20"/>
        </w:rPr>
        <w:t xml:space="preserve">ginal Merger Agreement, which the Buyer Filing Persons believed would be substantially forgone if the Merger were abandoned; (ii) the fact that the Buyer Group collectively owned approximately 53.35% of the Company’s equity interests, such that abandoning </w:t>
      </w:r>
      <w:r>
        <w:rPr>
          <w:sz w:val="20"/>
          <w:szCs w:val="20"/>
        </w:rPr>
        <w:t>the Merger entirely would leave the Buyer Group holding a significant stake in a financially distressed public company with limited liquidity and no clear path to realizing value from such investment; (iii) the continued willingness of the other members of</w:t>
      </w:r>
      <w:r>
        <w:rPr>
          <w:sz w:val="20"/>
          <w:szCs w:val="20"/>
        </w:rPr>
        <w:t xml:space="preserve"> the Buyer Group to remain as members of the Buyer Group and to support the consummation of the Merger on the revised terms; and (iv) the Sponsor’s intention to afford the Unaffiliated Security Holders an opportunity to exit their investment in the Company</w:t>
      </w:r>
      <w:r>
        <w:rPr>
          <w:sz w:val="20"/>
          <w:szCs w:val="20"/>
        </w:rPr>
        <w:t xml:space="preserve"> in light of the Company’s deteriorating financial condition and the limited liquidity available to such holders in the public market.</w:t>
      </w:r>
    </w:p>
    <w:p w14:paraId="198CD91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B7152D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As a privately held company, the Company will be relieved of many of the other expenses, burdens and constraints impose</w:t>
      </w:r>
      <w:r>
        <w:rPr>
          <w:sz w:val="20"/>
          <w:szCs w:val="20"/>
        </w:rPr>
        <w:t>d on companies that are subject to the public reporting requirements under the U.S. federal securities laws, including the Exchange Act and the Sarbanes-Oxley Act of 2002. The Company will no longer be required to publicly disclose a considerable amount of</w:t>
      </w:r>
      <w:r>
        <w:rPr>
          <w:sz w:val="20"/>
          <w:szCs w:val="20"/>
        </w:rPr>
        <w:t xml:space="preserve"> business information which may reduce the Company’s competitive advantage or negotiation leverage against the Company’s competitors, customers, lenders or vendors, as the case may be. The need for the management of the Company to be responsive to Unaffili</w:t>
      </w:r>
      <w:r>
        <w:rPr>
          <w:sz w:val="20"/>
          <w:szCs w:val="20"/>
        </w:rPr>
        <w:t>ated Security Holders’ concerns and to engage in an ongoing dialogue with Unaffiliated Security Holders can distract management’s time and attention from the effective operation and improvement of the business.</w:t>
      </w:r>
    </w:p>
    <w:p w14:paraId="5585171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DD3C4A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Buyer Filing Persons decided to underta</w:t>
      </w:r>
      <w:r>
        <w:rPr>
          <w:sz w:val="20"/>
          <w:szCs w:val="20"/>
        </w:rPr>
        <w:t>ke the going private transaction at this time because it wants to take advantage of the benefits of the Company being a privately held company, as described above. In the course of considering the going-private transaction, the Buyer Filing Persons did not</w:t>
      </w:r>
      <w:r>
        <w:rPr>
          <w:sz w:val="20"/>
          <w:szCs w:val="20"/>
        </w:rPr>
        <w:t xml:space="preserve"> consider alternative transaction structures because the Buyer Filing Persons believed the Merger was the most direct and effective way to enable the Buyer Filing Persons to acquire ownership and control of the Company.</w:t>
      </w:r>
    </w:p>
    <w:p w14:paraId="702BA802" w14:textId="77777777" w:rsidR="00000000" w:rsidRDefault="002F725F">
      <w:pPr>
        <w:pStyle w:val="NormalWeb"/>
        <w:spacing w:before="0" w:beforeAutospacing="0" w:after="0" w:afterAutospacing="0"/>
        <w:jc w:val="both"/>
        <w:divId w:val="415980837"/>
        <w:rPr>
          <w:sz w:val="20"/>
          <w:szCs w:val="20"/>
        </w:rPr>
      </w:pPr>
      <w:r>
        <w:rPr>
          <w:b/>
          <w:bCs/>
          <w:i/>
          <w:iCs/>
          <w:sz w:val="20"/>
          <w:szCs w:val="20"/>
        </w:rPr>
        <w:t> </w:t>
      </w:r>
    </w:p>
    <w:p w14:paraId="55D94C3C" w14:textId="77777777" w:rsidR="00000000" w:rsidRDefault="002F725F">
      <w:pPr>
        <w:pStyle w:val="NormalWeb"/>
        <w:spacing w:before="0" w:beforeAutospacing="0" w:after="0" w:afterAutospacing="0"/>
        <w:jc w:val="both"/>
        <w:divId w:val="415980837"/>
        <w:rPr>
          <w:sz w:val="20"/>
          <w:szCs w:val="20"/>
        </w:rPr>
      </w:pPr>
      <w:r>
        <w:rPr>
          <w:b/>
          <w:bCs/>
          <w:i/>
          <w:iCs/>
          <w:sz w:val="20"/>
          <w:szCs w:val="20"/>
          <w:shd w:val="clear" w:color="auto" w:fill="FFFFFF"/>
        </w:rPr>
        <w:t>The Company</w:t>
      </w:r>
    </w:p>
    <w:p w14:paraId="0C4E8F3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CD8D64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Company’s purpos</w:t>
      </w:r>
      <w:r>
        <w:rPr>
          <w:sz w:val="20"/>
          <w:szCs w:val="20"/>
        </w:rPr>
        <w:t>e for engaging in the Merger is to enable its shareholders to receive US$0.066 per Share, without interest and net of any applicable withholding taxes. The Company has determined to undertake the Merger at this time based on the analyses, determinations an</w:t>
      </w:r>
      <w:r>
        <w:rPr>
          <w:sz w:val="20"/>
          <w:szCs w:val="20"/>
        </w:rPr>
        <w:t>d conclusions of the Special Committee and the Board described in detail under the section entitled “Special Factors—Reasons for the Merger and Recommendation of the Special Committee and the Board” beginning on page 29.</w:t>
      </w:r>
    </w:p>
    <w:p w14:paraId="65A1E69E"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0F192068" w14:textId="77777777" w:rsidR="00000000" w:rsidRDefault="002F725F">
      <w:pPr>
        <w:pStyle w:val="NormalWeb"/>
        <w:spacing w:before="0" w:beforeAutospacing="0" w:after="0" w:afterAutospacing="0"/>
        <w:jc w:val="center"/>
        <w:divId w:val="35088511"/>
        <w:rPr>
          <w:sz w:val="20"/>
          <w:szCs w:val="20"/>
        </w:rPr>
      </w:pPr>
      <w:r>
        <w:rPr>
          <w:sz w:val="20"/>
          <w:szCs w:val="20"/>
        </w:rPr>
        <w:t>5</w:t>
      </w:r>
      <w:r>
        <w:rPr>
          <w:sz w:val="20"/>
          <w:szCs w:val="20"/>
        </w:rPr>
        <w:t>7</w:t>
      </w:r>
    </w:p>
    <w:p w14:paraId="51FCE390" w14:textId="77777777" w:rsidR="00000000" w:rsidRDefault="002F725F">
      <w:pPr>
        <w:pStyle w:val="NormalWeb"/>
        <w:spacing w:before="0" w:beforeAutospacing="0" w:after="0" w:afterAutospacing="0"/>
        <w:divId w:val="1736053105"/>
        <w:rPr>
          <w:sz w:val="20"/>
          <w:szCs w:val="20"/>
        </w:rPr>
      </w:pPr>
      <w:r>
        <w:rPr>
          <w:sz w:val="20"/>
          <w:szCs w:val="20"/>
        </w:rPr>
        <w:lastRenderedPageBreak/>
        <w:t> </w:t>
      </w:r>
    </w:p>
    <w:p w14:paraId="6DB2E47A"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02F3FC02" w14:textId="77777777" w:rsidR="00000000" w:rsidRDefault="002F725F">
      <w:pPr>
        <w:pStyle w:val="NormalWeb"/>
        <w:spacing w:before="0" w:beforeAutospacing="0" w:after="0" w:afterAutospacing="0"/>
        <w:jc w:val="both"/>
        <w:divId w:val="415980837"/>
        <w:rPr>
          <w:sz w:val="20"/>
          <w:szCs w:val="20"/>
        </w:rPr>
      </w:pPr>
      <w:r>
        <w:rPr>
          <w:b/>
          <w:bCs/>
          <w:sz w:val="20"/>
          <w:szCs w:val="20"/>
        </w:rPr>
        <w:t>Effects of the Merger on the Company</w:t>
      </w:r>
    </w:p>
    <w:p w14:paraId="65178A8D" w14:textId="77777777" w:rsidR="00000000" w:rsidRDefault="002F725F">
      <w:pPr>
        <w:pStyle w:val="NormalWeb"/>
        <w:spacing w:before="0" w:beforeAutospacing="0" w:after="0" w:afterAutospacing="0"/>
        <w:jc w:val="both"/>
        <w:divId w:val="415980837"/>
        <w:rPr>
          <w:sz w:val="20"/>
          <w:szCs w:val="20"/>
        </w:rPr>
      </w:pPr>
      <w:r>
        <w:rPr>
          <w:b/>
          <w:bCs/>
          <w:i/>
          <w:iCs/>
          <w:sz w:val="20"/>
          <w:szCs w:val="20"/>
        </w:rPr>
        <w:t> </w:t>
      </w:r>
    </w:p>
    <w:p w14:paraId="532B3B69" w14:textId="77777777" w:rsidR="00000000" w:rsidRDefault="002F725F">
      <w:pPr>
        <w:pStyle w:val="NormalWeb"/>
        <w:spacing w:before="0" w:beforeAutospacing="0" w:after="0" w:afterAutospacing="0"/>
        <w:jc w:val="both"/>
        <w:divId w:val="415980837"/>
        <w:rPr>
          <w:sz w:val="20"/>
          <w:szCs w:val="20"/>
        </w:rPr>
      </w:pPr>
      <w:r>
        <w:rPr>
          <w:b/>
          <w:bCs/>
          <w:i/>
          <w:iCs/>
          <w:sz w:val="20"/>
          <w:szCs w:val="20"/>
        </w:rPr>
        <w:t>Private Ownership</w:t>
      </w:r>
    </w:p>
    <w:p w14:paraId="3C93031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EEB2C7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Shares are currently listed for quotation on OTC Pink under the symbol “LSBCF”. The Company Warrants are currently listed for quotation on OTC Pink under the symbol “LSBWF”. It is expected that</w:t>
      </w:r>
      <w:r>
        <w:rPr>
          <w:sz w:val="20"/>
          <w:szCs w:val="20"/>
        </w:rPr>
        <w:t>, following the consummation of the Merger, the Company, as the Surviving Company, will cease to be a publicly traded company and will instead become a private company beneficially owned by the Buyer Group.</w:t>
      </w:r>
    </w:p>
    <w:p w14:paraId="4F152B7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A315F7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Following the completion of the Merger, the Sha</w:t>
      </w:r>
      <w:r>
        <w:rPr>
          <w:sz w:val="20"/>
          <w:szCs w:val="20"/>
        </w:rPr>
        <w:t>res and the Company Warrants will no longer be listed for quotation on any public market place or quotation system, including OTC Pink, and price quotations with respect to sales of the Shares and the Company Warrants in the public market will no longer be</w:t>
      </w:r>
      <w:r>
        <w:rPr>
          <w:sz w:val="20"/>
          <w:szCs w:val="20"/>
        </w:rPr>
        <w:t xml:space="preserve"> available. In addition, registration of Shares and Company Warrants under the Exchange Act may be terminated upon the Company’s application to the SEC if Shares and Company Warrants are not listed on a national securities exchange and there are fewer than</w:t>
      </w:r>
      <w:r>
        <w:rPr>
          <w:sz w:val="20"/>
          <w:szCs w:val="20"/>
        </w:rPr>
        <w:t xml:space="preserve"> 300 record holders of Shares and Company Warrants, respectively. Ninety days after the filing of Form 15 in connection with the completion of the Merger or such longer period as may be determined by the SEC, registration of the Shares and Company Warrants</w:t>
      </w:r>
      <w:r>
        <w:rPr>
          <w:sz w:val="20"/>
          <w:szCs w:val="20"/>
        </w:rPr>
        <w:t xml:space="preserve"> under the Exchange Act will be terminated and the Company will no longer be required to file periodic reports with the SEC or otherwise be subject to the U.S. federal securities laws, including the Exchange Act and the Sarbanes-Oxley Act of 2002, applicab</w:t>
      </w:r>
      <w:r>
        <w:rPr>
          <w:sz w:val="20"/>
          <w:szCs w:val="20"/>
        </w:rPr>
        <w:t>le to public companies. As a result, the Company will no longer incur the costs and expenses of complying with such requirements. After the completion of the Merger, the Company’s shareholders will no longer enjoy the rights or protections that the U.S. fe</w:t>
      </w:r>
      <w:r>
        <w:rPr>
          <w:sz w:val="20"/>
          <w:szCs w:val="20"/>
        </w:rPr>
        <w:t>deral securities laws provide, including reporting obligations for directors, officers and principal securities holders of the Company.</w:t>
      </w:r>
    </w:p>
    <w:p w14:paraId="5327BC35"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66C19C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Upon completion of the Merger, each Share, other than the Excluded Shares and the Dissenting Shares, issued and outsta</w:t>
      </w:r>
      <w:r>
        <w:rPr>
          <w:sz w:val="20"/>
          <w:szCs w:val="20"/>
        </w:rPr>
        <w:t>nding immediately prior to the Effective Time, will be cancelled and cease to exist in exchange for the right to receive the Per Share Merger Consideration in cash per Share without interest and net of any applicable withholding taxes. At the Effective Tim</w:t>
      </w:r>
      <w:r>
        <w:rPr>
          <w:sz w:val="20"/>
          <w:szCs w:val="20"/>
        </w:rPr>
        <w:t>e, (a) the Excluded Shares will be cancelled for no consideration or distribution therefor and (b) the Dissenting Shares will be cancelled and cease to exist in exchange for the right to receive the fair value of such Shares as determined by the Grand Cour</w:t>
      </w:r>
      <w:r>
        <w:rPr>
          <w:sz w:val="20"/>
          <w:szCs w:val="20"/>
        </w:rPr>
        <w:t>t of the Cayman Islands in accordance with the provisions of Section 238 of the Cayman Islands Companies Act. At the Effective Time, each share of Merger Sub issued and outstanding immediately prior to the Effective Time will be converted into and become o</w:t>
      </w:r>
      <w:r>
        <w:rPr>
          <w:sz w:val="20"/>
          <w:szCs w:val="20"/>
        </w:rPr>
        <w:t>ne validly issued, fully paid and non-assessable ordinary share of the Surviving Company. As a result, current shareholders of the Company, other than the Buyer Group, will no longer have any equity interest in, or be shareholders of, the Company upon comp</w:t>
      </w:r>
      <w:r>
        <w:rPr>
          <w:sz w:val="20"/>
          <w:szCs w:val="20"/>
        </w:rPr>
        <w:t xml:space="preserve">letion of the Merger. As a result, the Company’s shareholders, other than the Buyer Group, will not have the opportunity to participate in the earnings and growth of the Company and they will not have the right to vote on corporate matters. Similarly, our </w:t>
      </w:r>
      <w:r>
        <w:rPr>
          <w:sz w:val="20"/>
          <w:szCs w:val="20"/>
        </w:rPr>
        <w:t>current shareholders, other than the Buyer Group, will not be exposed to the risk of loss in relation to their investment in the Company.</w:t>
      </w:r>
    </w:p>
    <w:p w14:paraId="6C2640B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28E4AC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From and after the Effective Time, each Company Warrant will, by virtue of the Merger, be treated in the manner as s</w:t>
      </w:r>
      <w:r>
        <w:rPr>
          <w:sz w:val="20"/>
          <w:szCs w:val="20"/>
        </w:rPr>
        <w:t>et forth in the Warrant Agreement.</w:t>
      </w:r>
    </w:p>
    <w:p w14:paraId="77D7B67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97EFA7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Pursuant to Section 4.5 of the Warrant Agreement, in the case of any merger or consolidation of the Company with or into another corporation (other than a consolidation or merger in which the Company is the continuing c</w:t>
      </w:r>
      <w:r>
        <w:rPr>
          <w:sz w:val="20"/>
          <w:szCs w:val="20"/>
        </w:rPr>
        <w:t>orporation and that does not result in any reclassification or reorganization of the issued and outstanding Shares), the holders of the Company Warrants shall thereafter have the right to purchase and receive, upon the basis and upon the terms and conditio</w:t>
      </w:r>
      <w:r>
        <w:rPr>
          <w:sz w:val="20"/>
          <w:szCs w:val="20"/>
        </w:rPr>
        <w:t>ns specified in the Company Warrants and in lieu of the Shares immediately theretofore purchasable and receivable upon the exercise of the rights represented thereby, the kind and amount of shares or stock or other securities or property (including cash) r</w:t>
      </w:r>
      <w:r>
        <w:rPr>
          <w:sz w:val="20"/>
          <w:szCs w:val="20"/>
        </w:rPr>
        <w:t>eceivable upon such merger or consolidation, that the holder of the Company Warrants would have received if such holder had exercised his, her or its Company Warrant(s) immediately prior to such event. Accordingly, as a result of the Merger and immediately</w:t>
      </w:r>
      <w:r>
        <w:rPr>
          <w:sz w:val="20"/>
          <w:szCs w:val="20"/>
        </w:rPr>
        <w:t xml:space="preserve"> after the Effective Time, the holder(s) of each of the Company Warrants that is issued and outstanding immediately prior to the Effective Time will have the right to receive US$0.0066 (being one-tenth of the Per Share Merger Consideration as one Company W</w:t>
      </w:r>
      <w:r>
        <w:rPr>
          <w:sz w:val="20"/>
          <w:szCs w:val="20"/>
        </w:rPr>
        <w:t xml:space="preserve">arrant is exercisable </w:t>
      </w:r>
      <w:r>
        <w:rPr>
          <w:sz w:val="20"/>
          <w:szCs w:val="20"/>
        </w:rPr>
        <w:lastRenderedPageBreak/>
        <w:t>for one-tenth of a Share) per Company Warrant in cash, upon the exercise of such Company Warrant by paying US$11.5, the exercise price per Company Warrant, to the Surviving Company.</w:t>
      </w:r>
    </w:p>
    <w:p w14:paraId="075AC8C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0D41F5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Section 4.5 of the Warrant Agreement further provi</w:t>
      </w:r>
      <w:r>
        <w:rPr>
          <w:sz w:val="20"/>
          <w:szCs w:val="20"/>
        </w:rPr>
        <w:t>des that, if less than 70% of the consideration receivable by the holders of the Shares in such a transaction is payable in the form of shares in the successor entity that is listed for trading on a national securities exchange or is quoted in an establish</w:t>
      </w:r>
      <w:r>
        <w:rPr>
          <w:sz w:val="20"/>
          <w:szCs w:val="20"/>
        </w:rPr>
        <w:t>ed over-the-counter market, or is to be so listed for trading or quoted immediately following such event, and if the registered holder of the Company Warrant properly exercises the Company Warrant within thirty days following public disclosure of the consu</w:t>
      </w:r>
      <w:r>
        <w:rPr>
          <w:sz w:val="20"/>
          <w:szCs w:val="20"/>
        </w:rPr>
        <w:t>mmation of such applicable event by the Company, the warrant exercise price will be reduced as specified in the Warrant Agreement based on the Black-Scholes value (as defined in the Warrant Agreement) of the Company Warrant.</w:t>
      </w:r>
    </w:p>
    <w:p w14:paraId="24C3A2FA"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00501E27" w14:textId="77777777" w:rsidR="00000000" w:rsidRDefault="002F725F">
      <w:pPr>
        <w:pStyle w:val="NormalWeb"/>
        <w:spacing w:before="0" w:beforeAutospacing="0" w:after="0" w:afterAutospacing="0"/>
        <w:jc w:val="center"/>
        <w:divId w:val="525945623"/>
        <w:rPr>
          <w:sz w:val="20"/>
          <w:szCs w:val="20"/>
        </w:rPr>
      </w:pPr>
      <w:r>
        <w:rPr>
          <w:sz w:val="20"/>
          <w:szCs w:val="20"/>
        </w:rPr>
        <w:t>5</w:t>
      </w:r>
      <w:r>
        <w:rPr>
          <w:sz w:val="20"/>
          <w:szCs w:val="20"/>
        </w:rPr>
        <w:t>8</w:t>
      </w:r>
    </w:p>
    <w:p w14:paraId="1CA15CAB" w14:textId="77777777" w:rsidR="00000000" w:rsidRDefault="002F725F">
      <w:pPr>
        <w:pStyle w:val="NormalWeb"/>
        <w:spacing w:before="0" w:beforeAutospacing="0" w:after="0" w:afterAutospacing="0"/>
        <w:divId w:val="1438715345"/>
        <w:rPr>
          <w:sz w:val="20"/>
          <w:szCs w:val="20"/>
        </w:rPr>
      </w:pPr>
      <w:r>
        <w:rPr>
          <w:sz w:val="20"/>
          <w:szCs w:val="20"/>
        </w:rPr>
        <w:t> </w:t>
      </w:r>
    </w:p>
    <w:p w14:paraId="756CBCD3"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794D56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or prior to the Eff</w:t>
      </w:r>
      <w:r>
        <w:rPr>
          <w:sz w:val="20"/>
          <w:szCs w:val="20"/>
        </w:rPr>
        <w:t>ective Time, the Company will terminate the Share Incentive Plans and all award agreements entered into under the Company Options and Company RSUs, effective as of the Effective Time.</w:t>
      </w:r>
    </w:p>
    <w:p w14:paraId="53CC8A4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8E234F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Each Company Option granted </w:t>
      </w:r>
      <w:r>
        <w:rPr>
          <w:sz w:val="20"/>
          <w:szCs w:val="20"/>
        </w:rPr>
        <w:t>under the 2020 Plan that is not vested and is outstanding immediately prior to the Effective Time will become fully vested as of the Effective Time. Each Company Option granted under the 2020 Plan that is fully vested and outstanding immediately prior to t</w:t>
      </w:r>
      <w:r>
        <w:rPr>
          <w:sz w:val="20"/>
          <w:szCs w:val="20"/>
        </w:rPr>
        <w:t>he Effective Time and the unvested Company Options that become fully vested as of the Effective Time pursuant to the preceding sentence will be cancelled as of the Effective Time and immediately converted into the right to receive in exchange therefor an a</w:t>
      </w:r>
      <w:r>
        <w:rPr>
          <w:sz w:val="20"/>
          <w:szCs w:val="20"/>
        </w:rPr>
        <w:t>mount of cash equal to (i) the excess, if any, of (A) the Per Share Merger Consideration over (B) the exercise price of such Company Option, multiplied by (ii) the number of Shares underlying such Company Option, which amount will be paid as soon as reason</w:t>
      </w:r>
      <w:r>
        <w:rPr>
          <w:sz w:val="20"/>
          <w:szCs w:val="20"/>
        </w:rPr>
        <w:t>ably practicable following the Effective Time by the Surviving Company pursuant to the ordinary payroll practices; provided, that if the exercise price of any such vested Company Option is equal to or greater than the Per Share Merger Consideration, such v</w:t>
      </w:r>
      <w:r>
        <w:rPr>
          <w:sz w:val="20"/>
          <w:szCs w:val="20"/>
        </w:rPr>
        <w:t>ested Company Option will be cancelled without any payment therefor.</w:t>
      </w:r>
    </w:p>
    <w:p w14:paraId="4916B9C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7E1DD2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Each Company RSU granted under the 2020 Plan that is not vested and is outstanding immediately prior to the Effective Time will become fully vested immediately prior to the Effective Ti</w:t>
      </w:r>
      <w:r>
        <w:rPr>
          <w:sz w:val="20"/>
          <w:szCs w:val="20"/>
        </w:rPr>
        <w:t>me. Each Company RSU granted under the 2020 Plan that is fully vested and outstanding immediately prior to the Effective Time and the unvested Company RSUs that become fully vested as of the Effective Time pursuant to the preceding sentence will be cancell</w:t>
      </w:r>
      <w:r>
        <w:rPr>
          <w:sz w:val="20"/>
          <w:szCs w:val="20"/>
        </w:rPr>
        <w:t xml:space="preserve">ed as of the Effective Time and immediately converted into the right to receive in exchange therefor an amount of cash equal to (i) the Per Share Merger Consideration, multiplied by (ii) the number of Shares subject to such Company RSUs, which amount will </w:t>
      </w:r>
      <w:r>
        <w:rPr>
          <w:sz w:val="20"/>
          <w:szCs w:val="20"/>
        </w:rPr>
        <w:t>be paid as soon as reasonably practicable following the Effective Time by the Surviving Company pursuant to the ordinary payroll practices.</w:t>
      </w:r>
    </w:p>
    <w:p w14:paraId="7EEE4DE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72E7E5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the Effective Time, except as otherwise agreed to in writing between a holder of a Company Option and Parent, e</w:t>
      </w:r>
      <w:r>
        <w:rPr>
          <w:sz w:val="20"/>
          <w:szCs w:val="20"/>
        </w:rPr>
        <w:t>ach Company Option under the 2024 Plan, whether vested or unvested, will be assumed by Parent as an option to purchase Parent Shares under an equity incentive plan to be established by Parent, exercisable into a number of Parent Shares equal to the product</w:t>
      </w:r>
      <w:r>
        <w:rPr>
          <w:sz w:val="20"/>
          <w:szCs w:val="20"/>
        </w:rPr>
        <w:t xml:space="preserve"> of (i) the number of Shares subject to the corresponding Company Option immediately prior to the Effective Time, multiplied by (ii) the Exchange Ratio, and rounding such product down to the nearest whole number of Parent Shares, with an exercise price per</w:t>
      </w:r>
      <w:r>
        <w:rPr>
          <w:sz w:val="20"/>
          <w:szCs w:val="20"/>
        </w:rPr>
        <w:t xml:space="preserve"> share subject to the assumed option equal to the exercise price for which the corresponding Company Option was exercisable immediately prior to the Effective Time divided by the Exchange Ratio, and rounded up to the nearest whole cent. Except as provided </w:t>
      </w:r>
      <w:r>
        <w:rPr>
          <w:sz w:val="20"/>
          <w:szCs w:val="20"/>
        </w:rPr>
        <w:t>above, each assumed option will continue to have, and be subject to, the same terms and conditions as the corresponding Company Option set forth in the 2024 Plan and the applicable award agreement as in effect immediately prior to the Effective Time.</w:t>
      </w:r>
    </w:p>
    <w:p w14:paraId="6DB2968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74532E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At </w:t>
      </w:r>
      <w:r>
        <w:rPr>
          <w:sz w:val="20"/>
          <w:szCs w:val="20"/>
        </w:rPr>
        <w:t>the Effective Time, except as otherwise agreed to in writing between a holder of a Company RSU and Parent, each Company RSU under the 2024 Plan, whether vested or unvested, will be assumed by Parent as a restricted stock unit award with respect to a number</w:t>
      </w:r>
      <w:r>
        <w:rPr>
          <w:sz w:val="20"/>
          <w:szCs w:val="20"/>
        </w:rPr>
        <w:t xml:space="preserve"> of Parent Shares equal to the product of (i) the number of Shares subject to such Company RSU immediately prior to the Effective Time, multiplied by (ii) the Exchange Ratio, rounding such product down to the nearest whole number of Parent Shares. Except a</w:t>
      </w:r>
      <w:r>
        <w:rPr>
          <w:sz w:val="20"/>
          <w:szCs w:val="20"/>
        </w:rPr>
        <w:t xml:space="preserve">s provided above, each assumed restricted stock </w:t>
      </w:r>
      <w:r>
        <w:rPr>
          <w:sz w:val="20"/>
          <w:szCs w:val="20"/>
        </w:rPr>
        <w:lastRenderedPageBreak/>
        <w:t>unit award will continue to have, and be subject to, the same terms and conditions as the corresponding Company RSU set forth in the 2024 Plan and the applicable award agreement as in effect immediately prior</w:t>
      </w:r>
      <w:r>
        <w:rPr>
          <w:sz w:val="20"/>
          <w:szCs w:val="20"/>
        </w:rPr>
        <w:t xml:space="preserve"> to the Effective Time.</w:t>
      </w:r>
    </w:p>
    <w:p w14:paraId="34BE7F9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B319C3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Parent may seek, prior to the closing date, to agree with an individual holder of any Company Options or Company RSUs that all or a portion of such holder’s Company Options or Company RSUs will not be treated as provided in the Me</w:t>
      </w:r>
      <w:r>
        <w:rPr>
          <w:sz w:val="20"/>
          <w:szCs w:val="20"/>
        </w:rPr>
        <w:t>rger Agreement, but will instead be treated as otherwise agreed by and among such holder, the Company and Parent; provided, that in no event will such arrangement result in the assumption, substitution or continuation of such Company Options or Company RSU</w:t>
      </w:r>
      <w:r>
        <w:rPr>
          <w:sz w:val="20"/>
          <w:szCs w:val="20"/>
        </w:rPr>
        <w:t>s with terms and conditions that provide additional benefits to such individual holder as compared to terms and conditions in effect immediately prior to the Effective Time. The Company agrees that, to the extent that Parent has identified to the Company i</w:t>
      </w:r>
      <w:r>
        <w:rPr>
          <w:sz w:val="20"/>
          <w:szCs w:val="20"/>
        </w:rPr>
        <w:t>n writing, at least 15 days prior to the closing date, the individuals with whom it is seeking agreement with respect to such Company Options or Company RSUs, the Company will use commercially reasonable efforts to facilitate Parent’s access to such indivi</w:t>
      </w:r>
      <w:r>
        <w:rPr>
          <w:sz w:val="20"/>
          <w:szCs w:val="20"/>
        </w:rPr>
        <w:t>duals in order to discuss such alternative arrangement.</w:t>
      </w:r>
    </w:p>
    <w:p w14:paraId="094209E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58381D2" w14:textId="77777777" w:rsidR="00000000" w:rsidRDefault="002F725F">
      <w:pPr>
        <w:pStyle w:val="NormalWeb"/>
        <w:spacing w:before="0" w:beforeAutospacing="0" w:after="0" w:afterAutospacing="0"/>
        <w:jc w:val="both"/>
        <w:divId w:val="415980837"/>
        <w:rPr>
          <w:sz w:val="20"/>
          <w:szCs w:val="20"/>
        </w:rPr>
      </w:pPr>
      <w:r>
        <w:rPr>
          <w:b/>
          <w:bCs/>
          <w:i/>
          <w:iCs/>
          <w:sz w:val="20"/>
          <w:szCs w:val="20"/>
        </w:rPr>
        <w:t>Directors and Management of the Surviving Company</w:t>
      </w:r>
    </w:p>
    <w:p w14:paraId="61181C0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4F7D7A3" w14:textId="77777777" w:rsidR="00000000" w:rsidRDefault="002F725F">
      <w:pPr>
        <w:pStyle w:val="NormalWeb"/>
        <w:spacing w:before="0" w:beforeAutospacing="0" w:after="0" w:afterAutospacing="0"/>
        <w:ind w:firstLine="720"/>
        <w:jc w:val="both"/>
        <w:divId w:val="415980837"/>
        <w:rPr>
          <w:sz w:val="20"/>
          <w:szCs w:val="20"/>
        </w:rPr>
      </w:pPr>
      <w:r>
        <w:rPr>
          <w:sz w:val="20"/>
          <w:szCs w:val="20"/>
          <w:shd w:val="clear" w:color="auto" w:fill="FFFFFF"/>
        </w:rPr>
        <w:t>If the Merger is completed, the current memorandum and articles of association of the Company will be replaced in their entirety by the memorandum</w:t>
      </w:r>
      <w:r>
        <w:rPr>
          <w:sz w:val="20"/>
          <w:szCs w:val="20"/>
          <w:shd w:val="clear" w:color="auto" w:fill="FFFFFF"/>
        </w:rPr>
        <w:t xml:space="preserve"> and articles of association of Merger Sub, as in effect immediately prior to the Effective Time except that, at the Effective Time, (a) </w:t>
      </w:r>
      <w:r>
        <w:rPr>
          <w:sz w:val="20"/>
          <w:szCs w:val="20"/>
        </w:rPr>
        <w:t xml:space="preserve">all references therein to the name of the Surviving Company shall be amended to “LakeShore Biopharma Co., Ltd,” </w:t>
      </w:r>
      <w:r>
        <w:rPr>
          <w:sz w:val="20"/>
          <w:szCs w:val="20"/>
          <w:shd w:val="clear" w:color="auto" w:fill="FFFFFF"/>
        </w:rPr>
        <w:t>(b) all</w:t>
      </w:r>
      <w:r>
        <w:rPr>
          <w:sz w:val="20"/>
          <w:szCs w:val="20"/>
          <w:shd w:val="clear" w:color="auto" w:fill="FFFFFF"/>
        </w:rPr>
        <w:t xml:space="preserve"> references therein to the authorized share capital of the Surviving Company will be amended to refer to the correct authorized share capital of the Surviving Company as approved in the Plan of Merger, and (c) such memorandum and articles of association wi</w:t>
      </w:r>
      <w:r>
        <w:rPr>
          <w:sz w:val="20"/>
          <w:szCs w:val="20"/>
          <w:shd w:val="clear" w:color="auto" w:fill="FFFFFF"/>
        </w:rPr>
        <w:t xml:space="preserve">ll include such indemnification, advancement of expenses and exculpation provisions as required by the Merger Agreement. In addition, </w:t>
      </w:r>
      <w:r>
        <w:rPr>
          <w:sz w:val="20"/>
          <w:szCs w:val="20"/>
        </w:rPr>
        <w:t>the directors of Merger Sub immediately prior to the Effective Time or such other persons designated by Parent shall, from</w:t>
      </w:r>
      <w:r>
        <w:rPr>
          <w:sz w:val="20"/>
          <w:szCs w:val="20"/>
        </w:rPr>
        <w:t xml:space="preserve"> and after the Effective Time, be the initial directors of the Surviving Company, </w:t>
      </w:r>
      <w:r>
        <w:rPr>
          <w:sz w:val="20"/>
          <w:szCs w:val="20"/>
          <w:shd w:val="clear" w:color="auto" w:fill="FFFFFF"/>
        </w:rPr>
        <w:t xml:space="preserve">and </w:t>
      </w:r>
      <w:r>
        <w:rPr>
          <w:sz w:val="20"/>
          <w:szCs w:val="20"/>
        </w:rPr>
        <w:t>the officers of the Company immediately prior to the Effective Time shall, from and after the Effective Time, be the initial officers of the Surviving Company, in each ca</w:t>
      </w:r>
      <w:r>
        <w:rPr>
          <w:sz w:val="20"/>
          <w:szCs w:val="20"/>
        </w:rPr>
        <w:t>se, unless otherwise determined by Parent prior to the Effective Time</w:t>
      </w:r>
      <w:r>
        <w:rPr>
          <w:sz w:val="20"/>
          <w:szCs w:val="20"/>
          <w:shd w:val="clear" w:color="auto" w:fill="FFFFFF"/>
        </w:rPr>
        <w:t>.</w:t>
      </w:r>
    </w:p>
    <w:p w14:paraId="631870AA" w14:textId="77777777" w:rsidR="00000000" w:rsidRDefault="002F725F">
      <w:pPr>
        <w:pStyle w:val="NormalWeb"/>
        <w:spacing w:before="0" w:beforeAutospacing="0" w:after="0" w:afterAutospacing="0"/>
        <w:jc w:val="center"/>
        <w:divId w:val="415980837"/>
        <w:rPr>
          <w:sz w:val="20"/>
          <w:szCs w:val="20"/>
        </w:rPr>
      </w:pPr>
      <w:r>
        <w:rPr>
          <w:b/>
          <w:bCs/>
          <w:i/>
          <w:iCs/>
          <w:sz w:val="20"/>
          <w:szCs w:val="20"/>
        </w:rPr>
        <w:t> </w:t>
      </w:r>
    </w:p>
    <w:p w14:paraId="3BA70BB1" w14:textId="77777777" w:rsidR="00000000" w:rsidRDefault="002F725F">
      <w:pPr>
        <w:pStyle w:val="NormalWeb"/>
        <w:spacing w:before="0" w:beforeAutospacing="0" w:after="0" w:afterAutospacing="0"/>
        <w:jc w:val="center"/>
        <w:divId w:val="146171971"/>
        <w:rPr>
          <w:sz w:val="20"/>
          <w:szCs w:val="20"/>
        </w:rPr>
      </w:pPr>
      <w:r>
        <w:rPr>
          <w:sz w:val="20"/>
          <w:szCs w:val="20"/>
        </w:rPr>
        <w:t>5</w:t>
      </w:r>
      <w:r>
        <w:rPr>
          <w:sz w:val="20"/>
          <w:szCs w:val="20"/>
        </w:rPr>
        <w:t>9</w:t>
      </w:r>
    </w:p>
    <w:p w14:paraId="1278484A" w14:textId="77777777" w:rsidR="00000000" w:rsidRDefault="002F725F">
      <w:pPr>
        <w:pStyle w:val="NormalWeb"/>
        <w:spacing w:before="0" w:beforeAutospacing="0" w:after="0" w:afterAutospacing="0"/>
        <w:divId w:val="167721301"/>
        <w:rPr>
          <w:sz w:val="20"/>
          <w:szCs w:val="20"/>
        </w:rPr>
      </w:pPr>
      <w:r>
        <w:rPr>
          <w:sz w:val="20"/>
          <w:szCs w:val="20"/>
        </w:rPr>
        <w:t> </w:t>
      </w:r>
    </w:p>
    <w:p w14:paraId="2B7A0132" w14:textId="77777777" w:rsidR="00000000" w:rsidRDefault="002F725F">
      <w:pPr>
        <w:pStyle w:val="NormalWeb"/>
        <w:spacing w:before="0" w:beforeAutospacing="0" w:after="0" w:afterAutospacing="0"/>
        <w:jc w:val="center"/>
        <w:divId w:val="415980837"/>
        <w:rPr>
          <w:sz w:val="20"/>
          <w:szCs w:val="20"/>
        </w:rPr>
      </w:pPr>
      <w:r>
        <w:rPr>
          <w:b/>
          <w:bCs/>
          <w:i/>
          <w:iCs/>
          <w:sz w:val="20"/>
          <w:szCs w:val="20"/>
        </w:rPr>
        <w:t> </w:t>
      </w:r>
    </w:p>
    <w:p w14:paraId="028CAB7E" w14:textId="77777777" w:rsidR="00000000" w:rsidRDefault="002F725F">
      <w:pPr>
        <w:pStyle w:val="NormalWeb"/>
        <w:spacing w:before="0" w:beforeAutospacing="0" w:after="0" w:afterAutospacing="0"/>
        <w:jc w:val="both"/>
        <w:divId w:val="415980837"/>
        <w:rPr>
          <w:sz w:val="20"/>
          <w:szCs w:val="20"/>
        </w:rPr>
      </w:pPr>
      <w:r>
        <w:rPr>
          <w:b/>
          <w:bCs/>
          <w:i/>
          <w:iCs/>
          <w:sz w:val="20"/>
          <w:szCs w:val="20"/>
        </w:rPr>
        <w:t>Primary Benefits and Detriments of the Merger</w:t>
      </w:r>
    </w:p>
    <w:p w14:paraId="699BA97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3C0DF8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primary benefits of the Merger to the Unaffiliated Security Holders include, without limitation, the following:</w:t>
      </w:r>
    </w:p>
    <w:p w14:paraId="694CD9DE"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AF1D289" w14:textId="77777777">
        <w:trPr>
          <w:divId w:val="415980837"/>
          <w:tblCellSpacing w:w="0" w:type="dxa"/>
        </w:trPr>
        <w:tc>
          <w:tcPr>
            <w:tcW w:w="720" w:type="dxa"/>
            <w:hideMark/>
          </w:tcPr>
          <w:p w14:paraId="444F1BF3" w14:textId="77777777" w:rsidR="00000000" w:rsidRDefault="002F725F">
            <w:pPr>
              <w:rPr>
                <w:sz w:val="20"/>
                <w:szCs w:val="20"/>
              </w:rPr>
            </w:pPr>
          </w:p>
        </w:tc>
        <w:tc>
          <w:tcPr>
            <w:tcW w:w="360" w:type="dxa"/>
            <w:hideMark/>
          </w:tcPr>
          <w:p w14:paraId="29F00E3F" w14:textId="77777777" w:rsidR="00000000" w:rsidRDefault="002F725F">
            <w:pPr>
              <w:rPr>
                <w:rFonts w:eastAsia="Times New Roman"/>
                <w:sz w:val="20"/>
                <w:szCs w:val="20"/>
              </w:rPr>
            </w:pPr>
            <w:r>
              <w:rPr>
                <w:rFonts w:eastAsia="Times New Roman"/>
                <w:sz w:val="20"/>
                <w:szCs w:val="20"/>
              </w:rPr>
              <w:t>●</w:t>
            </w:r>
          </w:p>
        </w:tc>
        <w:tc>
          <w:tcPr>
            <w:tcW w:w="0" w:type="auto"/>
            <w:hideMark/>
          </w:tcPr>
          <w:p w14:paraId="795F5FF9" w14:textId="77777777" w:rsidR="00000000" w:rsidRDefault="002F725F">
            <w:pPr>
              <w:jc w:val="both"/>
              <w:rPr>
                <w:rFonts w:eastAsia="Times New Roman"/>
                <w:sz w:val="20"/>
                <w:szCs w:val="20"/>
              </w:rPr>
            </w:pPr>
            <w:r>
              <w:rPr>
                <w:rFonts w:eastAsia="Times New Roman"/>
                <w:sz w:val="20"/>
                <w:szCs w:val="20"/>
              </w:rPr>
              <w:t xml:space="preserve">the receipt by the Unaffiliated Security Holders of US$0.066 per Share in cash, representing a premium of approximately 46.7% to the closing price of US$0.045 per Share as quoted by OTC Pink on March 24, 2026, the last trading day prior to March 25, 2026, </w:t>
            </w:r>
            <w:r>
              <w:rPr>
                <w:rFonts w:eastAsia="Times New Roman"/>
                <w:sz w:val="20"/>
                <w:szCs w:val="20"/>
              </w:rPr>
              <w:t>the date on which the Company announced its receipt of the March 24, 2026 Proposal, and a premium of approximately 23.3% to the volume-weighted average closing price of the Shares during the last 10 trading days prior to and including March 24, 2026; and</w:t>
            </w:r>
          </w:p>
        </w:tc>
      </w:tr>
    </w:tbl>
    <w:p w14:paraId="0A26AE03"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E8D18DE" w14:textId="77777777">
        <w:trPr>
          <w:divId w:val="415980837"/>
          <w:tblCellSpacing w:w="0" w:type="dxa"/>
        </w:trPr>
        <w:tc>
          <w:tcPr>
            <w:tcW w:w="720" w:type="dxa"/>
            <w:hideMark/>
          </w:tcPr>
          <w:p w14:paraId="08EE4D35" w14:textId="77777777" w:rsidR="00000000" w:rsidRDefault="002F725F">
            <w:pPr>
              <w:rPr>
                <w:sz w:val="20"/>
                <w:szCs w:val="20"/>
              </w:rPr>
            </w:pPr>
          </w:p>
        </w:tc>
        <w:tc>
          <w:tcPr>
            <w:tcW w:w="360" w:type="dxa"/>
            <w:hideMark/>
          </w:tcPr>
          <w:p w14:paraId="3914B2DC" w14:textId="77777777" w:rsidR="00000000" w:rsidRDefault="002F725F">
            <w:pPr>
              <w:rPr>
                <w:rFonts w:eastAsia="Times New Roman"/>
                <w:sz w:val="20"/>
                <w:szCs w:val="20"/>
              </w:rPr>
            </w:pPr>
            <w:r>
              <w:rPr>
                <w:rFonts w:eastAsia="Times New Roman"/>
                <w:sz w:val="20"/>
                <w:szCs w:val="20"/>
              </w:rPr>
              <w:t>●</w:t>
            </w:r>
          </w:p>
        </w:tc>
        <w:tc>
          <w:tcPr>
            <w:tcW w:w="0" w:type="auto"/>
            <w:hideMark/>
          </w:tcPr>
          <w:p w14:paraId="6A1E7C22" w14:textId="77777777" w:rsidR="00000000" w:rsidRDefault="002F725F">
            <w:pPr>
              <w:jc w:val="both"/>
              <w:rPr>
                <w:rFonts w:eastAsia="Times New Roman"/>
                <w:sz w:val="20"/>
                <w:szCs w:val="20"/>
              </w:rPr>
            </w:pPr>
            <w:r>
              <w:rPr>
                <w:rFonts w:eastAsia="Times New Roman"/>
                <w:sz w:val="20"/>
                <w:szCs w:val="20"/>
              </w:rPr>
              <w:t>certainty to exit in cash at US$0.066 per Share, in light of the uncertainties in the macro environment and volatilities in the capital markets; and</w:t>
            </w:r>
          </w:p>
        </w:tc>
      </w:tr>
    </w:tbl>
    <w:p w14:paraId="75FFC16E"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35B98D2" w14:textId="77777777">
        <w:trPr>
          <w:divId w:val="415980837"/>
          <w:tblCellSpacing w:w="0" w:type="dxa"/>
        </w:trPr>
        <w:tc>
          <w:tcPr>
            <w:tcW w:w="720" w:type="dxa"/>
            <w:hideMark/>
          </w:tcPr>
          <w:p w14:paraId="6FAC8F6C" w14:textId="77777777" w:rsidR="00000000" w:rsidRDefault="002F725F">
            <w:pPr>
              <w:rPr>
                <w:sz w:val="20"/>
                <w:szCs w:val="20"/>
              </w:rPr>
            </w:pPr>
          </w:p>
        </w:tc>
        <w:tc>
          <w:tcPr>
            <w:tcW w:w="360" w:type="dxa"/>
            <w:hideMark/>
          </w:tcPr>
          <w:p w14:paraId="4A0702D1" w14:textId="77777777" w:rsidR="00000000" w:rsidRDefault="002F725F">
            <w:pPr>
              <w:rPr>
                <w:rFonts w:eastAsia="Times New Roman"/>
                <w:sz w:val="20"/>
                <w:szCs w:val="20"/>
              </w:rPr>
            </w:pPr>
            <w:r>
              <w:rPr>
                <w:rFonts w:eastAsia="Times New Roman"/>
                <w:sz w:val="20"/>
                <w:szCs w:val="20"/>
              </w:rPr>
              <w:t>●</w:t>
            </w:r>
          </w:p>
        </w:tc>
        <w:tc>
          <w:tcPr>
            <w:tcW w:w="0" w:type="auto"/>
            <w:hideMark/>
          </w:tcPr>
          <w:p w14:paraId="0A03EB03" w14:textId="77777777" w:rsidR="00000000" w:rsidRDefault="002F725F">
            <w:pPr>
              <w:jc w:val="both"/>
              <w:rPr>
                <w:rFonts w:eastAsia="Times New Roman"/>
                <w:sz w:val="20"/>
                <w:szCs w:val="20"/>
              </w:rPr>
            </w:pPr>
            <w:r>
              <w:rPr>
                <w:rFonts w:eastAsia="Times New Roman"/>
                <w:sz w:val="20"/>
                <w:szCs w:val="20"/>
              </w:rPr>
              <w:t xml:space="preserve">the avoidance of the risk associated with any possible decrease in our future revenues and free </w:t>
            </w:r>
            <w:r>
              <w:rPr>
                <w:rFonts w:eastAsia="Times New Roman"/>
                <w:sz w:val="20"/>
                <w:szCs w:val="20"/>
              </w:rPr>
              <w:t>cash flow, growth or value following the Merger as well as the uncertainties and risks associated with growing existing and new businesses of the Company.</w:t>
            </w:r>
          </w:p>
        </w:tc>
      </w:tr>
    </w:tbl>
    <w:p w14:paraId="7C029C1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B2BC6A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primary detriments of the Merger to the Unaffiliated Security Holders include, without limitat</w:t>
      </w:r>
      <w:r>
        <w:rPr>
          <w:sz w:val="20"/>
          <w:szCs w:val="20"/>
        </w:rPr>
        <w:t>ion, the following:</w:t>
      </w:r>
    </w:p>
    <w:p w14:paraId="296FA3B2"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8282946" w14:textId="77777777">
        <w:trPr>
          <w:divId w:val="415980837"/>
          <w:tblCellSpacing w:w="0" w:type="dxa"/>
        </w:trPr>
        <w:tc>
          <w:tcPr>
            <w:tcW w:w="720" w:type="dxa"/>
            <w:hideMark/>
          </w:tcPr>
          <w:p w14:paraId="3AE7A6A7" w14:textId="77777777" w:rsidR="00000000" w:rsidRDefault="002F725F">
            <w:pPr>
              <w:rPr>
                <w:sz w:val="20"/>
                <w:szCs w:val="20"/>
              </w:rPr>
            </w:pPr>
          </w:p>
        </w:tc>
        <w:tc>
          <w:tcPr>
            <w:tcW w:w="360" w:type="dxa"/>
            <w:hideMark/>
          </w:tcPr>
          <w:p w14:paraId="63F116FA" w14:textId="77777777" w:rsidR="00000000" w:rsidRDefault="002F725F">
            <w:pPr>
              <w:rPr>
                <w:rFonts w:eastAsia="Times New Roman"/>
                <w:sz w:val="20"/>
                <w:szCs w:val="20"/>
              </w:rPr>
            </w:pPr>
            <w:r>
              <w:rPr>
                <w:rFonts w:eastAsia="Times New Roman"/>
                <w:sz w:val="20"/>
                <w:szCs w:val="20"/>
              </w:rPr>
              <w:t>●</w:t>
            </w:r>
          </w:p>
        </w:tc>
        <w:tc>
          <w:tcPr>
            <w:tcW w:w="0" w:type="auto"/>
            <w:hideMark/>
          </w:tcPr>
          <w:p w14:paraId="330B6B82" w14:textId="77777777" w:rsidR="00000000" w:rsidRDefault="002F725F">
            <w:pPr>
              <w:jc w:val="both"/>
              <w:rPr>
                <w:rFonts w:eastAsia="Times New Roman"/>
                <w:sz w:val="20"/>
                <w:szCs w:val="20"/>
              </w:rPr>
            </w:pPr>
            <w:r>
              <w:rPr>
                <w:rFonts w:eastAsia="Times New Roman"/>
                <w:sz w:val="20"/>
                <w:szCs w:val="20"/>
              </w:rPr>
              <w:t xml:space="preserve">such shareholders will cease to have an interest in the Company and, therefore, will no longer benefit </w:t>
            </w:r>
            <w:r>
              <w:rPr>
                <w:rFonts w:eastAsia="Times New Roman"/>
                <w:sz w:val="20"/>
                <w:szCs w:val="20"/>
              </w:rPr>
              <w:t>from possible increases in the future revenues and free cash flow, growth or value of the Company or payment of dividends on the Shares, if any;</w:t>
            </w:r>
          </w:p>
        </w:tc>
      </w:tr>
    </w:tbl>
    <w:p w14:paraId="17C45479"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BD90236" w14:textId="77777777">
        <w:trPr>
          <w:divId w:val="415980837"/>
          <w:tblCellSpacing w:w="0" w:type="dxa"/>
        </w:trPr>
        <w:tc>
          <w:tcPr>
            <w:tcW w:w="720" w:type="dxa"/>
            <w:hideMark/>
          </w:tcPr>
          <w:p w14:paraId="61E96AF7" w14:textId="77777777" w:rsidR="00000000" w:rsidRDefault="002F725F">
            <w:pPr>
              <w:rPr>
                <w:sz w:val="20"/>
                <w:szCs w:val="20"/>
              </w:rPr>
            </w:pPr>
          </w:p>
        </w:tc>
        <w:tc>
          <w:tcPr>
            <w:tcW w:w="360" w:type="dxa"/>
            <w:hideMark/>
          </w:tcPr>
          <w:p w14:paraId="52B96ABC" w14:textId="77777777" w:rsidR="00000000" w:rsidRDefault="002F725F">
            <w:pPr>
              <w:rPr>
                <w:rFonts w:eastAsia="Times New Roman"/>
                <w:sz w:val="20"/>
                <w:szCs w:val="20"/>
              </w:rPr>
            </w:pPr>
            <w:r>
              <w:rPr>
                <w:rFonts w:eastAsia="Times New Roman"/>
                <w:sz w:val="20"/>
                <w:szCs w:val="20"/>
              </w:rPr>
              <w:t>●</w:t>
            </w:r>
          </w:p>
        </w:tc>
        <w:tc>
          <w:tcPr>
            <w:tcW w:w="0" w:type="auto"/>
            <w:hideMark/>
          </w:tcPr>
          <w:p w14:paraId="2E408271" w14:textId="77777777" w:rsidR="00000000" w:rsidRDefault="002F725F">
            <w:pPr>
              <w:jc w:val="both"/>
              <w:rPr>
                <w:rFonts w:eastAsia="Times New Roman"/>
                <w:sz w:val="20"/>
                <w:szCs w:val="20"/>
              </w:rPr>
            </w:pPr>
            <w:r>
              <w:rPr>
                <w:rFonts w:eastAsia="Times New Roman"/>
                <w:sz w:val="20"/>
                <w:szCs w:val="20"/>
              </w:rPr>
              <w:t>in general, the receipt of cash pursuant to the Merger or through the exercise of dissenters’ rights will</w:t>
            </w:r>
            <w:r>
              <w:rPr>
                <w:rFonts w:eastAsia="Times New Roman"/>
                <w:sz w:val="20"/>
                <w:szCs w:val="20"/>
              </w:rPr>
              <w:t xml:space="preserve"> be a taxable transaction for U.S. federal income tax purposes and may also be a taxable transaction under other applicable tax laws. See “Special Factors—U.S. Federal Income Tax Consequences” beginning on page 70 for additional information; and</w:t>
            </w:r>
          </w:p>
        </w:tc>
      </w:tr>
    </w:tbl>
    <w:p w14:paraId="4F36D7AA"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60F0821" w14:textId="77777777">
        <w:trPr>
          <w:divId w:val="415980837"/>
          <w:tblCellSpacing w:w="0" w:type="dxa"/>
        </w:trPr>
        <w:tc>
          <w:tcPr>
            <w:tcW w:w="720" w:type="dxa"/>
            <w:hideMark/>
          </w:tcPr>
          <w:p w14:paraId="05FC6CF4" w14:textId="77777777" w:rsidR="00000000" w:rsidRDefault="002F725F">
            <w:pPr>
              <w:rPr>
                <w:sz w:val="20"/>
                <w:szCs w:val="20"/>
              </w:rPr>
            </w:pPr>
          </w:p>
        </w:tc>
        <w:tc>
          <w:tcPr>
            <w:tcW w:w="360" w:type="dxa"/>
            <w:hideMark/>
          </w:tcPr>
          <w:p w14:paraId="3FEC7819" w14:textId="77777777" w:rsidR="00000000" w:rsidRDefault="002F725F">
            <w:pPr>
              <w:rPr>
                <w:rFonts w:eastAsia="Times New Roman"/>
                <w:sz w:val="20"/>
                <w:szCs w:val="20"/>
              </w:rPr>
            </w:pPr>
            <w:r>
              <w:rPr>
                <w:rFonts w:eastAsia="Times New Roman"/>
                <w:sz w:val="20"/>
                <w:szCs w:val="20"/>
              </w:rPr>
              <w:t>●</w:t>
            </w:r>
          </w:p>
        </w:tc>
        <w:tc>
          <w:tcPr>
            <w:tcW w:w="0" w:type="auto"/>
            <w:hideMark/>
          </w:tcPr>
          <w:p w14:paraId="6DC83E68" w14:textId="77777777" w:rsidR="00000000" w:rsidRDefault="002F725F">
            <w:pPr>
              <w:jc w:val="both"/>
              <w:rPr>
                <w:rFonts w:eastAsia="Times New Roman"/>
                <w:sz w:val="20"/>
                <w:szCs w:val="20"/>
              </w:rPr>
            </w:pPr>
            <w:r>
              <w:rPr>
                <w:rFonts w:eastAsia="Times New Roman"/>
                <w:sz w:val="20"/>
                <w:szCs w:val="20"/>
              </w:rPr>
              <w:t xml:space="preserve">the </w:t>
            </w:r>
            <w:r>
              <w:rPr>
                <w:rFonts w:eastAsia="Times New Roman"/>
                <w:sz w:val="20"/>
                <w:szCs w:val="20"/>
              </w:rPr>
              <w:t>highest historical closing price of the Shares was US$101.4 per share (after giving effect to the 1-for-10 reverse stock split in October 2024 by the Company) since the Company became publicly listed on NASDAQ on March 17, 2023, and the highest closing pri</w:t>
            </w:r>
            <w:r>
              <w:rPr>
                <w:rFonts w:eastAsia="Times New Roman"/>
                <w:sz w:val="20"/>
                <w:szCs w:val="20"/>
              </w:rPr>
              <w:t>ce of the Shares was US$2.75 per share during the 52-week period prior to March 24, 2026, the last trading day before the Company announced its receipt of the March 24, 2026 Proposal, both of which exceed the Per Share Merger Consideration.</w:t>
            </w:r>
          </w:p>
        </w:tc>
      </w:tr>
    </w:tbl>
    <w:p w14:paraId="79B7A6A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580B47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primary </w:t>
      </w:r>
      <w:r>
        <w:rPr>
          <w:sz w:val="20"/>
          <w:szCs w:val="20"/>
        </w:rPr>
        <w:t>benefits of the Merger to the Company’s directors and executive officers include, without limitation, the following:</w:t>
      </w:r>
    </w:p>
    <w:p w14:paraId="059775B9"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D016B81" w14:textId="77777777">
        <w:trPr>
          <w:divId w:val="415980837"/>
          <w:tblCellSpacing w:w="0" w:type="dxa"/>
        </w:trPr>
        <w:tc>
          <w:tcPr>
            <w:tcW w:w="720" w:type="dxa"/>
            <w:hideMark/>
          </w:tcPr>
          <w:p w14:paraId="1E8BFACC" w14:textId="77777777" w:rsidR="00000000" w:rsidRDefault="002F725F">
            <w:pPr>
              <w:rPr>
                <w:sz w:val="20"/>
                <w:szCs w:val="20"/>
              </w:rPr>
            </w:pPr>
          </w:p>
        </w:tc>
        <w:tc>
          <w:tcPr>
            <w:tcW w:w="360" w:type="dxa"/>
            <w:hideMark/>
          </w:tcPr>
          <w:p w14:paraId="7B212D9C" w14:textId="77777777" w:rsidR="00000000" w:rsidRDefault="002F725F">
            <w:pPr>
              <w:rPr>
                <w:rFonts w:eastAsia="Times New Roman"/>
                <w:sz w:val="20"/>
                <w:szCs w:val="20"/>
              </w:rPr>
            </w:pPr>
            <w:r>
              <w:rPr>
                <w:rFonts w:eastAsia="Times New Roman"/>
                <w:sz w:val="20"/>
                <w:szCs w:val="20"/>
              </w:rPr>
              <w:t>●</w:t>
            </w:r>
          </w:p>
        </w:tc>
        <w:tc>
          <w:tcPr>
            <w:tcW w:w="0" w:type="auto"/>
            <w:hideMark/>
          </w:tcPr>
          <w:p w14:paraId="42DFC124" w14:textId="77777777" w:rsidR="00000000" w:rsidRDefault="002F725F">
            <w:pPr>
              <w:jc w:val="both"/>
              <w:rPr>
                <w:rFonts w:eastAsia="Times New Roman"/>
                <w:sz w:val="20"/>
                <w:szCs w:val="20"/>
              </w:rPr>
            </w:pPr>
            <w:r>
              <w:rPr>
                <w:rFonts w:eastAsia="Times New Roman"/>
                <w:sz w:val="20"/>
                <w:szCs w:val="20"/>
              </w:rPr>
              <w:t>continued indemnification rights, rights to advancement of fees and directors and officers liability insurance, which will continue to</w:t>
            </w:r>
            <w:r>
              <w:rPr>
                <w:rFonts w:eastAsia="Times New Roman"/>
                <w:sz w:val="20"/>
                <w:szCs w:val="20"/>
              </w:rPr>
              <w:t xml:space="preserve"> be provided to the existing directors and officers of the Company following the completion of the Merger. See “The Merger Agreement—Directors’ and Officers’ Indemnification and Insurance” of this proxy statement;</w:t>
            </w:r>
          </w:p>
        </w:tc>
      </w:tr>
    </w:tbl>
    <w:p w14:paraId="5A85FD24"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EEEFE2E" w14:textId="77777777">
        <w:trPr>
          <w:divId w:val="415980837"/>
          <w:tblCellSpacing w:w="0" w:type="dxa"/>
        </w:trPr>
        <w:tc>
          <w:tcPr>
            <w:tcW w:w="720" w:type="dxa"/>
            <w:hideMark/>
          </w:tcPr>
          <w:p w14:paraId="614D40A4" w14:textId="77777777" w:rsidR="00000000" w:rsidRDefault="002F725F">
            <w:pPr>
              <w:rPr>
                <w:sz w:val="20"/>
                <w:szCs w:val="20"/>
              </w:rPr>
            </w:pPr>
          </w:p>
        </w:tc>
        <w:tc>
          <w:tcPr>
            <w:tcW w:w="360" w:type="dxa"/>
            <w:hideMark/>
          </w:tcPr>
          <w:p w14:paraId="6BB5C95D" w14:textId="77777777" w:rsidR="00000000" w:rsidRDefault="002F725F">
            <w:pPr>
              <w:rPr>
                <w:rFonts w:eastAsia="Times New Roman"/>
                <w:sz w:val="20"/>
                <w:szCs w:val="20"/>
              </w:rPr>
            </w:pPr>
            <w:r>
              <w:rPr>
                <w:rFonts w:eastAsia="Times New Roman"/>
                <w:sz w:val="20"/>
                <w:szCs w:val="20"/>
              </w:rPr>
              <w:t>●</w:t>
            </w:r>
          </w:p>
        </w:tc>
        <w:tc>
          <w:tcPr>
            <w:tcW w:w="0" w:type="auto"/>
            <w:hideMark/>
          </w:tcPr>
          <w:p w14:paraId="37FAE34E" w14:textId="77777777" w:rsidR="00000000" w:rsidRDefault="002F725F">
            <w:pPr>
              <w:jc w:val="both"/>
              <w:rPr>
                <w:rFonts w:eastAsia="Times New Roman"/>
                <w:sz w:val="20"/>
                <w:szCs w:val="20"/>
              </w:rPr>
            </w:pPr>
            <w:r>
              <w:rPr>
                <w:rFonts w:eastAsia="Times New Roman"/>
                <w:sz w:val="20"/>
                <w:szCs w:val="20"/>
              </w:rPr>
              <w:t>the expected continuation of service of the executive officers of the Company with the Surviving Company in positions that are substantially similar to their current positions, allowing them to benefit from remuneration arrangements with the Surviving Comp</w:t>
            </w:r>
            <w:r>
              <w:rPr>
                <w:rFonts w:eastAsia="Times New Roman"/>
                <w:sz w:val="20"/>
                <w:szCs w:val="20"/>
              </w:rPr>
              <w:t>any;</w:t>
            </w:r>
          </w:p>
        </w:tc>
      </w:tr>
    </w:tbl>
    <w:p w14:paraId="2199F232"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F18A368" w14:textId="77777777">
        <w:trPr>
          <w:divId w:val="415980837"/>
          <w:tblCellSpacing w:w="0" w:type="dxa"/>
        </w:trPr>
        <w:tc>
          <w:tcPr>
            <w:tcW w:w="720" w:type="dxa"/>
            <w:hideMark/>
          </w:tcPr>
          <w:p w14:paraId="29ED2695" w14:textId="77777777" w:rsidR="00000000" w:rsidRDefault="002F725F">
            <w:pPr>
              <w:rPr>
                <w:sz w:val="20"/>
                <w:szCs w:val="20"/>
              </w:rPr>
            </w:pPr>
          </w:p>
        </w:tc>
        <w:tc>
          <w:tcPr>
            <w:tcW w:w="360" w:type="dxa"/>
            <w:hideMark/>
          </w:tcPr>
          <w:p w14:paraId="09EDE15F" w14:textId="77777777" w:rsidR="00000000" w:rsidRDefault="002F725F">
            <w:pPr>
              <w:rPr>
                <w:rFonts w:eastAsia="Times New Roman"/>
                <w:sz w:val="20"/>
                <w:szCs w:val="20"/>
              </w:rPr>
            </w:pPr>
            <w:r>
              <w:rPr>
                <w:rFonts w:eastAsia="Times New Roman"/>
                <w:sz w:val="20"/>
                <w:szCs w:val="20"/>
              </w:rPr>
              <w:t>●</w:t>
            </w:r>
          </w:p>
        </w:tc>
        <w:tc>
          <w:tcPr>
            <w:tcW w:w="0" w:type="auto"/>
            <w:hideMark/>
          </w:tcPr>
          <w:p w14:paraId="05EBB8AE" w14:textId="77777777" w:rsidR="00000000" w:rsidRDefault="002F725F">
            <w:pPr>
              <w:jc w:val="both"/>
              <w:rPr>
                <w:rFonts w:eastAsia="Times New Roman"/>
                <w:sz w:val="20"/>
                <w:szCs w:val="20"/>
              </w:rPr>
            </w:pPr>
            <w:r>
              <w:rPr>
                <w:rFonts w:eastAsia="Times New Roman"/>
                <w:sz w:val="20"/>
                <w:szCs w:val="20"/>
              </w:rPr>
              <w:t>the conversion of certain Company Options held by certain of the Company’s executive officers into the right to receive future equivalent equity incentive awards of Parent; and</w:t>
            </w:r>
          </w:p>
        </w:tc>
      </w:tr>
    </w:tbl>
    <w:p w14:paraId="2F41AF77"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87A950C" w14:textId="77777777">
        <w:trPr>
          <w:divId w:val="415980837"/>
          <w:tblCellSpacing w:w="0" w:type="dxa"/>
        </w:trPr>
        <w:tc>
          <w:tcPr>
            <w:tcW w:w="720" w:type="dxa"/>
            <w:hideMark/>
          </w:tcPr>
          <w:p w14:paraId="05F5242D" w14:textId="77777777" w:rsidR="00000000" w:rsidRDefault="002F725F">
            <w:pPr>
              <w:rPr>
                <w:sz w:val="20"/>
                <w:szCs w:val="20"/>
              </w:rPr>
            </w:pPr>
          </w:p>
        </w:tc>
        <w:tc>
          <w:tcPr>
            <w:tcW w:w="360" w:type="dxa"/>
            <w:hideMark/>
          </w:tcPr>
          <w:p w14:paraId="287991D0" w14:textId="77777777" w:rsidR="00000000" w:rsidRDefault="002F725F">
            <w:pPr>
              <w:rPr>
                <w:rFonts w:eastAsia="Times New Roman"/>
                <w:sz w:val="20"/>
                <w:szCs w:val="20"/>
              </w:rPr>
            </w:pPr>
            <w:r>
              <w:rPr>
                <w:rFonts w:eastAsia="Times New Roman"/>
                <w:sz w:val="20"/>
                <w:szCs w:val="20"/>
              </w:rPr>
              <w:t>●</w:t>
            </w:r>
          </w:p>
        </w:tc>
        <w:tc>
          <w:tcPr>
            <w:tcW w:w="0" w:type="auto"/>
            <w:hideMark/>
          </w:tcPr>
          <w:p w14:paraId="5ADBACA1" w14:textId="77777777" w:rsidR="00000000" w:rsidRDefault="002F725F">
            <w:pPr>
              <w:jc w:val="both"/>
              <w:rPr>
                <w:rFonts w:eastAsia="Times New Roman"/>
                <w:sz w:val="20"/>
                <w:szCs w:val="20"/>
              </w:rPr>
            </w:pPr>
            <w:r>
              <w:rPr>
                <w:rFonts w:eastAsia="Times New Roman"/>
                <w:sz w:val="20"/>
                <w:szCs w:val="20"/>
              </w:rPr>
              <w:t>the compensation at a rate of (i) US$13,334 per month prior to</w:t>
            </w:r>
            <w:r>
              <w:rPr>
                <w:rFonts w:eastAsia="Times New Roman"/>
                <w:sz w:val="20"/>
                <w:szCs w:val="20"/>
              </w:rPr>
              <w:t xml:space="preserve"> November 4, 2025, the date of the Original Merger Agreement, or US$10,000 per month thereafter (up to a maximum amount of US$58,335), and US$10,000 per month for April and May 2026, for the chairperson of the Special Committee, and (ii) US$10,000 per mont</w:t>
            </w:r>
            <w:r>
              <w:rPr>
                <w:rFonts w:eastAsia="Times New Roman"/>
                <w:sz w:val="20"/>
                <w:szCs w:val="20"/>
              </w:rPr>
              <w:t xml:space="preserve">h prior to November 4, 2025 or US$6,250 per month thereafter (up to a maximum amount of US$40,625), and US$6,250 per month for April and May 2026, for each of the other members of the Special Committee, respectively, in exchange for each member’s services </w:t>
            </w:r>
            <w:r>
              <w:rPr>
                <w:rFonts w:eastAsia="Times New Roman"/>
                <w:sz w:val="20"/>
                <w:szCs w:val="20"/>
              </w:rPr>
              <w:t>in such capacity (the payment of which is not contingent upon the closing of the Merger or the Special Committee’s or the Board’s recommendation of the Merger).</w:t>
            </w:r>
          </w:p>
        </w:tc>
      </w:tr>
    </w:tbl>
    <w:p w14:paraId="51B4D12A"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0C91000" w14:textId="77777777" w:rsidR="00000000" w:rsidRDefault="002F725F">
      <w:pPr>
        <w:pStyle w:val="NormalWeb"/>
        <w:spacing w:before="0" w:beforeAutospacing="0" w:after="0" w:afterAutospacing="0"/>
        <w:jc w:val="center"/>
        <w:divId w:val="776603267"/>
        <w:rPr>
          <w:sz w:val="20"/>
          <w:szCs w:val="20"/>
        </w:rPr>
      </w:pPr>
      <w:r>
        <w:rPr>
          <w:sz w:val="20"/>
          <w:szCs w:val="20"/>
        </w:rPr>
        <w:t>6</w:t>
      </w:r>
      <w:r>
        <w:rPr>
          <w:sz w:val="20"/>
          <w:szCs w:val="20"/>
        </w:rPr>
        <w:t>0</w:t>
      </w:r>
    </w:p>
    <w:p w14:paraId="5C779E60" w14:textId="77777777" w:rsidR="00000000" w:rsidRDefault="002F725F">
      <w:pPr>
        <w:pStyle w:val="NormalWeb"/>
        <w:spacing w:before="0" w:beforeAutospacing="0" w:after="0" w:afterAutospacing="0"/>
        <w:divId w:val="1179855441"/>
        <w:rPr>
          <w:sz w:val="20"/>
          <w:szCs w:val="20"/>
        </w:rPr>
      </w:pPr>
      <w:r>
        <w:rPr>
          <w:sz w:val="20"/>
          <w:szCs w:val="20"/>
        </w:rPr>
        <w:t> </w:t>
      </w:r>
    </w:p>
    <w:p w14:paraId="7403A290"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A80586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w:t>
      </w:r>
      <w:r>
        <w:rPr>
          <w:sz w:val="20"/>
          <w:szCs w:val="20"/>
        </w:rPr>
        <w:t>primary detriments of the Merger to the Company’s directors and executive officers include, without limitation, the following:</w:t>
      </w:r>
    </w:p>
    <w:p w14:paraId="38CC95C7"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B4C1BCE" w14:textId="77777777">
        <w:trPr>
          <w:divId w:val="415980837"/>
          <w:tblCellSpacing w:w="0" w:type="dxa"/>
        </w:trPr>
        <w:tc>
          <w:tcPr>
            <w:tcW w:w="720" w:type="dxa"/>
            <w:hideMark/>
          </w:tcPr>
          <w:p w14:paraId="1B9AC0C5" w14:textId="77777777" w:rsidR="00000000" w:rsidRDefault="002F725F">
            <w:pPr>
              <w:rPr>
                <w:sz w:val="20"/>
                <w:szCs w:val="20"/>
              </w:rPr>
            </w:pPr>
          </w:p>
        </w:tc>
        <w:tc>
          <w:tcPr>
            <w:tcW w:w="360" w:type="dxa"/>
            <w:hideMark/>
          </w:tcPr>
          <w:p w14:paraId="1AE2185D" w14:textId="77777777" w:rsidR="00000000" w:rsidRDefault="002F725F">
            <w:pPr>
              <w:rPr>
                <w:rFonts w:eastAsia="Times New Roman"/>
                <w:sz w:val="20"/>
                <w:szCs w:val="20"/>
              </w:rPr>
            </w:pPr>
            <w:r>
              <w:rPr>
                <w:rFonts w:eastAsia="Times New Roman"/>
                <w:sz w:val="20"/>
                <w:szCs w:val="20"/>
              </w:rPr>
              <w:t>●</w:t>
            </w:r>
          </w:p>
        </w:tc>
        <w:tc>
          <w:tcPr>
            <w:tcW w:w="0" w:type="auto"/>
            <w:hideMark/>
          </w:tcPr>
          <w:p w14:paraId="6ECD769B" w14:textId="77777777" w:rsidR="00000000" w:rsidRDefault="002F725F">
            <w:pPr>
              <w:jc w:val="both"/>
              <w:rPr>
                <w:rFonts w:eastAsia="Times New Roman"/>
                <w:sz w:val="20"/>
                <w:szCs w:val="20"/>
              </w:rPr>
            </w:pPr>
            <w:r>
              <w:rPr>
                <w:rFonts w:eastAsia="Times New Roman"/>
                <w:sz w:val="20"/>
                <w:szCs w:val="20"/>
              </w:rPr>
              <w:t>such directors and executive officers, to the extent and in their capacity as shareholders of the Company, will no longer be</w:t>
            </w:r>
            <w:r>
              <w:rPr>
                <w:rFonts w:eastAsia="Times New Roman"/>
                <w:sz w:val="20"/>
                <w:szCs w:val="20"/>
              </w:rPr>
              <w:t>nefit from possible increases in the future revenues and free cash flow, growth or value of the Company or payment of dividends on the Shares, if any; and</w:t>
            </w:r>
          </w:p>
        </w:tc>
      </w:tr>
    </w:tbl>
    <w:p w14:paraId="11D3A5A6"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9101168" w14:textId="77777777">
        <w:trPr>
          <w:divId w:val="415980837"/>
          <w:tblCellSpacing w:w="0" w:type="dxa"/>
        </w:trPr>
        <w:tc>
          <w:tcPr>
            <w:tcW w:w="720" w:type="dxa"/>
            <w:hideMark/>
          </w:tcPr>
          <w:p w14:paraId="7F8695C9" w14:textId="77777777" w:rsidR="00000000" w:rsidRDefault="002F725F">
            <w:pPr>
              <w:rPr>
                <w:sz w:val="20"/>
                <w:szCs w:val="20"/>
              </w:rPr>
            </w:pPr>
          </w:p>
        </w:tc>
        <w:tc>
          <w:tcPr>
            <w:tcW w:w="360" w:type="dxa"/>
            <w:hideMark/>
          </w:tcPr>
          <w:p w14:paraId="692D40F8" w14:textId="77777777" w:rsidR="00000000" w:rsidRDefault="002F725F">
            <w:pPr>
              <w:rPr>
                <w:rFonts w:eastAsia="Times New Roman"/>
                <w:sz w:val="20"/>
                <w:szCs w:val="20"/>
              </w:rPr>
            </w:pPr>
            <w:r>
              <w:rPr>
                <w:rFonts w:eastAsia="Times New Roman"/>
                <w:sz w:val="20"/>
                <w:szCs w:val="20"/>
              </w:rPr>
              <w:t>●</w:t>
            </w:r>
          </w:p>
        </w:tc>
        <w:tc>
          <w:tcPr>
            <w:tcW w:w="0" w:type="auto"/>
            <w:hideMark/>
          </w:tcPr>
          <w:p w14:paraId="08225B2A" w14:textId="77777777" w:rsidR="00000000" w:rsidRDefault="002F725F">
            <w:pPr>
              <w:jc w:val="both"/>
              <w:rPr>
                <w:rFonts w:eastAsia="Times New Roman"/>
                <w:sz w:val="20"/>
                <w:szCs w:val="20"/>
              </w:rPr>
            </w:pPr>
            <w:r>
              <w:rPr>
                <w:rFonts w:eastAsia="Times New Roman"/>
                <w:sz w:val="20"/>
                <w:szCs w:val="20"/>
              </w:rPr>
              <w:t>in general, the receipt of cash pursuant to the Merger or through the exercise of dissenters’ r</w:t>
            </w:r>
            <w:r>
              <w:rPr>
                <w:rFonts w:eastAsia="Times New Roman"/>
                <w:sz w:val="20"/>
                <w:szCs w:val="20"/>
              </w:rPr>
              <w:t>ights will be a taxable transaction for U.S. federal income tax purposes and may also be a taxable transaction under other applicable tax laws.</w:t>
            </w:r>
          </w:p>
        </w:tc>
      </w:tr>
    </w:tbl>
    <w:p w14:paraId="687890A1"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 </w:t>
      </w:r>
    </w:p>
    <w:p w14:paraId="7451661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primary benefits of the Merger to the Buyer Filing Persons include the following:</w:t>
      </w:r>
    </w:p>
    <w:p w14:paraId="71C7BA34"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6112526" w14:textId="77777777">
        <w:trPr>
          <w:divId w:val="415980837"/>
          <w:tblCellSpacing w:w="0" w:type="dxa"/>
        </w:trPr>
        <w:tc>
          <w:tcPr>
            <w:tcW w:w="720" w:type="dxa"/>
            <w:hideMark/>
          </w:tcPr>
          <w:p w14:paraId="163F6257" w14:textId="77777777" w:rsidR="00000000" w:rsidRDefault="002F725F">
            <w:pPr>
              <w:rPr>
                <w:sz w:val="20"/>
                <w:szCs w:val="20"/>
              </w:rPr>
            </w:pPr>
          </w:p>
        </w:tc>
        <w:tc>
          <w:tcPr>
            <w:tcW w:w="360" w:type="dxa"/>
            <w:hideMark/>
          </w:tcPr>
          <w:p w14:paraId="18AC6A6A" w14:textId="77777777" w:rsidR="00000000" w:rsidRDefault="002F725F">
            <w:pPr>
              <w:rPr>
                <w:rFonts w:eastAsia="Times New Roman"/>
                <w:sz w:val="20"/>
                <w:szCs w:val="20"/>
              </w:rPr>
            </w:pPr>
            <w:r>
              <w:rPr>
                <w:rFonts w:eastAsia="Times New Roman"/>
                <w:sz w:val="20"/>
                <w:szCs w:val="20"/>
              </w:rPr>
              <w:t>●</w:t>
            </w:r>
          </w:p>
        </w:tc>
        <w:tc>
          <w:tcPr>
            <w:tcW w:w="0" w:type="auto"/>
            <w:hideMark/>
          </w:tcPr>
          <w:p w14:paraId="297B30F0" w14:textId="77777777" w:rsidR="00000000" w:rsidRDefault="002F725F">
            <w:pPr>
              <w:jc w:val="both"/>
              <w:rPr>
                <w:rFonts w:eastAsia="Times New Roman"/>
                <w:sz w:val="20"/>
                <w:szCs w:val="20"/>
              </w:rPr>
            </w:pPr>
            <w:r>
              <w:rPr>
                <w:rFonts w:eastAsia="Times New Roman"/>
                <w:sz w:val="20"/>
                <w:szCs w:val="20"/>
              </w:rPr>
              <w:t>if the Company successfully executes its business strategies, the value of the Buyer Filing Persons’ equity investment could increase because of possible increases in future revenues and free cash flow, increases in the underlying value of the Company or t</w:t>
            </w:r>
            <w:r>
              <w:rPr>
                <w:rFonts w:eastAsia="Times New Roman"/>
                <w:sz w:val="20"/>
                <w:szCs w:val="20"/>
              </w:rPr>
              <w:t>he payment of dividends, if any, that will accrue to Parent;</w:t>
            </w:r>
          </w:p>
        </w:tc>
      </w:tr>
    </w:tbl>
    <w:p w14:paraId="0ACB2B54"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2D7B3B2" w14:textId="77777777">
        <w:trPr>
          <w:divId w:val="415980837"/>
          <w:tblCellSpacing w:w="0" w:type="dxa"/>
        </w:trPr>
        <w:tc>
          <w:tcPr>
            <w:tcW w:w="720" w:type="dxa"/>
            <w:hideMark/>
          </w:tcPr>
          <w:p w14:paraId="2F49E732" w14:textId="77777777" w:rsidR="00000000" w:rsidRDefault="002F725F">
            <w:pPr>
              <w:rPr>
                <w:sz w:val="20"/>
                <w:szCs w:val="20"/>
              </w:rPr>
            </w:pPr>
          </w:p>
        </w:tc>
        <w:tc>
          <w:tcPr>
            <w:tcW w:w="360" w:type="dxa"/>
            <w:hideMark/>
          </w:tcPr>
          <w:p w14:paraId="41372D0D" w14:textId="77777777" w:rsidR="00000000" w:rsidRDefault="002F725F">
            <w:pPr>
              <w:rPr>
                <w:rFonts w:eastAsia="Times New Roman"/>
                <w:sz w:val="20"/>
                <w:szCs w:val="20"/>
              </w:rPr>
            </w:pPr>
            <w:r>
              <w:rPr>
                <w:rFonts w:eastAsia="Times New Roman"/>
                <w:sz w:val="20"/>
                <w:szCs w:val="20"/>
              </w:rPr>
              <w:t>●</w:t>
            </w:r>
          </w:p>
        </w:tc>
        <w:tc>
          <w:tcPr>
            <w:tcW w:w="0" w:type="auto"/>
            <w:hideMark/>
          </w:tcPr>
          <w:p w14:paraId="7CC814ED" w14:textId="77777777" w:rsidR="00000000" w:rsidRDefault="002F725F">
            <w:pPr>
              <w:jc w:val="both"/>
              <w:rPr>
                <w:rFonts w:eastAsia="Times New Roman"/>
                <w:sz w:val="20"/>
                <w:szCs w:val="20"/>
              </w:rPr>
            </w:pPr>
            <w:r>
              <w:rPr>
                <w:rFonts w:eastAsia="Times New Roman"/>
                <w:sz w:val="20"/>
                <w:szCs w:val="20"/>
              </w:rPr>
              <w:t>the Company will no longer have continued pressure to meet quarterly forecasts set by analysts. In contrast, as a publicly traded company, the Company currently faces pressure from public s</w:t>
            </w:r>
            <w:r>
              <w:rPr>
                <w:rFonts w:eastAsia="Times New Roman"/>
                <w:sz w:val="20"/>
                <w:szCs w:val="20"/>
              </w:rPr>
              <w:t>hareholders and investment analysts to make decisions that may produce better short-term results, but which may not maximize equity value in the long term;</w:t>
            </w:r>
          </w:p>
        </w:tc>
      </w:tr>
    </w:tbl>
    <w:p w14:paraId="48158735"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1B7F0E5" w14:textId="77777777">
        <w:trPr>
          <w:divId w:val="415980837"/>
          <w:tblCellSpacing w:w="0" w:type="dxa"/>
        </w:trPr>
        <w:tc>
          <w:tcPr>
            <w:tcW w:w="720" w:type="dxa"/>
            <w:hideMark/>
          </w:tcPr>
          <w:p w14:paraId="7CF0EA65" w14:textId="77777777" w:rsidR="00000000" w:rsidRDefault="002F725F">
            <w:pPr>
              <w:rPr>
                <w:sz w:val="20"/>
                <w:szCs w:val="20"/>
              </w:rPr>
            </w:pPr>
          </w:p>
        </w:tc>
        <w:tc>
          <w:tcPr>
            <w:tcW w:w="360" w:type="dxa"/>
            <w:hideMark/>
          </w:tcPr>
          <w:p w14:paraId="415D2558" w14:textId="77777777" w:rsidR="00000000" w:rsidRDefault="002F725F">
            <w:pPr>
              <w:rPr>
                <w:rFonts w:eastAsia="Times New Roman"/>
                <w:sz w:val="20"/>
                <w:szCs w:val="20"/>
              </w:rPr>
            </w:pPr>
            <w:r>
              <w:rPr>
                <w:rFonts w:eastAsia="Times New Roman"/>
                <w:sz w:val="20"/>
                <w:szCs w:val="20"/>
              </w:rPr>
              <w:t>●</w:t>
            </w:r>
          </w:p>
        </w:tc>
        <w:tc>
          <w:tcPr>
            <w:tcW w:w="0" w:type="auto"/>
            <w:hideMark/>
          </w:tcPr>
          <w:p w14:paraId="2D6E762A" w14:textId="77777777" w:rsidR="00000000" w:rsidRDefault="002F725F">
            <w:pPr>
              <w:jc w:val="both"/>
              <w:rPr>
                <w:rFonts w:eastAsia="Times New Roman"/>
                <w:sz w:val="20"/>
                <w:szCs w:val="20"/>
              </w:rPr>
            </w:pPr>
            <w:r>
              <w:rPr>
                <w:rFonts w:eastAsia="Times New Roman"/>
                <w:sz w:val="20"/>
                <w:szCs w:val="20"/>
              </w:rPr>
              <w:t xml:space="preserve">the management of the Company will have more freedom to focus on long-term strategic planning </w:t>
            </w:r>
            <w:r>
              <w:rPr>
                <w:rFonts w:eastAsia="Times New Roman"/>
                <w:sz w:val="20"/>
                <w:szCs w:val="20"/>
              </w:rPr>
              <w:t>in a highly competitive business with increasing competition and regulation;</w:t>
            </w:r>
          </w:p>
        </w:tc>
      </w:tr>
    </w:tbl>
    <w:p w14:paraId="08A1272F"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2923808" w14:textId="77777777">
        <w:trPr>
          <w:divId w:val="415980837"/>
          <w:tblCellSpacing w:w="0" w:type="dxa"/>
        </w:trPr>
        <w:tc>
          <w:tcPr>
            <w:tcW w:w="720" w:type="dxa"/>
            <w:hideMark/>
          </w:tcPr>
          <w:p w14:paraId="2968ED13" w14:textId="77777777" w:rsidR="00000000" w:rsidRDefault="002F725F">
            <w:pPr>
              <w:rPr>
                <w:sz w:val="20"/>
                <w:szCs w:val="20"/>
              </w:rPr>
            </w:pPr>
          </w:p>
        </w:tc>
        <w:tc>
          <w:tcPr>
            <w:tcW w:w="360" w:type="dxa"/>
            <w:hideMark/>
          </w:tcPr>
          <w:p w14:paraId="395BC8CF" w14:textId="77777777" w:rsidR="00000000" w:rsidRDefault="002F725F">
            <w:pPr>
              <w:rPr>
                <w:rFonts w:eastAsia="Times New Roman"/>
                <w:sz w:val="20"/>
                <w:szCs w:val="20"/>
              </w:rPr>
            </w:pPr>
            <w:r>
              <w:rPr>
                <w:rFonts w:eastAsia="Times New Roman"/>
                <w:sz w:val="20"/>
                <w:szCs w:val="20"/>
              </w:rPr>
              <w:t>●</w:t>
            </w:r>
          </w:p>
        </w:tc>
        <w:tc>
          <w:tcPr>
            <w:tcW w:w="0" w:type="auto"/>
            <w:hideMark/>
          </w:tcPr>
          <w:p w14:paraId="113392C5" w14:textId="77777777" w:rsidR="00000000" w:rsidRDefault="002F725F">
            <w:pPr>
              <w:jc w:val="both"/>
              <w:rPr>
                <w:rFonts w:eastAsia="Times New Roman"/>
                <w:sz w:val="20"/>
                <w:szCs w:val="20"/>
              </w:rPr>
            </w:pPr>
            <w:r>
              <w:rPr>
                <w:rFonts w:eastAsia="Times New Roman"/>
                <w:sz w:val="20"/>
                <w:szCs w:val="20"/>
              </w:rPr>
              <w:t>the management of the Company will have more flexibility to change its capital spending strategies without public market scrutiny or analysts’ quarterly expectations;</w:t>
            </w:r>
          </w:p>
        </w:tc>
      </w:tr>
    </w:tbl>
    <w:p w14:paraId="3E7C41AE"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032AB60" w14:textId="77777777">
        <w:trPr>
          <w:divId w:val="415980837"/>
          <w:tblCellSpacing w:w="0" w:type="dxa"/>
        </w:trPr>
        <w:tc>
          <w:tcPr>
            <w:tcW w:w="720" w:type="dxa"/>
            <w:hideMark/>
          </w:tcPr>
          <w:p w14:paraId="3FF08196" w14:textId="77777777" w:rsidR="00000000" w:rsidRDefault="002F725F">
            <w:pPr>
              <w:rPr>
                <w:sz w:val="20"/>
                <w:szCs w:val="20"/>
              </w:rPr>
            </w:pPr>
          </w:p>
        </w:tc>
        <w:tc>
          <w:tcPr>
            <w:tcW w:w="360" w:type="dxa"/>
            <w:hideMark/>
          </w:tcPr>
          <w:p w14:paraId="08A82C04" w14:textId="77777777" w:rsidR="00000000" w:rsidRDefault="002F725F">
            <w:pPr>
              <w:rPr>
                <w:rFonts w:eastAsia="Times New Roman"/>
                <w:sz w:val="20"/>
                <w:szCs w:val="20"/>
              </w:rPr>
            </w:pPr>
            <w:r>
              <w:rPr>
                <w:rFonts w:eastAsia="Times New Roman"/>
                <w:sz w:val="20"/>
                <w:szCs w:val="20"/>
              </w:rPr>
              <w:t>●</w:t>
            </w:r>
          </w:p>
        </w:tc>
        <w:tc>
          <w:tcPr>
            <w:tcW w:w="0" w:type="auto"/>
            <w:hideMark/>
          </w:tcPr>
          <w:p w14:paraId="36AD44BC" w14:textId="77777777" w:rsidR="00000000" w:rsidRDefault="002F725F">
            <w:pPr>
              <w:jc w:val="both"/>
              <w:rPr>
                <w:rFonts w:eastAsia="Times New Roman"/>
                <w:sz w:val="20"/>
                <w:szCs w:val="20"/>
              </w:rPr>
            </w:pPr>
            <w:r>
              <w:rPr>
                <w:rFonts w:eastAsia="Times New Roman"/>
                <w:sz w:val="20"/>
                <w:szCs w:val="20"/>
              </w:rPr>
              <w:t>the Company will be able to introduce new products or change its pricing strategies to attract customers without public market scrutiny or the pressure to meet short-term forecasts;</w:t>
            </w:r>
          </w:p>
        </w:tc>
      </w:tr>
    </w:tbl>
    <w:p w14:paraId="22E55BDE"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D1C7EFC" w14:textId="77777777">
        <w:trPr>
          <w:divId w:val="415980837"/>
          <w:tblCellSpacing w:w="0" w:type="dxa"/>
        </w:trPr>
        <w:tc>
          <w:tcPr>
            <w:tcW w:w="720" w:type="dxa"/>
            <w:hideMark/>
          </w:tcPr>
          <w:p w14:paraId="54020CE5" w14:textId="77777777" w:rsidR="00000000" w:rsidRDefault="002F725F">
            <w:pPr>
              <w:rPr>
                <w:sz w:val="20"/>
                <w:szCs w:val="20"/>
              </w:rPr>
            </w:pPr>
          </w:p>
        </w:tc>
        <w:tc>
          <w:tcPr>
            <w:tcW w:w="360" w:type="dxa"/>
            <w:hideMark/>
          </w:tcPr>
          <w:p w14:paraId="6DB57E56" w14:textId="77777777" w:rsidR="00000000" w:rsidRDefault="002F725F">
            <w:pPr>
              <w:rPr>
                <w:rFonts w:eastAsia="Times New Roman"/>
                <w:sz w:val="20"/>
                <w:szCs w:val="20"/>
              </w:rPr>
            </w:pPr>
            <w:r>
              <w:rPr>
                <w:rFonts w:eastAsia="Times New Roman"/>
                <w:sz w:val="20"/>
                <w:szCs w:val="20"/>
              </w:rPr>
              <w:t>●</w:t>
            </w:r>
          </w:p>
        </w:tc>
        <w:tc>
          <w:tcPr>
            <w:tcW w:w="0" w:type="auto"/>
            <w:hideMark/>
          </w:tcPr>
          <w:p w14:paraId="66BC9E94" w14:textId="77777777" w:rsidR="00000000" w:rsidRDefault="002F725F">
            <w:pPr>
              <w:jc w:val="both"/>
              <w:rPr>
                <w:rFonts w:eastAsia="Times New Roman"/>
                <w:sz w:val="20"/>
                <w:szCs w:val="20"/>
              </w:rPr>
            </w:pPr>
            <w:r>
              <w:rPr>
                <w:rFonts w:eastAsia="Times New Roman"/>
                <w:sz w:val="20"/>
                <w:szCs w:val="20"/>
              </w:rPr>
              <w:t>there will be a reduction of the costs and administrative burden as</w:t>
            </w:r>
            <w:r>
              <w:rPr>
                <w:rFonts w:eastAsia="Times New Roman"/>
                <w:sz w:val="20"/>
                <w:szCs w:val="20"/>
              </w:rPr>
              <w:t>sociated with operating the Company as a U.S. publicly traded company, including the costs associated with regulatory filings and compliance requirements. The Company has estimated that no longer being subject to such requirements will result in a saving o</w:t>
            </w:r>
            <w:r>
              <w:rPr>
                <w:rFonts w:eastAsia="Times New Roman"/>
                <w:sz w:val="20"/>
                <w:szCs w:val="20"/>
              </w:rPr>
              <w:t>f direct costs of approximately US$2 million per year on a recurring basis. The Buyer Filing Persons will be able to enjoy the benefit of such cost savings; and</w:t>
            </w:r>
          </w:p>
        </w:tc>
      </w:tr>
      <w:tr w:rsidR="00000000" w14:paraId="0BD60881" w14:textId="77777777">
        <w:trPr>
          <w:divId w:val="415980837"/>
          <w:tblCellSpacing w:w="0" w:type="dxa"/>
        </w:trPr>
        <w:tc>
          <w:tcPr>
            <w:tcW w:w="0" w:type="auto"/>
            <w:hideMark/>
          </w:tcPr>
          <w:p w14:paraId="794086F9" w14:textId="77777777" w:rsidR="00000000" w:rsidRDefault="002F725F">
            <w:pPr>
              <w:rPr>
                <w:rFonts w:eastAsia="Times New Roman"/>
                <w:sz w:val="20"/>
                <w:szCs w:val="20"/>
              </w:rPr>
            </w:pPr>
            <w:r>
              <w:rPr>
                <w:rFonts w:eastAsia="Times New Roman"/>
                <w:sz w:val="20"/>
                <w:szCs w:val="20"/>
              </w:rPr>
              <w:t> </w:t>
            </w:r>
          </w:p>
        </w:tc>
        <w:tc>
          <w:tcPr>
            <w:tcW w:w="0" w:type="auto"/>
            <w:hideMark/>
          </w:tcPr>
          <w:p w14:paraId="3B87015B" w14:textId="77777777" w:rsidR="00000000" w:rsidRDefault="002F725F">
            <w:pPr>
              <w:rPr>
                <w:rFonts w:eastAsia="Times New Roman"/>
                <w:sz w:val="20"/>
                <w:szCs w:val="20"/>
              </w:rPr>
            </w:pPr>
            <w:r>
              <w:rPr>
                <w:rFonts w:eastAsia="Times New Roman"/>
                <w:sz w:val="20"/>
                <w:szCs w:val="20"/>
              </w:rPr>
              <w:t> </w:t>
            </w:r>
          </w:p>
        </w:tc>
        <w:tc>
          <w:tcPr>
            <w:tcW w:w="0" w:type="auto"/>
            <w:hideMark/>
          </w:tcPr>
          <w:p w14:paraId="454BE67C" w14:textId="77777777" w:rsidR="00000000" w:rsidRDefault="002F725F">
            <w:pPr>
              <w:jc w:val="both"/>
              <w:rPr>
                <w:rFonts w:eastAsia="Times New Roman"/>
                <w:sz w:val="20"/>
                <w:szCs w:val="20"/>
              </w:rPr>
            </w:pPr>
            <w:r>
              <w:rPr>
                <w:rFonts w:eastAsia="Times New Roman"/>
                <w:sz w:val="20"/>
                <w:szCs w:val="20"/>
              </w:rPr>
              <w:t> </w:t>
            </w:r>
          </w:p>
        </w:tc>
      </w:tr>
      <w:tr w:rsidR="00000000" w14:paraId="3C097F4B" w14:textId="77777777">
        <w:trPr>
          <w:divId w:val="415980837"/>
          <w:tblCellSpacing w:w="0" w:type="dxa"/>
        </w:trPr>
        <w:tc>
          <w:tcPr>
            <w:tcW w:w="0" w:type="auto"/>
            <w:hideMark/>
          </w:tcPr>
          <w:p w14:paraId="2D10EE18" w14:textId="77777777" w:rsidR="00000000" w:rsidRDefault="002F725F">
            <w:pPr>
              <w:rPr>
                <w:rFonts w:eastAsia="Times New Roman"/>
                <w:sz w:val="20"/>
                <w:szCs w:val="20"/>
              </w:rPr>
            </w:pPr>
            <w:r>
              <w:rPr>
                <w:rFonts w:eastAsia="Times New Roman"/>
                <w:sz w:val="20"/>
                <w:szCs w:val="20"/>
              </w:rPr>
              <w:t> </w:t>
            </w:r>
          </w:p>
        </w:tc>
        <w:tc>
          <w:tcPr>
            <w:tcW w:w="0" w:type="auto"/>
            <w:hideMark/>
          </w:tcPr>
          <w:p w14:paraId="7D8ACF27" w14:textId="77777777" w:rsidR="00000000" w:rsidRDefault="002F725F">
            <w:pPr>
              <w:rPr>
                <w:rFonts w:eastAsia="Times New Roman"/>
                <w:sz w:val="20"/>
                <w:szCs w:val="20"/>
              </w:rPr>
            </w:pPr>
            <w:r>
              <w:rPr>
                <w:rFonts w:eastAsia="Times New Roman"/>
                <w:sz w:val="20"/>
                <w:szCs w:val="20"/>
              </w:rPr>
              <w:t>●</w:t>
            </w:r>
          </w:p>
        </w:tc>
        <w:tc>
          <w:tcPr>
            <w:tcW w:w="0" w:type="auto"/>
            <w:hideMark/>
          </w:tcPr>
          <w:p w14:paraId="513A1376" w14:textId="77777777" w:rsidR="00000000" w:rsidRDefault="002F725F">
            <w:pPr>
              <w:jc w:val="both"/>
              <w:rPr>
                <w:rFonts w:eastAsia="Times New Roman"/>
                <w:sz w:val="20"/>
                <w:szCs w:val="20"/>
              </w:rPr>
            </w:pPr>
            <w:r>
              <w:rPr>
                <w:rFonts w:eastAsia="Times New Roman"/>
                <w:sz w:val="20"/>
                <w:szCs w:val="20"/>
              </w:rPr>
              <w:t>notwithstanding that the likelihood of the Awards being overturned, vacated or othe</w:t>
            </w:r>
            <w:r>
              <w:rPr>
                <w:rFonts w:eastAsia="Times New Roman"/>
                <w:sz w:val="20"/>
                <w:szCs w:val="20"/>
              </w:rPr>
              <w:t>rwise rendered unenforceable is considered highly remote, if such outcome were to occur in whole or in part, the associated financial liabilities of the Surviving Company could be reduced or eliminated, as applicable. However, a partial revocation or unenf</w:t>
            </w:r>
            <w:r>
              <w:rPr>
                <w:rFonts w:eastAsia="Times New Roman"/>
                <w:sz w:val="20"/>
                <w:szCs w:val="20"/>
              </w:rPr>
              <w:t>orceability of the Awards may not necessarily result in a material reduction of such liabilities. To the extent any such liabilities are materially reduced or eliminated, the financial condition and equity value of the Surviving Company would be enhanced a</w:t>
            </w:r>
            <w:r>
              <w:rPr>
                <w:rFonts w:eastAsia="Times New Roman"/>
                <w:sz w:val="20"/>
                <w:szCs w:val="20"/>
              </w:rPr>
              <w:t>nd, accordingly, the value of the Buyer Filing Persons’ equity investment therein would increase.</w:t>
            </w:r>
          </w:p>
        </w:tc>
      </w:tr>
    </w:tbl>
    <w:p w14:paraId="5365298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AF6EC3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w:t>
      </w:r>
      <w:r>
        <w:rPr>
          <w:sz w:val="20"/>
          <w:szCs w:val="20"/>
        </w:rPr>
        <w:t>primary detriments of the Merger to the Buyer Filing Persons include the following:</w:t>
      </w:r>
    </w:p>
    <w:p w14:paraId="1DD1FC50"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46BB243" w14:textId="77777777">
        <w:trPr>
          <w:divId w:val="415980837"/>
          <w:tblCellSpacing w:w="0" w:type="dxa"/>
        </w:trPr>
        <w:tc>
          <w:tcPr>
            <w:tcW w:w="720" w:type="dxa"/>
            <w:hideMark/>
          </w:tcPr>
          <w:p w14:paraId="1BC95139" w14:textId="77777777" w:rsidR="00000000" w:rsidRDefault="002F725F">
            <w:pPr>
              <w:rPr>
                <w:sz w:val="20"/>
                <w:szCs w:val="20"/>
              </w:rPr>
            </w:pPr>
          </w:p>
        </w:tc>
        <w:tc>
          <w:tcPr>
            <w:tcW w:w="360" w:type="dxa"/>
            <w:hideMark/>
          </w:tcPr>
          <w:p w14:paraId="153DA81D" w14:textId="77777777" w:rsidR="00000000" w:rsidRDefault="002F725F">
            <w:pPr>
              <w:rPr>
                <w:rFonts w:eastAsia="Times New Roman"/>
                <w:sz w:val="20"/>
                <w:szCs w:val="20"/>
              </w:rPr>
            </w:pPr>
            <w:r>
              <w:rPr>
                <w:rFonts w:eastAsia="Times New Roman"/>
                <w:sz w:val="20"/>
                <w:szCs w:val="20"/>
              </w:rPr>
              <w:t>●</w:t>
            </w:r>
          </w:p>
        </w:tc>
        <w:tc>
          <w:tcPr>
            <w:tcW w:w="0" w:type="auto"/>
            <w:hideMark/>
          </w:tcPr>
          <w:p w14:paraId="7967210C" w14:textId="77777777" w:rsidR="00000000" w:rsidRDefault="002F725F">
            <w:pPr>
              <w:jc w:val="both"/>
              <w:rPr>
                <w:rFonts w:eastAsia="Times New Roman"/>
                <w:sz w:val="20"/>
                <w:szCs w:val="20"/>
              </w:rPr>
            </w:pPr>
            <w:r>
              <w:rPr>
                <w:rFonts w:eastAsia="Times New Roman"/>
                <w:sz w:val="20"/>
                <w:szCs w:val="20"/>
              </w:rPr>
              <w:t>all of the risks of any possible decrease in the Company’s revenues, free cash flow or value following the Merger, including any losses, costs and liabilities of the S</w:t>
            </w:r>
            <w:r>
              <w:rPr>
                <w:rFonts w:eastAsia="Times New Roman"/>
                <w:sz w:val="20"/>
                <w:szCs w:val="20"/>
              </w:rPr>
              <w:t>urviving Company attributable to or arising from the Awards in the event that the Awards are upheld or enforced, will be borne by the Buyer Filing Persons;</w:t>
            </w:r>
          </w:p>
        </w:tc>
      </w:tr>
    </w:tbl>
    <w:p w14:paraId="32A27335"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8D0076B" w14:textId="77777777">
        <w:trPr>
          <w:divId w:val="415980837"/>
          <w:tblCellSpacing w:w="0" w:type="dxa"/>
        </w:trPr>
        <w:tc>
          <w:tcPr>
            <w:tcW w:w="720" w:type="dxa"/>
            <w:hideMark/>
          </w:tcPr>
          <w:p w14:paraId="1D2A7AF1" w14:textId="77777777" w:rsidR="00000000" w:rsidRDefault="002F725F">
            <w:pPr>
              <w:rPr>
                <w:sz w:val="20"/>
                <w:szCs w:val="20"/>
              </w:rPr>
            </w:pPr>
          </w:p>
        </w:tc>
        <w:tc>
          <w:tcPr>
            <w:tcW w:w="360" w:type="dxa"/>
            <w:hideMark/>
          </w:tcPr>
          <w:p w14:paraId="01BB3C5B" w14:textId="77777777" w:rsidR="00000000" w:rsidRDefault="002F725F">
            <w:pPr>
              <w:rPr>
                <w:rFonts w:eastAsia="Times New Roman"/>
                <w:sz w:val="20"/>
                <w:szCs w:val="20"/>
              </w:rPr>
            </w:pPr>
            <w:r>
              <w:rPr>
                <w:rFonts w:eastAsia="Times New Roman"/>
                <w:sz w:val="20"/>
                <w:szCs w:val="20"/>
              </w:rPr>
              <w:t>●</w:t>
            </w:r>
          </w:p>
        </w:tc>
        <w:tc>
          <w:tcPr>
            <w:tcW w:w="0" w:type="auto"/>
            <w:hideMark/>
          </w:tcPr>
          <w:p w14:paraId="07072982" w14:textId="77777777" w:rsidR="00000000" w:rsidRDefault="002F725F">
            <w:pPr>
              <w:jc w:val="both"/>
              <w:rPr>
                <w:rFonts w:eastAsia="Times New Roman"/>
                <w:sz w:val="20"/>
                <w:szCs w:val="20"/>
              </w:rPr>
            </w:pPr>
            <w:r>
              <w:rPr>
                <w:rFonts w:eastAsia="Times New Roman"/>
                <w:sz w:val="20"/>
                <w:szCs w:val="20"/>
              </w:rPr>
              <w:t>the business risks facing the Company, including increased competition and government regulati</w:t>
            </w:r>
            <w:r>
              <w:rPr>
                <w:rFonts w:eastAsia="Times New Roman"/>
                <w:sz w:val="20"/>
                <w:szCs w:val="20"/>
              </w:rPr>
              <w:t>on, will be borne by the Buyer Filing Persons; and</w:t>
            </w:r>
          </w:p>
        </w:tc>
      </w:tr>
    </w:tbl>
    <w:p w14:paraId="1FB95E45"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C1D1347" w14:textId="77777777">
        <w:trPr>
          <w:divId w:val="415980837"/>
          <w:tblCellSpacing w:w="0" w:type="dxa"/>
        </w:trPr>
        <w:tc>
          <w:tcPr>
            <w:tcW w:w="720" w:type="dxa"/>
            <w:hideMark/>
          </w:tcPr>
          <w:p w14:paraId="25622F6C" w14:textId="77777777" w:rsidR="00000000" w:rsidRDefault="002F725F">
            <w:pPr>
              <w:rPr>
                <w:sz w:val="20"/>
                <w:szCs w:val="20"/>
              </w:rPr>
            </w:pPr>
          </w:p>
        </w:tc>
        <w:tc>
          <w:tcPr>
            <w:tcW w:w="360" w:type="dxa"/>
            <w:hideMark/>
          </w:tcPr>
          <w:p w14:paraId="42C1F81C" w14:textId="77777777" w:rsidR="00000000" w:rsidRDefault="002F725F">
            <w:pPr>
              <w:rPr>
                <w:rFonts w:eastAsia="Times New Roman"/>
                <w:sz w:val="20"/>
                <w:szCs w:val="20"/>
              </w:rPr>
            </w:pPr>
            <w:r>
              <w:rPr>
                <w:rFonts w:eastAsia="Times New Roman"/>
                <w:sz w:val="20"/>
                <w:szCs w:val="20"/>
              </w:rPr>
              <w:t>●</w:t>
            </w:r>
          </w:p>
        </w:tc>
        <w:tc>
          <w:tcPr>
            <w:tcW w:w="0" w:type="auto"/>
            <w:hideMark/>
          </w:tcPr>
          <w:p w14:paraId="265814A7" w14:textId="77777777" w:rsidR="00000000" w:rsidRDefault="002F725F">
            <w:pPr>
              <w:jc w:val="both"/>
              <w:rPr>
                <w:rFonts w:eastAsia="Times New Roman"/>
                <w:sz w:val="20"/>
                <w:szCs w:val="20"/>
              </w:rPr>
            </w:pPr>
            <w:r>
              <w:rPr>
                <w:rFonts w:eastAsia="Times New Roman"/>
                <w:sz w:val="20"/>
                <w:szCs w:val="20"/>
              </w:rPr>
              <w:t>an equity investment in the Surviving Company by the Buyer Filing Persons following the Merger will involve substantial risk resulting from the limited liquidity of such an investment since there will be no trading market for the Surviving Company’s equity</w:t>
            </w:r>
            <w:r>
              <w:rPr>
                <w:rFonts w:eastAsia="Times New Roman"/>
                <w:sz w:val="20"/>
                <w:szCs w:val="20"/>
              </w:rPr>
              <w:t xml:space="preserve"> securities.</w:t>
            </w:r>
          </w:p>
        </w:tc>
      </w:tr>
    </w:tbl>
    <w:p w14:paraId="22793EA5" w14:textId="77777777" w:rsidR="00000000" w:rsidRDefault="002F725F">
      <w:pPr>
        <w:pStyle w:val="NormalWeb"/>
        <w:spacing w:before="0" w:beforeAutospacing="0" w:after="0" w:afterAutospacing="0"/>
        <w:jc w:val="center"/>
        <w:divId w:val="415980837"/>
        <w:rPr>
          <w:sz w:val="20"/>
          <w:szCs w:val="20"/>
        </w:rPr>
      </w:pPr>
      <w:r>
        <w:rPr>
          <w:b/>
          <w:bCs/>
          <w:i/>
          <w:iCs/>
          <w:sz w:val="20"/>
          <w:szCs w:val="20"/>
        </w:rPr>
        <w:t> </w:t>
      </w:r>
    </w:p>
    <w:p w14:paraId="20650E18" w14:textId="77777777" w:rsidR="00000000" w:rsidRDefault="002F725F">
      <w:pPr>
        <w:pStyle w:val="NormalWeb"/>
        <w:spacing w:before="0" w:beforeAutospacing="0" w:after="0" w:afterAutospacing="0"/>
        <w:jc w:val="center"/>
        <w:divId w:val="732702905"/>
        <w:rPr>
          <w:sz w:val="20"/>
          <w:szCs w:val="20"/>
        </w:rPr>
      </w:pPr>
      <w:r>
        <w:rPr>
          <w:sz w:val="20"/>
          <w:szCs w:val="20"/>
        </w:rPr>
        <w:t>6</w:t>
      </w:r>
      <w:r>
        <w:rPr>
          <w:sz w:val="20"/>
          <w:szCs w:val="20"/>
        </w:rPr>
        <w:t>1</w:t>
      </w:r>
    </w:p>
    <w:p w14:paraId="5FDA7380" w14:textId="77777777" w:rsidR="00000000" w:rsidRDefault="002F725F">
      <w:pPr>
        <w:pStyle w:val="NormalWeb"/>
        <w:spacing w:before="0" w:beforeAutospacing="0" w:after="0" w:afterAutospacing="0"/>
        <w:divId w:val="1503355311"/>
        <w:rPr>
          <w:sz w:val="20"/>
          <w:szCs w:val="20"/>
        </w:rPr>
      </w:pPr>
      <w:r>
        <w:rPr>
          <w:sz w:val="20"/>
          <w:szCs w:val="20"/>
        </w:rPr>
        <w:t> </w:t>
      </w:r>
    </w:p>
    <w:p w14:paraId="5A8DEBF6" w14:textId="77777777" w:rsidR="00000000" w:rsidRDefault="002F725F">
      <w:pPr>
        <w:pStyle w:val="NormalWeb"/>
        <w:spacing w:before="0" w:beforeAutospacing="0" w:after="0" w:afterAutospacing="0"/>
        <w:jc w:val="center"/>
        <w:divId w:val="415980837"/>
        <w:rPr>
          <w:sz w:val="20"/>
          <w:szCs w:val="20"/>
        </w:rPr>
      </w:pPr>
      <w:r>
        <w:rPr>
          <w:b/>
          <w:bCs/>
          <w:i/>
          <w:iCs/>
          <w:sz w:val="20"/>
          <w:szCs w:val="20"/>
        </w:rPr>
        <w:t> </w:t>
      </w:r>
    </w:p>
    <w:p w14:paraId="11A21CE1" w14:textId="77777777" w:rsidR="00000000" w:rsidRDefault="002F725F">
      <w:pPr>
        <w:pStyle w:val="NormalWeb"/>
        <w:spacing w:before="0" w:beforeAutospacing="0" w:after="0" w:afterAutospacing="0"/>
        <w:jc w:val="both"/>
        <w:divId w:val="415980837"/>
        <w:rPr>
          <w:sz w:val="20"/>
          <w:szCs w:val="20"/>
        </w:rPr>
      </w:pPr>
      <w:r>
        <w:rPr>
          <w:b/>
          <w:bCs/>
          <w:i/>
          <w:iCs/>
          <w:sz w:val="20"/>
          <w:szCs w:val="20"/>
        </w:rPr>
        <w:lastRenderedPageBreak/>
        <w:t>The Company’s Net Book Value and Net Loss</w:t>
      </w:r>
    </w:p>
    <w:p w14:paraId="133A956B" w14:textId="77777777" w:rsidR="00000000" w:rsidRDefault="002F725F">
      <w:pPr>
        <w:pStyle w:val="NormalWeb"/>
        <w:spacing w:before="0" w:beforeAutospacing="0" w:after="0" w:afterAutospacing="0"/>
        <w:jc w:val="both"/>
        <w:divId w:val="415980837"/>
        <w:rPr>
          <w:sz w:val="20"/>
          <w:szCs w:val="20"/>
        </w:rPr>
      </w:pPr>
      <w:r>
        <w:rPr>
          <w:b/>
          <w:bCs/>
          <w:i/>
          <w:iCs/>
          <w:sz w:val="20"/>
          <w:szCs w:val="20"/>
        </w:rPr>
        <w:t> </w:t>
      </w:r>
    </w:p>
    <w:p w14:paraId="4982EDC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Parent </w:t>
      </w:r>
      <w:r>
        <w:rPr>
          <w:sz w:val="20"/>
          <w:szCs w:val="20"/>
        </w:rPr>
        <w:t>and Merger Sub do not currently own any interest in the Company. Immediately after the closing of the Merger, Parent will own 100% of the outstanding equity interest in the Surviving Company, and each Buyer Filing Person will have a direct or indirect inte</w:t>
      </w:r>
      <w:r>
        <w:rPr>
          <w:sz w:val="20"/>
          <w:szCs w:val="20"/>
        </w:rPr>
        <w:t>rest in the Company’s net book value and net earnings in proportion to such Buyer Filing Person’s direct or indirect ownership interest in the Surviving Company. The Company’s net loss attributable to shareholders for the fiscal year ended March 31, 2025 w</w:t>
      </w:r>
      <w:r>
        <w:rPr>
          <w:sz w:val="20"/>
          <w:szCs w:val="20"/>
        </w:rPr>
        <w:t>as approximately US$13.9 million and the Company’s net book value as of March 31, 2025 was approximately US$69.6 million.</w:t>
      </w:r>
    </w:p>
    <w:p w14:paraId="3EE7F4A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3A2A2C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table below sets out the direct or indirect share in the Company’s net book value and net loss for the Buyer Filing Persons and </w:t>
      </w:r>
      <w:r>
        <w:rPr>
          <w:sz w:val="20"/>
          <w:szCs w:val="20"/>
        </w:rPr>
        <w:t>the Other Rollover Shareholders before and immediately after the Merger, based on the historical net book value and net loss of the Company as of and for the fiscal year ended March 31, 2025.</w:t>
      </w:r>
    </w:p>
    <w:p w14:paraId="714CB2B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1225"/>
        <w:gridCol w:w="90"/>
        <w:gridCol w:w="90"/>
        <w:gridCol w:w="745"/>
        <w:gridCol w:w="90"/>
        <w:gridCol w:w="90"/>
        <w:gridCol w:w="90"/>
        <w:gridCol w:w="745"/>
        <w:gridCol w:w="90"/>
        <w:gridCol w:w="90"/>
        <w:gridCol w:w="90"/>
        <w:gridCol w:w="745"/>
        <w:gridCol w:w="90"/>
        <w:gridCol w:w="90"/>
        <w:gridCol w:w="90"/>
        <w:gridCol w:w="745"/>
        <w:gridCol w:w="90"/>
        <w:gridCol w:w="90"/>
        <w:gridCol w:w="91"/>
        <w:gridCol w:w="746"/>
        <w:gridCol w:w="91"/>
        <w:gridCol w:w="91"/>
        <w:gridCol w:w="91"/>
        <w:gridCol w:w="746"/>
        <w:gridCol w:w="91"/>
        <w:gridCol w:w="91"/>
        <w:gridCol w:w="91"/>
        <w:gridCol w:w="746"/>
        <w:gridCol w:w="91"/>
        <w:gridCol w:w="91"/>
        <w:gridCol w:w="91"/>
        <w:gridCol w:w="746"/>
        <w:gridCol w:w="91"/>
      </w:tblGrid>
      <w:tr w:rsidR="00000000" w14:paraId="662F9C07" w14:textId="77777777">
        <w:trPr>
          <w:divId w:val="415980837"/>
        </w:trPr>
        <w:tc>
          <w:tcPr>
            <w:tcW w:w="0" w:type="auto"/>
            <w:tcMar>
              <w:top w:w="0" w:type="dxa"/>
              <w:left w:w="180" w:type="dxa"/>
              <w:bottom w:w="0" w:type="dxa"/>
              <w:right w:w="0" w:type="dxa"/>
            </w:tcMar>
            <w:vAlign w:val="bottom"/>
            <w:hideMark/>
          </w:tcPr>
          <w:p w14:paraId="2672112C" w14:textId="77777777" w:rsidR="00000000" w:rsidRDefault="002F725F">
            <w:pPr>
              <w:ind w:hanging="180"/>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01097910" w14:textId="77777777" w:rsidR="00000000" w:rsidRDefault="002F725F">
            <w:pPr>
              <w:rPr>
                <w:rFonts w:eastAsia="Times New Roman"/>
                <w:b/>
                <w:bCs/>
                <w:sz w:val="20"/>
                <w:szCs w:val="20"/>
              </w:rPr>
            </w:pPr>
            <w:r>
              <w:rPr>
                <w:rFonts w:eastAsia="Times New Roman"/>
                <w:b/>
                <w:bCs/>
                <w:sz w:val="20"/>
                <w:szCs w:val="20"/>
              </w:rPr>
              <w:t> </w:t>
            </w:r>
          </w:p>
        </w:tc>
        <w:tc>
          <w:tcPr>
            <w:tcW w:w="0" w:type="auto"/>
            <w:gridSpan w:val="14"/>
            <w:tcBorders>
              <w:bottom w:val="single" w:sz="12" w:space="0" w:color="000000"/>
            </w:tcBorders>
            <w:vAlign w:val="bottom"/>
            <w:hideMark/>
          </w:tcPr>
          <w:p w14:paraId="63761781" w14:textId="77777777" w:rsidR="00000000" w:rsidRDefault="002F725F">
            <w:pPr>
              <w:jc w:val="center"/>
              <w:rPr>
                <w:rFonts w:eastAsia="Times New Roman"/>
                <w:b/>
                <w:bCs/>
                <w:sz w:val="20"/>
                <w:szCs w:val="20"/>
              </w:rPr>
            </w:pPr>
            <w:r>
              <w:rPr>
                <w:rFonts w:eastAsia="Times New Roman"/>
                <w:b/>
                <w:bCs/>
                <w:sz w:val="20"/>
                <w:szCs w:val="20"/>
              </w:rPr>
              <w:t>Ownership Prior to the Merger</w:t>
            </w:r>
            <w:r>
              <w:rPr>
                <w:rFonts w:eastAsia="Times New Roman"/>
                <w:b/>
                <w:bCs/>
                <w:sz w:val="20"/>
                <w:szCs w:val="20"/>
                <w:vertAlign w:val="superscript"/>
              </w:rPr>
              <w:t>(1)</w:t>
            </w:r>
          </w:p>
        </w:tc>
        <w:tc>
          <w:tcPr>
            <w:tcW w:w="0" w:type="auto"/>
            <w:tcMar>
              <w:top w:w="0" w:type="dxa"/>
              <w:left w:w="0" w:type="dxa"/>
              <w:bottom w:w="30" w:type="dxa"/>
              <w:right w:w="0" w:type="dxa"/>
            </w:tcMar>
            <w:vAlign w:val="bottom"/>
            <w:hideMark/>
          </w:tcPr>
          <w:p w14:paraId="44708EA6"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2D1D52FE" w14:textId="77777777" w:rsidR="00000000" w:rsidRDefault="002F725F">
            <w:pPr>
              <w:rPr>
                <w:rFonts w:eastAsia="Times New Roman"/>
                <w:b/>
                <w:bCs/>
                <w:sz w:val="20"/>
                <w:szCs w:val="20"/>
              </w:rPr>
            </w:pPr>
            <w:r>
              <w:rPr>
                <w:rFonts w:eastAsia="Times New Roman"/>
                <w:b/>
                <w:bCs/>
                <w:sz w:val="20"/>
                <w:szCs w:val="20"/>
              </w:rPr>
              <w:t> </w:t>
            </w:r>
          </w:p>
        </w:tc>
        <w:tc>
          <w:tcPr>
            <w:tcW w:w="0" w:type="auto"/>
            <w:gridSpan w:val="14"/>
            <w:tcBorders>
              <w:bottom w:val="single" w:sz="12" w:space="0" w:color="000000"/>
            </w:tcBorders>
            <w:vAlign w:val="bottom"/>
            <w:hideMark/>
          </w:tcPr>
          <w:p w14:paraId="5905A833" w14:textId="77777777" w:rsidR="00000000" w:rsidRDefault="002F725F">
            <w:pPr>
              <w:jc w:val="center"/>
              <w:rPr>
                <w:rFonts w:eastAsia="Times New Roman"/>
                <w:b/>
                <w:bCs/>
                <w:sz w:val="20"/>
                <w:szCs w:val="20"/>
              </w:rPr>
            </w:pPr>
            <w:r>
              <w:rPr>
                <w:rFonts w:eastAsia="Times New Roman"/>
                <w:b/>
                <w:bCs/>
                <w:sz w:val="20"/>
                <w:szCs w:val="20"/>
              </w:rPr>
              <w:t>Ownership After the Merger</w:t>
            </w:r>
            <w:r>
              <w:rPr>
                <w:rFonts w:eastAsia="Times New Roman"/>
                <w:b/>
                <w:bCs/>
                <w:sz w:val="20"/>
                <w:szCs w:val="20"/>
                <w:vertAlign w:val="superscript"/>
              </w:rPr>
              <w:t>(1)</w:t>
            </w:r>
          </w:p>
        </w:tc>
        <w:tc>
          <w:tcPr>
            <w:tcW w:w="0" w:type="auto"/>
            <w:tcMar>
              <w:top w:w="0" w:type="dxa"/>
              <w:left w:w="0" w:type="dxa"/>
              <w:bottom w:w="30" w:type="dxa"/>
              <w:right w:w="0" w:type="dxa"/>
            </w:tcMar>
            <w:vAlign w:val="bottom"/>
            <w:hideMark/>
          </w:tcPr>
          <w:p w14:paraId="491282C5" w14:textId="77777777" w:rsidR="00000000" w:rsidRDefault="002F725F">
            <w:pPr>
              <w:rPr>
                <w:rFonts w:eastAsia="Times New Roman"/>
                <w:b/>
                <w:bCs/>
                <w:sz w:val="20"/>
                <w:szCs w:val="20"/>
              </w:rPr>
            </w:pPr>
            <w:r>
              <w:rPr>
                <w:rFonts w:eastAsia="Times New Roman"/>
                <w:b/>
                <w:bCs/>
                <w:sz w:val="20"/>
                <w:szCs w:val="20"/>
              </w:rPr>
              <w:t> </w:t>
            </w:r>
          </w:p>
        </w:tc>
      </w:tr>
      <w:tr w:rsidR="00000000" w14:paraId="2F18173A" w14:textId="77777777">
        <w:trPr>
          <w:divId w:val="415980837"/>
        </w:trPr>
        <w:tc>
          <w:tcPr>
            <w:tcW w:w="0" w:type="auto"/>
            <w:tcMar>
              <w:top w:w="0" w:type="dxa"/>
              <w:left w:w="180" w:type="dxa"/>
              <w:bottom w:w="0" w:type="dxa"/>
              <w:right w:w="0" w:type="dxa"/>
            </w:tcMar>
            <w:vAlign w:val="bottom"/>
            <w:hideMark/>
          </w:tcPr>
          <w:p w14:paraId="4B8197ED" w14:textId="77777777" w:rsidR="00000000" w:rsidRDefault="002F725F">
            <w:pPr>
              <w:ind w:hanging="180"/>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45AE41B4" w14:textId="77777777" w:rsidR="00000000" w:rsidRDefault="002F725F">
            <w:pPr>
              <w:rPr>
                <w:rFonts w:eastAsia="Times New Roman"/>
                <w:b/>
                <w:bCs/>
                <w:sz w:val="20"/>
                <w:szCs w:val="20"/>
              </w:rPr>
            </w:pPr>
            <w:r>
              <w:rPr>
                <w:rFonts w:eastAsia="Times New Roman"/>
                <w:b/>
                <w:bCs/>
                <w:sz w:val="20"/>
                <w:szCs w:val="20"/>
              </w:rPr>
              <w:t> </w:t>
            </w:r>
          </w:p>
        </w:tc>
        <w:tc>
          <w:tcPr>
            <w:tcW w:w="0" w:type="auto"/>
            <w:gridSpan w:val="6"/>
            <w:tcBorders>
              <w:bottom w:val="single" w:sz="12" w:space="0" w:color="000000"/>
            </w:tcBorders>
            <w:vAlign w:val="bottom"/>
            <w:hideMark/>
          </w:tcPr>
          <w:p w14:paraId="491B71BA" w14:textId="77777777" w:rsidR="00000000" w:rsidRDefault="002F725F">
            <w:pPr>
              <w:jc w:val="center"/>
              <w:rPr>
                <w:rFonts w:eastAsia="Times New Roman"/>
                <w:b/>
                <w:bCs/>
                <w:sz w:val="20"/>
                <w:szCs w:val="20"/>
              </w:rPr>
            </w:pPr>
            <w:r>
              <w:rPr>
                <w:rFonts w:eastAsia="Times New Roman"/>
                <w:b/>
                <w:bCs/>
                <w:sz w:val="20"/>
                <w:szCs w:val="20"/>
              </w:rPr>
              <w:t>Net Book Value</w:t>
            </w:r>
          </w:p>
        </w:tc>
        <w:tc>
          <w:tcPr>
            <w:tcW w:w="0" w:type="auto"/>
            <w:tcMar>
              <w:top w:w="0" w:type="dxa"/>
              <w:left w:w="0" w:type="dxa"/>
              <w:bottom w:w="30" w:type="dxa"/>
              <w:right w:w="0" w:type="dxa"/>
            </w:tcMar>
            <w:vAlign w:val="bottom"/>
            <w:hideMark/>
          </w:tcPr>
          <w:p w14:paraId="3CE6D685"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7EC08002" w14:textId="77777777" w:rsidR="00000000" w:rsidRDefault="002F725F">
            <w:pPr>
              <w:rPr>
                <w:rFonts w:eastAsia="Times New Roman"/>
                <w:b/>
                <w:bCs/>
                <w:sz w:val="20"/>
                <w:szCs w:val="20"/>
              </w:rPr>
            </w:pPr>
            <w:r>
              <w:rPr>
                <w:rFonts w:eastAsia="Times New Roman"/>
                <w:b/>
                <w:bCs/>
                <w:sz w:val="20"/>
                <w:szCs w:val="20"/>
              </w:rPr>
              <w:t> </w:t>
            </w:r>
          </w:p>
        </w:tc>
        <w:tc>
          <w:tcPr>
            <w:tcW w:w="0" w:type="auto"/>
            <w:gridSpan w:val="6"/>
            <w:tcBorders>
              <w:bottom w:val="single" w:sz="12" w:space="0" w:color="000000"/>
            </w:tcBorders>
            <w:vAlign w:val="bottom"/>
            <w:hideMark/>
          </w:tcPr>
          <w:p w14:paraId="39FBC8CF" w14:textId="77777777" w:rsidR="00000000" w:rsidRDefault="002F725F">
            <w:pPr>
              <w:jc w:val="center"/>
              <w:rPr>
                <w:rFonts w:eastAsia="Times New Roman"/>
                <w:b/>
                <w:bCs/>
                <w:sz w:val="20"/>
                <w:szCs w:val="20"/>
              </w:rPr>
            </w:pPr>
            <w:r>
              <w:rPr>
                <w:rFonts w:eastAsia="Times New Roman"/>
                <w:b/>
                <w:bCs/>
                <w:sz w:val="20"/>
                <w:szCs w:val="20"/>
              </w:rPr>
              <w:t>Net Loss</w:t>
            </w:r>
          </w:p>
        </w:tc>
        <w:tc>
          <w:tcPr>
            <w:tcW w:w="0" w:type="auto"/>
            <w:tcMar>
              <w:top w:w="0" w:type="dxa"/>
              <w:left w:w="0" w:type="dxa"/>
              <w:bottom w:w="30" w:type="dxa"/>
              <w:right w:w="0" w:type="dxa"/>
            </w:tcMar>
            <w:vAlign w:val="bottom"/>
            <w:hideMark/>
          </w:tcPr>
          <w:p w14:paraId="0B537F40"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1D4569C2" w14:textId="77777777" w:rsidR="00000000" w:rsidRDefault="002F725F">
            <w:pPr>
              <w:rPr>
                <w:rFonts w:eastAsia="Times New Roman"/>
                <w:b/>
                <w:bCs/>
                <w:sz w:val="20"/>
                <w:szCs w:val="20"/>
              </w:rPr>
            </w:pPr>
            <w:r>
              <w:rPr>
                <w:rFonts w:eastAsia="Times New Roman"/>
                <w:b/>
                <w:bCs/>
                <w:sz w:val="20"/>
                <w:szCs w:val="20"/>
              </w:rPr>
              <w:t> </w:t>
            </w:r>
          </w:p>
        </w:tc>
        <w:tc>
          <w:tcPr>
            <w:tcW w:w="0" w:type="auto"/>
            <w:gridSpan w:val="6"/>
            <w:tcBorders>
              <w:bottom w:val="single" w:sz="12" w:space="0" w:color="000000"/>
            </w:tcBorders>
            <w:vAlign w:val="bottom"/>
            <w:hideMark/>
          </w:tcPr>
          <w:p w14:paraId="0AF6F11A" w14:textId="77777777" w:rsidR="00000000" w:rsidRDefault="002F725F">
            <w:pPr>
              <w:jc w:val="center"/>
              <w:rPr>
                <w:rFonts w:eastAsia="Times New Roman"/>
                <w:b/>
                <w:bCs/>
                <w:sz w:val="20"/>
                <w:szCs w:val="20"/>
              </w:rPr>
            </w:pPr>
            <w:r>
              <w:rPr>
                <w:rFonts w:eastAsia="Times New Roman"/>
                <w:b/>
                <w:bCs/>
                <w:sz w:val="20"/>
                <w:szCs w:val="20"/>
              </w:rPr>
              <w:t>Net Book Value</w:t>
            </w:r>
          </w:p>
        </w:tc>
        <w:tc>
          <w:tcPr>
            <w:tcW w:w="0" w:type="auto"/>
            <w:tcMar>
              <w:top w:w="0" w:type="dxa"/>
              <w:left w:w="0" w:type="dxa"/>
              <w:bottom w:w="30" w:type="dxa"/>
              <w:right w:w="0" w:type="dxa"/>
            </w:tcMar>
            <w:vAlign w:val="bottom"/>
            <w:hideMark/>
          </w:tcPr>
          <w:p w14:paraId="3E8C19B5"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1FC3157D" w14:textId="77777777" w:rsidR="00000000" w:rsidRDefault="002F725F">
            <w:pPr>
              <w:rPr>
                <w:rFonts w:eastAsia="Times New Roman"/>
                <w:b/>
                <w:bCs/>
                <w:sz w:val="20"/>
                <w:szCs w:val="20"/>
              </w:rPr>
            </w:pPr>
            <w:r>
              <w:rPr>
                <w:rFonts w:eastAsia="Times New Roman"/>
                <w:b/>
                <w:bCs/>
                <w:sz w:val="20"/>
                <w:szCs w:val="20"/>
              </w:rPr>
              <w:t> </w:t>
            </w:r>
          </w:p>
        </w:tc>
        <w:tc>
          <w:tcPr>
            <w:tcW w:w="0" w:type="auto"/>
            <w:gridSpan w:val="6"/>
            <w:tcBorders>
              <w:bottom w:val="single" w:sz="12" w:space="0" w:color="000000"/>
            </w:tcBorders>
            <w:vAlign w:val="bottom"/>
            <w:hideMark/>
          </w:tcPr>
          <w:p w14:paraId="1A1C22FF" w14:textId="77777777" w:rsidR="00000000" w:rsidRDefault="002F725F">
            <w:pPr>
              <w:jc w:val="center"/>
              <w:rPr>
                <w:rFonts w:eastAsia="Times New Roman"/>
                <w:b/>
                <w:bCs/>
                <w:sz w:val="20"/>
                <w:szCs w:val="20"/>
              </w:rPr>
            </w:pPr>
            <w:r>
              <w:rPr>
                <w:rFonts w:eastAsia="Times New Roman"/>
                <w:b/>
                <w:bCs/>
                <w:sz w:val="20"/>
                <w:szCs w:val="20"/>
              </w:rPr>
              <w:t>Net Loss</w:t>
            </w:r>
          </w:p>
        </w:tc>
        <w:tc>
          <w:tcPr>
            <w:tcW w:w="0" w:type="auto"/>
            <w:tcMar>
              <w:top w:w="0" w:type="dxa"/>
              <w:left w:w="0" w:type="dxa"/>
              <w:bottom w:w="30" w:type="dxa"/>
              <w:right w:w="0" w:type="dxa"/>
            </w:tcMar>
            <w:vAlign w:val="bottom"/>
            <w:hideMark/>
          </w:tcPr>
          <w:p w14:paraId="44774829" w14:textId="77777777" w:rsidR="00000000" w:rsidRDefault="002F725F">
            <w:pPr>
              <w:rPr>
                <w:rFonts w:eastAsia="Times New Roman"/>
                <w:b/>
                <w:bCs/>
                <w:sz w:val="20"/>
                <w:szCs w:val="20"/>
              </w:rPr>
            </w:pPr>
            <w:r>
              <w:rPr>
                <w:rFonts w:eastAsia="Times New Roman"/>
                <w:b/>
                <w:bCs/>
                <w:sz w:val="20"/>
                <w:szCs w:val="20"/>
              </w:rPr>
              <w:t> </w:t>
            </w:r>
          </w:p>
        </w:tc>
      </w:tr>
      <w:tr w:rsidR="00000000" w14:paraId="73A84D69" w14:textId="77777777">
        <w:trPr>
          <w:divId w:val="415980837"/>
        </w:trPr>
        <w:tc>
          <w:tcPr>
            <w:tcW w:w="0" w:type="auto"/>
            <w:tcBorders>
              <w:bottom w:val="single" w:sz="12" w:space="0" w:color="000000"/>
            </w:tcBorders>
            <w:tcMar>
              <w:top w:w="0" w:type="dxa"/>
              <w:left w:w="180" w:type="dxa"/>
              <w:bottom w:w="0" w:type="dxa"/>
              <w:right w:w="0" w:type="dxa"/>
            </w:tcMar>
            <w:vAlign w:val="bottom"/>
            <w:hideMark/>
          </w:tcPr>
          <w:p w14:paraId="4A3FC6BD" w14:textId="77777777" w:rsidR="00000000" w:rsidRDefault="002F725F">
            <w:pPr>
              <w:ind w:hanging="180"/>
              <w:rPr>
                <w:rFonts w:eastAsia="Times New Roman"/>
                <w:b/>
                <w:bCs/>
                <w:sz w:val="20"/>
                <w:szCs w:val="20"/>
              </w:rPr>
            </w:pPr>
            <w:r>
              <w:rPr>
                <w:rFonts w:eastAsia="Times New Roman"/>
                <w:b/>
                <w:bCs/>
                <w:sz w:val="20"/>
                <w:szCs w:val="20"/>
              </w:rPr>
              <w:t>Name</w:t>
            </w:r>
          </w:p>
        </w:tc>
        <w:tc>
          <w:tcPr>
            <w:tcW w:w="0" w:type="auto"/>
            <w:tcMar>
              <w:top w:w="0" w:type="dxa"/>
              <w:left w:w="0" w:type="dxa"/>
              <w:bottom w:w="30" w:type="dxa"/>
              <w:right w:w="0" w:type="dxa"/>
            </w:tcMar>
            <w:vAlign w:val="bottom"/>
            <w:hideMark/>
          </w:tcPr>
          <w:p w14:paraId="0BB8231F"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3228034D" w14:textId="77777777" w:rsidR="00000000" w:rsidRDefault="002F725F">
            <w:pPr>
              <w:jc w:val="center"/>
              <w:rPr>
                <w:rFonts w:eastAsia="Times New Roman"/>
                <w:b/>
                <w:bCs/>
                <w:sz w:val="20"/>
                <w:szCs w:val="20"/>
              </w:rPr>
            </w:pPr>
            <w:r>
              <w:rPr>
                <w:rFonts w:eastAsia="Times New Roman"/>
                <w:b/>
                <w:bCs/>
                <w:sz w:val="20"/>
                <w:szCs w:val="20"/>
              </w:rPr>
              <w:t>US$</w:t>
            </w:r>
          </w:p>
        </w:tc>
        <w:tc>
          <w:tcPr>
            <w:tcW w:w="0" w:type="auto"/>
            <w:tcMar>
              <w:top w:w="0" w:type="dxa"/>
              <w:left w:w="0" w:type="dxa"/>
              <w:bottom w:w="30" w:type="dxa"/>
              <w:right w:w="0" w:type="dxa"/>
            </w:tcMar>
            <w:vAlign w:val="bottom"/>
            <w:hideMark/>
          </w:tcPr>
          <w:p w14:paraId="44136CCD"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841C76B"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4E8C30A2" w14:textId="77777777" w:rsidR="00000000" w:rsidRDefault="002F725F">
            <w:pPr>
              <w:jc w:val="center"/>
              <w:rPr>
                <w:rFonts w:eastAsia="Times New Roman"/>
                <w:b/>
                <w:bCs/>
                <w:sz w:val="20"/>
                <w:szCs w:val="20"/>
              </w:rPr>
            </w:pPr>
            <w:r>
              <w:rPr>
                <w:rFonts w:eastAsia="Times New Roman"/>
                <w:b/>
                <w:bCs/>
                <w:sz w:val="20"/>
                <w:szCs w:val="20"/>
              </w:rPr>
              <w:t>%</w:t>
            </w:r>
          </w:p>
        </w:tc>
        <w:tc>
          <w:tcPr>
            <w:tcW w:w="0" w:type="auto"/>
            <w:tcMar>
              <w:top w:w="0" w:type="dxa"/>
              <w:left w:w="0" w:type="dxa"/>
              <w:bottom w:w="30" w:type="dxa"/>
              <w:right w:w="0" w:type="dxa"/>
            </w:tcMar>
            <w:vAlign w:val="bottom"/>
            <w:hideMark/>
          </w:tcPr>
          <w:p w14:paraId="73328BBE"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7527F081"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8428811" w14:textId="77777777" w:rsidR="00000000" w:rsidRDefault="002F725F">
            <w:pPr>
              <w:jc w:val="center"/>
              <w:rPr>
                <w:rFonts w:eastAsia="Times New Roman"/>
                <w:b/>
                <w:bCs/>
                <w:sz w:val="20"/>
                <w:szCs w:val="20"/>
              </w:rPr>
            </w:pPr>
            <w:r>
              <w:rPr>
                <w:rFonts w:eastAsia="Times New Roman"/>
                <w:b/>
                <w:bCs/>
                <w:sz w:val="20"/>
                <w:szCs w:val="20"/>
              </w:rPr>
              <w:t>US$</w:t>
            </w:r>
          </w:p>
        </w:tc>
        <w:tc>
          <w:tcPr>
            <w:tcW w:w="0" w:type="auto"/>
            <w:tcMar>
              <w:top w:w="0" w:type="dxa"/>
              <w:left w:w="0" w:type="dxa"/>
              <w:bottom w:w="30" w:type="dxa"/>
              <w:right w:w="0" w:type="dxa"/>
            </w:tcMar>
            <w:vAlign w:val="bottom"/>
            <w:hideMark/>
          </w:tcPr>
          <w:p w14:paraId="4B6AA9C0"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55FEFFB8"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32A50EEF" w14:textId="77777777" w:rsidR="00000000" w:rsidRDefault="002F725F">
            <w:pPr>
              <w:jc w:val="center"/>
              <w:rPr>
                <w:rFonts w:eastAsia="Times New Roman"/>
                <w:b/>
                <w:bCs/>
                <w:sz w:val="20"/>
                <w:szCs w:val="20"/>
              </w:rPr>
            </w:pPr>
            <w:r>
              <w:rPr>
                <w:rFonts w:eastAsia="Times New Roman"/>
                <w:b/>
                <w:bCs/>
                <w:sz w:val="20"/>
                <w:szCs w:val="20"/>
              </w:rPr>
              <w:t>%</w:t>
            </w:r>
          </w:p>
        </w:tc>
        <w:tc>
          <w:tcPr>
            <w:tcW w:w="0" w:type="auto"/>
            <w:tcMar>
              <w:top w:w="0" w:type="dxa"/>
              <w:left w:w="0" w:type="dxa"/>
              <w:bottom w:w="30" w:type="dxa"/>
              <w:right w:w="0" w:type="dxa"/>
            </w:tcMar>
            <w:vAlign w:val="bottom"/>
            <w:hideMark/>
          </w:tcPr>
          <w:p w14:paraId="013ABF8B"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45D2ED5F"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47E91FFE" w14:textId="77777777" w:rsidR="00000000" w:rsidRDefault="002F725F">
            <w:pPr>
              <w:jc w:val="center"/>
              <w:rPr>
                <w:rFonts w:eastAsia="Times New Roman"/>
                <w:b/>
                <w:bCs/>
                <w:sz w:val="20"/>
                <w:szCs w:val="20"/>
              </w:rPr>
            </w:pPr>
            <w:r>
              <w:rPr>
                <w:rFonts w:eastAsia="Times New Roman"/>
                <w:b/>
                <w:bCs/>
                <w:sz w:val="20"/>
                <w:szCs w:val="20"/>
              </w:rPr>
              <w:t>US$</w:t>
            </w:r>
          </w:p>
        </w:tc>
        <w:tc>
          <w:tcPr>
            <w:tcW w:w="0" w:type="auto"/>
            <w:tcMar>
              <w:top w:w="0" w:type="dxa"/>
              <w:left w:w="0" w:type="dxa"/>
              <w:bottom w:w="30" w:type="dxa"/>
              <w:right w:w="0" w:type="dxa"/>
            </w:tcMar>
            <w:vAlign w:val="bottom"/>
            <w:hideMark/>
          </w:tcPr>
          <w:p w14:paraId="557D2758"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D5B2D2A"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6DE0880F" w14:textId="77777777" w:rsidR="00000000" w:rsidRDefault="002F725F">
            <w:pPr>
              <w:jc w:val="center"/>
              <w:rPr>
                <w:rFonts w:eastAsia="Times New Roman"/>
                <w:b/>
                <w:bCs/>
                <w:sz w:val="20"/>
                <w:szCs w:val="20"/>
              </w:rPr>
            </w:pPr>
            <w:r>
              <w:rPr>
                <w:rFonts w:eastAsia="Times New Roman"/>
                <w:b/>
                <w:bCs/>
                <w:sz w:val="20"/>
                <w:szCs w:val="20"/>
              </w:rPr>
              <w:t>%</w:t>
            </w:r>
          </w:p>
        </w:tc>
        <w:tc>
          <w:tcPr>
            <w:tcW w:w="0" w:type="auto"/>
            <w:tcMar>
              <w:top w:w="0" w:type="dxa"/>
              <w:left w:w="0" w:type="dxa"/>
              <w:bottom w:w="30" w:type="dxa"/>
              <w:right w:w="0" w:type="dxa"/>
            </w:tcMar>
            <w:vAlign w:val="bottom"/>
            <w:hideMark/>
          </w:tcPr>
          <w:p w14:paraId="59D0A58D"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46C0709"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2F56C4EE" w14:textId="77777777" w:rsidR="00000000" w:rsidRDefault="002F725F">
            <w:pPr>
              <w:jc w:val="center"/>
              <w:rPr>
                <w:rFonts w:eastAsia="Times New Roman"/>
                <w:b/>
                <w:bCs/>
                <w:sz w:val="20"/>
                <w:szCs w:val="20"/>
              </w:rPr>
            </w:pPr>
            <w:r>
              <w:rPr>
                <w:rFonts w:eastAsia="Times New Roman"/>
                <w:b/>
                <w:bCs/>
                <w:sz w:val="20"/>
                <w:szCs w:val="20"/>
              </w:rPr>
              <w:t>US$</w:t>
            </w:r>
          </w:p>
        </w:tc>
        <w:tc>
          <w:tcPr>
            <w:tcW w:w="0" w:type="auto"/>
            <w:tcMar>
              <w:top w:w="0" w:type="dxa"/>
              <w:left w:w="0" w:type="dxa"/>
              <w:bottom w:w="30" w:type="dxa"/>
              <w:right w:w="0" w:type="dxa"/>
            </w:tcMar>
            <w:vAlign w:val="bottom"/>
            <w:hideMark/>
          </w:tcPr>
          <w:p w14:paraId="2ECD9E14"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213620E9"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3499549A" w14:textId="77777777" w:rsidR="00000000" w:rsidRDefault="002F725F">
            <w:pPr>
              <w:jc w:val="center"/>
              <w:rPr>
                <w:rFonts w:eastAsia="Times New Roman"/>
                <w:b/>
                <w:bCs/>
                <w:sz w:val="20"/>
                <w:szCs w:val="20"/>
              </w:rPr>
            </w:pPr>
            <w:r>
              <w:rPr>
                <w:rFonts w:eastAsia="Times New Roman"/>
                <w:b/>
                <w:bCs/>
                <w:sz w:val="20"/>
                <w:szCs w:val="20"/>
              </w:rPr>
              <w:t>%</w:t>
            </w:r>
          </w:p>
        </w:tc>
        <w:tc>
          <w:tcPr>
            <w:tcW w:w="0" w:type="auto"/>
            <w:tcMar>
              <w:top w:w="0" w:type="dxa"/>
              <w:left w:w="0" w:type="dxa"/>
              <w:bottom w:w="30" w:type="dxa"/>
              <w:right w:w="0" w:type="dxa"/>
            </w:tcMar>
            <w:vAlign w:val="bottom"/>
            <w:hideMark/>
          </w:tcPr>
          <w:p w14:paraId="794F5622" w14:textId="77777777" w:rsidR="00000000" w:rsidRDefault="002F725F">
            <w:pPr>
              <w:rPr>
                <w:rFonts w:eastAsia="Times New Roman"/>
                <w:b/>
                <w:bCs/>
                <w:sz w:val="20"/>
                <w:szCs w:val="20"/>
              </w:rPr>
            </w:pPr>
            <w:r>
              <w:rPr>
                <w:rFonts w:eastAsia="Times New Roman"/>
                <w:b/>
                <w:bCs/>
                <w:sz w:val="20"/>
                <w:szCs w:val="20"/>
              </w:rPr>
              <w:t> </w:t>
            </w:r>
          </w:p>
        </w:tc>
      </w:tr>
      <w:tr w:rsidR="00000000" w14:paraId="7B79A386" w14:textId="77777777">
        <w:trPr>
          <w:divId w:val="415980837"/>
        </w:trPr>
        <w:tc>
          <w:tcPr>
            <w:tcW w:w="0" w:type="auto"/>
            <w:tcMar>
              <w:top w:w="0" w:type="dxa"/>
              <w:left w:w="180" w:type="dxa"/>
              <w:bottom w:w="0" w:type="dxa"/>
              <w:right w:w="0" w:type="dxa"/>
            </w:tcMar>
            <w:vAlign w:val="bottom"/>
            <w:hideMark/>
          </w:tcPr>
          <w:p w14:paraId="1AAEA71D" w14:textId="77777777" w:rsidR="00000000" w:rsidRDefault="002F725F">
            <w:pPr>
              <w:ind w:hanging="180"/>
              <w:rPr>
                <w:rFonts w:eastAsia="Times New Roman"/>
                <w:sz w:val="20"/>
                <w:szCs w:val="20"/>
              </w:rPr>
            </w:pPr>
            <w:r>
              <w:rPr>
                <w:rFonts w:eastAsia="Times New Roman"/>
                <w:sz w:val="20"/>
                <w:szCs w:val="20"/>
              </w:rPr>
              <w:t> </w:t>
            </w:r>
          </w:p>
        </w:tc>
        <w:tc>
          <w:tcPr>
            <w:tcW w:w="0" w:type="auto"/>
            <w:vAlign w:val="bottom"/>
            <w:hideMark/>
          </w:tcPr>
          <w:p w14:paraId="394DC1A7" w14:textId="77777777" w:rsidR="00000000" w:rsidRDefault="002F725F">
            <w:pPr>
              <w:rPr>
                <w:rFonts w:eastAsia="Times New Roman"/>
                <w:sz w:val="20"/>
                <w:szCs w:val="20"/>
              </w:rPr>
            </w:pPr>
            <w:r>
              <w:rPr>
                <w:rFonts w:eastAsia="Times New Roman"/>
                <w:sz w:val="20"/>
                <w:szCs w:val="20"/>
              </w:rPr>
              <w:t> </w:t>
            </w:r>
          </w:p>
        </w:tc>
        <w:tc>
          <w:tcPr>
            <w:tcW w:w="0" w:type="auto"/>
            <w:gridSpan w:val="30"/>
            <w:vAlign w:val="bottom"/>
            <w:hideMark/>
          </w:tcPr>
          <w:p w14:paraId="770AED65" w14:textId="77777777" w:rsidR="00000000" w:rsidRDefault="002F725F">
            <w:pPr>
              <w:jc w:val="center"/>
              <w:rPr>
                <w:rFonts w:eastAsia="Times New Roman"/>
                <w:sz w:val="20"/>
                <w:szCs w:val="20"/>
              </w:rPr>
            </w:pPr>
            <w:r>
              <w:rPr>
                <w:rFonts w:eastAsia="Times New Roman"/>
                <w:sz w:val="20"/>
                <w:szCs w:val="20"/>
              </w:rPr>
              <w:t>(in thousands, except percentage)</w:t>
            </w:r>
          </w:p>
        </w:tc>
        <w:tc>
          <w:tcPr>
            <w:tcW w:w="0" w:type="auto"/>
            <w:vAlign w:val="bottom"/>
            <w:hideMark/>
          </w:tcPr>
          <w:p w14:paraId="794231B3" w14:textId="77777777" w:rsidR="00000000" w:rsidRDefault="002F725F">
            <w:pPr>
              <w:rPr>
                <w:rFonts w:eastAsia="Times New Roman"/>
                <w:sz w:val="20"/>
                <w:szCs w:val="20"/>
              </w:rPr>
            </w:pPr>
            <w:r>
              <w:rPr>
                <w:rFonts w:eastAsia="Times New Roman"/>
                <w:sz w:val="20"/>
                <w:szCs w:val="20"/>
              </w:rPr>
              <w:t> </w:t>
            </w:r>
          </w:p>
        </w:tc>
      </w:tr>
      <w:tr w:rsidR="002F725F" w14:paraId="1152A22D" w14:textId="77777777">
        <w:trPr>
          <w:divId w:val="415980837"/>
        </w:trPr>
        <w:tc>
          <w:tcPr>
            <w:tcW w:w="600" w:type="pct"/>
            <w:shd w:val="clear" w:color="auto" w:fill="CCEEFF"/>
            <w:tcMar>
              <w:top w:w="0" w:type="dxa"/>
              <w:left w:w="180" w:type="dxa"/>
              <w:bottom w:w="0" w:type="dxa"/>
              <w:right w:w="0" w:type="dxa"/>
            </w:tcMar>
            <w:vAlign w:val="bottom"/>
            <w:hideMark/>
          </w:tcPr>
          <w:p w14:paraId="0483437E" w14:textId="77777777" w:rsidR="00000000" w:rsidRDefault="002F725F">
            <w:pPr>
              <w:ind w:hanging="180"/>
              <w:rPr>
                <w:rFonts w:eastAsia="Times New Roman"/>
                <w:sz w:val="20"/>
                <w:szCs w:val="20"/>
              </w:rPr>
            </w:pPr>
            <w:r>
              <w:rPr>
                <w:rFonts w:eastAsia="Times New Roman"/>
                <w:sz w:val="20"/>
                <w:szCs w:val="20"/>
              </w:rPr>
              <w:t>Parent</w:t>
            </w:r>
          </w:p>
        </w:tc>
        <w:tc>
          <w:tcPr>
            <w:tcW w:w="50" w:type="pct"/>
            <w:shd w:val="clear" w:color="auto" w:fill="CCEEFF"/>
            <w:vAlign w:val="bottom"/>
            <w:hideMark/>
          </w:tcPr>
          <w:p w14:paraId="3AC0FD55"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18C38770" w14:textId="77777777" w:rsidR="00000000" w:rsidRDefault="002F725F">
            <w:pPr>
              <w:rPr>
                <w:rFonts w:eastAsia="Times New Roman"/>
                <w:sz w:val="20"/>
                <w:szCs w:val="20"/>
              </w:rPr>
            </w:pPr>
            <w:r>
              <w:rPr>
                <w:rFonts w:eastAsia="Times New Roman"/>
                <w:sz w:val="20"/>
                <w:szCs w:val="20"/>
              </w:rPr>
              <w:t> </w:t>
            </w:r>
          </w:p>
        </w:tc>
        <w:tc>
          <w:tcPr>
            <w:tcW w:w="400" w:type="pct"/>
            <w:shd w:val="clear" w:color="auto" w:fill="CCEEFF"/>
            <w:vAlign w:val="bottom"/>
            <w:hideMark/>
          </w:tcPr>
          <w:p w14:paraId="202F9A33" w14:textId="77777777" w:rsidR="00000000" w:rsidRDefault="002F725F">
            <w:pPr>
              <w:jc w:val="right"/>
              <w:rPr>
                <w:rFonts w:eastAsia="Times New Roman"/>
                <w:sz w:val="20"/>
                <w:szCs w:val="20"/>
              </w:rPr>
            </w:pPr>
            <w:r>
              <w:rPr>
                <w:rFonts w:eastAsia="Times New Roman"/>
                <w:sz w:val="20"/>
                <w:szCs w:val="20"/>
              </w:rPr>
              <w:t>—</w:t>
            </w:r>
          </w:p>
        </w:tc>
        <w:tc>
          <w:tcPr>
            <w:tcW w:w="50" w:type="pct"/>
            <w:shd w:val="clear" w:color="auto" w:fill="CCEEFF"/>
            <w:vAlign w:val="bottom"/>
            <w:hideMark/>
          </w:tcPr>
          <w:p w14:paraId="5D3B4714"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4622BF14"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3E0942EC" w14:textId="77777777" w:rsidR="00000000" w:rsidRDefault="002F725F">
            <w:pPr>
              <w:rPr>
                <w:rFonts w:eastAsia="Times New Roman"/>
                <w:sz w:val="20"/>
                <w:szCs w:val="20"/>
              </w:rPr>
            </w:pPr>
            <w:r>
              <w:rPr>
                <w:rFonts w:eastAsia="Times New Roman"/>
                <w:sz w:val="20"/>
                <w:szCs w:val="20"/>
              </w:rPr>
              <w:t> </w:t>
            </w:r>
          </w:p>
        </w:tc>
        <w:tc>
          <w:tcPr>
            <w:tcW w:w="400" w:type="pct"/>
            <w:shd w:val="clear" w:color="auto" w:fill="CCEEFF"/>
            <w:vAlign w:val="bottom"/>
            <w:hideMark/>
          </w:tcPr>
          <w:p w14:paraId="04593DB7" w14:textId="77777777" w:rsidR="00000000" w:rsidRDefault="002F725F">
            <w:pPr>
              <w:jc w:val="right"/>
              <w:rPr>
                <w:rFonts w:eastAsia="Times New Roman"/>
                <w:sz w:val="20"/>
                <w:szCs w:val="20"/>
              </w:rPr>
            </w:pPr>
            <w:r>
              <w:rPr>
                <w:rFonts w:eastAsia="Times New Roman"/>
                <w:sz w:val="20"/>
                <w:szCs w:val="20"/>
              </w:rPr>
              <w:t>—</w:t>
            </w:r>
          </w:p>
        </w:tc>
        <w:tc>
          <w:tcPr>
            <w:tcW w:w="50" w:type="pct"/>
            <w:shd w:val="clear" w:color="auto" w:fill="CCEEFF"/>
            <w:vAlign w:val="bottom"/>
            <w:hideMark/>
          </w:tcPr>
          <w:p w14:paraId="6EA1511F"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3DB20294"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7119CC64" w14:textId="77777777" w:rsidR="00000000" w:rsidRDefault="002F725F">
            <w:pPr>
              <w:rPr>
                <w:rFonts w:eastAsia="Times New Roman"/>
                <w:sz w:val="20"/>
                <w:szCs w:val="20"/>
              </w:rPr>
            </w:pPr>
            <w:r>
              <w:rPr>
                <w:rFonts w:eastAsia="Times New Roman"/>
                <w:sz w:val="20"/>
                <w:szCs w:val="20"/>
              </w:rPr>
              <w:t> </w:t>
            </w:r>
          </w:p>
        </w:tc>
        <w:tc>
          <w:tcPr>
            <w:tcW w:w="400" w:type="pct"/>
            <w:shd w:val="clear" w:color="auto" w:fill="CCEEFF"/>
            <w:vAlign w:val="bottom"/>
            <w:hideMark/>
          </w:tcPr>
          <w:p w14:paraId="05C3165D" w14:textId="77777777" w:rsidR="00000000" w:rsidRDefault="002F725F">
            <w:pPr>
              <w:jc w:val="right"/>
              <w:rPr>
                <w:rFonts w:eastAsia="Times New Roman"/>
                <w:sz w:val="20"/>
                <w:szCs w:val="20"/>
              </w:rPr>
            </w:pPr>
            <w:r>
              <w:rPr>
                <w:rFonts w:eastAsia="Times New Roman"/>
                <w:sz w:val="20"/>
                <w:szCs w:val="20"/>
              </w:rPr>
              <w:t>—</w:t>
            </w:r>
          </w:p>
        </w:tc>
        <w:tc>
          <w:tcPr>
            <w:tcW w:w="50" w:type="pct"/>
            <w:shd w:val="clear" w:color="auto" w:fill="CCEEFF"/>
            <w:vAlign w:val="bottom"/>
            <w:hideMark/>
          </w:tcPr>
          <w:p w14:paraId="283D8EFB"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5CA2F891"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7326B428" w14:textId="77777777" w:rsidR="00000000" w:rsidRDefault="002F725F">
            <w:pPr>
              <w:rPr>
                <w:rFonts w:eastAsia="Times New Roman"/>
                <w:sz w:val="20"/>
                <w:szCs w:val="20"/>
              </w:rPr>
            </w:pPr>
            <w:r>
              <w:rPr>
                <w:rFonts w:eastAsia="Times New Roman"/>
                <w:sz w:val="20"/>
                <w:szCs w:val="20"/>
              </w:rPr>
              <w:t> </w:t>
            </w:r>
          </w:p>
        </w:tc>
        <w:tc>
          <w:tcPr>
            <w:tcW w:w="400" w:type="pct"/>
            <w:shd w:val="clear" w:color="auto" w:fill="CCEEFF"/>
            <w:vAlign w:val="bottom"/>
            <w:hideMark/>
          </w:tcPr>
          <w:p w14:paraId="2EDA486F" w14:textId="77777777" w:rsidR="00000000" w:rsidRDefault="002F725F">
            <w:pPr>
              <w:jc w:val="right"/>
              <w:rPr>
                <w:rFonts w:eastAsia="Times New Roman"/>
                <w:sz w:val="20"/>
                <w:szCs w:val="20"/>
              </w:rPr>
            </w:pPr>
            <w:r>
              <w:rPr>
                <w:rFonts w:eastAsia="Times New Roman"/>
                <w:sz w:val="20"/>
                <w:szCs w:val="20"/>
              </w:rPr>
              <w:t>—</w:t>
            </w:r>
          </w:p>
        </w:tc>
        <w:tc>
          <w:tcPr>
            <w:tcW w:w="50" w:type="pct"/>
            <w:shd w:val="clear" w:color="auto" w:fill="CCEEFF"/>
            <w:vAlign w:val="bottom"/>
            <w:hideMark/>
          </w:tcPr>
          <w:p w14:paraId="0719A55E"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7DE9AEDB"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08E6121B" w14:textId="77777777" w:rsidR="00000000" w:rsidRDefault="002F725F">
            <w:pPr>
              <w:rPr>
                <w:rFonts w:eastAsia="Times New Roman"/>
                <w:sz w:val="20"/>
                <w:szCs w:val="20"/>
              </w:rPr>
            </w:pPr>
            <w:r>
              <w:rPr>
                <w:rFonts w:eastAsia="Times New Roman"/>
                <w:sz w:val="20"/>
                <w:szCs w:val="20"/>
              </w:rPr>
              <w:t> </w:t>
            </w:r>
          </w:p>
        </w:tc>
        <w:tc>
          <w:tcPr>
            <w:tcW w:w="400" w:type="pct"/>
            <w:shd w:val="clear" w:color="auto" w:fill="CCEEFF"/>
            <w:vAlign w:val="bottom"/>
            <w:hideMark/>
          </w:tcPr>
          <w:p w14:paraId="7D5143BC" w14:textId="77777777" w:rsidR="00000000" w:rsidRDefault="002F725F">
            <w:pPr>
              <w:jc w:val="right"/>
              <w:rPr>
                <w:rFonts w:eastAsia="Times New Roman"/>
                <w:sz w:val="20"/>
                <w:szCs w:val="20"/>
              </w:rPr>
            </w:pPr>
            <w:r>
              <w:rPr>
                <w:rFonts w:eastAsia="Times New Roman"/>
                <w:sz w:val="20"/>
                <w:szCs w:val="20"/>
              </w:rPr>
              <w:t>69,600</w:t>
            </w:r>
          </w:p>
        </w:tc>
        <w:tc>
          <w:tcPr>
            <w:tcW w:w="50" w:type="pct"/>
            <w:shd w:val="clear" w:color="auto" w:fill="CCEEFF"/>
            <w:vAlign w:val="bottom"/>
            <w:hideMark/>
          </w:tcPr>
          <w:p w14:paraId="31A090C3"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77DE6047"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29208306" w14:textId="77777777" w:rsidR="00000000" w:rsidRDefault="002F725F">
            <w:pPr>
              <w:rPr>
                <w:rFonts w:eastAsia="Times New Roman"/>
                <w:sz w:val="20"/>
                <w:szCs w:val="20"/>
              </w:rPr>
            </w:pPr>
            <w:r>
              <w:rPr>
                <w:rFonts w:eastAsia="Times New Roman"/>
                <w:sz w:val="20"/>
                <w:szCs w:val="20"/>
              </w:rPr>
              <w:t> </w:t>
            </w:r>
          </w:p>
        </w:tc>
        <w:tc>
          <w:tcPr>
            <w:tcW w:w="400" w:type="pct"/>
            <w:shd w:val="clear" w:color="auto" w:fill="CCEEFF"/>
            <w:vAlign w:val="bottom"/>
            <w:hideMark/>
          </w:tcPr>
          <w:p w14:paraId="5F4F4123" w14:textId="77777777" w:rsidR="00000000" w:rsidRDefault="002F725F">
            <w:pPr>
              <w:jc w:val="right"/>
              <w:rPr>
                <w:rFonts w:eastAsia="Times New Roman"/>
                <w:sz w:val="20"/>
                <w:szCs w:val="20"/>
              </w:rPr>
            </w:pPr>
            <w:r>
              <w:rPr>
                <w:rFonts w:eastAsia="Times New Roman"/>
                <w:sz w:val="20"/>
                <w:szCs w:val="20"/>
              </w:rPr>
              <w:t>100</w:t>
            </w:r>
          </w:p>
        </w:tc>
        <w:tc>
          <w:tcPr>
            <w:tcW w:w="50" w:type="pct"/>
            <w:shd w:val="clear" w:color="auto" w:fill="CCEEFF"/>
            <w:vAlign w:val="bottom"/>
            <w:hideMark/>
          </w:tcPr>
          <w:p w14:paraId="7E82D23F"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7BC8C8B9"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60C95B90" w14:textId="77777777" w:rsidR="00000000" w:rsidRDefault="002F725F">
            <w:pPr>
              <w:rPr>
                <w:rFonts w:eastAsia="Times New Roman"/>
                <w:sz w:val="20"/>
                <w:szCs w:val="20"/>
              </w:rPr>
            </w:pPr>
            <w:r>
              <w:rPr>
                <w:rFonts w:eastAsia="Times New Roman"/>
                <w:sz w:val="20"/>
                <w:szCs w:val="20"/>
              </w:rPr>
              <w:t> </w:t>
            </w:r>
          </w:p>
        </w:tc>
        <w:tc>
          <w:tcPr>
            <w:tcW w:w="400" w:type="pct"/>
            <w:shd w:val="clear" w:color="auto" w:fill="CCEEFF"/>
            <w:vAlign w:val="bottom"/>
            <w:hideMark/>
          </w:tcPr>
          <w:p w14:paraId="27CA94FB" w14:textId="77777777" w:rsidR="00000000" w:rsidRDefault="002F725F">
            <w:pPr>
              <w:jc w:val="right"/>
              <w:rPr>
                <w:rFonts w:eastAsia="Times New Roman"/>
                <w:sz w:val="20"/>
                <w:szCs w:val="20"/>
              </w:rPr>
            </w:pPr>
            <w:r>
              <w:rPr>
                <w:rFonts w:eastAsia="Times New Roman"/>
                <w:sz w:val="20"/>
                <w:szCs w:val="20"/>
              </w:rPr>
              <w:t>(13,900</w:t>
            </w:r>
          </w:p>
        </w:tc>
        <w:tc>
          <w:tcPr>
            <w:tcW w:w="50" w:type="pct"/>
            <w:shd w:val="clear" w:color="auto" w:fill="CCEEFF"/>
            <w:vAlign w:val="bottom"/>
            <w:hideMark/>
          </w:tcPr>
          <w:p w14:paraId="21C229B7" w14:textId="77777777" w:rsidR="00000000" w:rsidRDefault="002F725F">
            <w:pPr>
              <w:rPr>
                <w:rFonts w:eastAsia="Times New Roman"/>
                <w:sz w:val="20"/>
                <w:szCs w:val="20"/>
              </w:rPr>
            </w:pPr>
            <w:r>
              <w:rPr>
                <w:rFonts w:eastAsia="Times New Roman"/>
                <w:sz w:val="20"/>
                <w:szCs w:val="20"/>
              </w:rPr>
              <w:t>)</w:t>
            </w:r>
          </w:p>
        </w:tc>
        <w:tc>
          <w:tcPr>
            <w:tcW w:w="50" w:type="pct"/>
            <w:shd w:val="clear" w:color="auto" w:fill="CCEEFF"/>
            <w:vAlign w:val="bottom"/>
            <w:hideMark/>
          </w:tcPr>
          <w:p w14:paraId="30C724BA"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62D8C5D7" w14:textId="77777777" w:rsidR="00000000" w:rsidRDefault="002F725F">
            <w:pPr>
              <w:rPr>
                <w:rFonts w:eastAsia="Times New Roman"/>
                <w:sz w:val="20"/>
                <w:szCs w:val="20"/>
              </w:rPr>
            </w:pPr>
            <w:r>
              <w:rPr>
                <w:rFonts w:eastAsia="Times New Roman"/>
                <w:sz w:val="20"/>
                <w:szCs w:val="20"/>
              </w:rPr>
              <w:t> </w:t>
            </w:r>
          </w:p>
        </w:tc>
        <w:tc>
          <w:tcPr>
            <w:tcW w:w="400" w:type="pct"/>
            <w:shd w:val="clear" w:color="auto" w:fill="CCEEFF"/>
            <w:vAlign w:val="bottom"/>
            <w:hideMark/>
          </w:tcPr>
          <w:p w14:paraId="312AB3E1" w14:textId="77777777" w:rsidR="00000000" w:rsidRDefault="002F725F">
            <w:pPr>
              <w:jc w:val="right"/>
              <w:rPr>
                <w:rFonts w:eastAsia="Times New Roman"/>
                <w:sz w:val="20"/>
                <w:szCs w:val="20"/>
              </w:rPr>
            </w:pPr>
            <w:r>
              <w:rPr>
                <w:rFonts w:eastAsia="Times New Roman"/>
                <w:sz w:val="20"/>
                <w:szCs w:val="20"/>
              </w:rPr>
              <w:t>100</w:t>
            </w:r>
          </w:p>
        </w:tc>
        <w:tc>
          <w:tcPr>
            <w:tcW w:w="50" w:type="pct"/>
            <w:shd w:val="clear" w:color="auto" w:fill="CCEEFF"/>
            <w:vAlign w:val="bottom"/>
            <w:hideMark/>
          </w:tcPr>
          <w:p w14:paraId="4E43925C" w14:textId="77777777" w:rsidR="00000000" w:rsidRDefault="002F725F">
            <w:pPr>
              <w:rPr>
                <w:rFonts w:eastAsia="Times New Roman"/>
                <w:sz w:val="20"/>
                <w:szCs w:val="20"/>
              </w:rPr>
            </w:pPr>
            <w:r>
              <w:rPr>
                <w:rFonts w:eastAsia="Times New Roman"/>
                <w:sz w:val="20"/>
                <w:szCs w:val="20"/>
              </w:rPr>
              <w:t> </w:t>
            </w:r>
          </w:p>
        </w:tc>
      </w:tr>
      <w:tr w:rsidR="002F725F" w14:paraId="672FF053" w14:textId="77777777">
        <w:trPr>
          <w:divId w:val="415980837"/>
        </w:trPr>
        <w:tc>
          <w:tcPr>
            <w:tcW w:w="0" w:type="auto"/>
            <w:shd w:val="clear" w:color="auto" w:fill="FFFFFF"/>
            <w:tcMar>
              <w:top w:w="0" w:type="dxa"/>
              <w:left w:w="180" w:type="dxa"/>
              <w:bottom w:w="0" w:type="dxa"/>
              <w:right w:w="0" w:type="dxa"/>
            </w:tcMar>
            <w:vAlign w:val="bottom"/>
            <w:hideMark/>
          </w:tcPr>
          <w:p w14:paraId="2A244827" w14:textId="77777777" w:rsidR="00000000" w:rsidRDefault="002F725F">
            <w:pPr>
              <w:ind w:hanging="180"/>
              <w:rPr>
                <w:rFonts w:eastAsia="Times New Roman"/>
                <w:sz w:val="20"/>
                <w:szCs w:val="20"/>
              </w:rPr>
            </w:pPr>
            <w:r>
              <w:rPr>
                <w:rFonts w:eastAsia="Times New Roman"/>
                <w:sz w:val="20"/>
                <w:szCs w:val="20"/>
              </w:rPr>
              <w:t>Merger Sub</w:t>
            </w:r>
          </w:p>
        </w:tc>
        <w:tc>
          <w:tcPr>
            <w:tcW w:w="0" w:type="auto"/>
            <w:shd w:val="clear" w:color="auto" w:fill="FFFFFF"/>
            <w:vAlign w:val="bottom"/>
            <w:hideMark/>
          </w:tcPr>
          <w:p w14:paraId="4CF0D5A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E4197E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56D34C9"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098EE1E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97C4CE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0A0184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8D0697B"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4E6B800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D1B7F6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2F3A41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7EA714E"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48096F5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D002FD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B376A5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7F8AB9C"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39DC452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254EB7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ED9097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74D1C03"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3438434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D79F0B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A150C0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47B3725"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55FF4EB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E7CDA1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6C782F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EF90D8F"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738A052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0F3CF8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46E4B2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6453B4E"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69010529" w14:textId="77777777" w:rsidR="00000000" w:rsidRDefault="002F725F">
            <w:pPr>
              <w:rPr>
                <w:rFonts w:eastAsia="Times New Roman"/>
                <w:sz w:val="20"/>
                <w:szCs w:val="20"/>
              </w:rPr>
            </w:pPr>
            <w:r>
              <w:rPr>
                <w:rFonts w:eastAsia="Times New Roman"/>
                <w:sz w:val="20"/>
                <w:szCs w:val="20"/>
              </w:rPr>
              <w:t> </w:t>
            </w:r>
          </w:p>
        </w:tc>
      </w:tr>
      <w:tr w:rsidR="002F725F" w14:paraId="79B8C9AF" w14:textId="77777777">
        <w:trPr>
          <w:divId w:val="415980837"/>
        </w:trPr>
        <w:tc>
          <w:tcPr>
            <w:tcW w:w="0" w:type="auto"/>
            <w:shd w:val="clear" w:color="auto" w:fill="CCEEFF"/>
            <w:tcMar>
              <w:top w:w="0" w:type="dxa"/>
              <w:left w:w="180" w:type="dxa"/>
              <w:bottom w:w="0" w:type="dxa"/>
              <w:right w:w="0" w:type="dxa"/>
            </w:tcMar>
            <w:vAlign w:val="bottom"/>
            <w:hideMark/>
          </w:tcPr>
          <w:p w14:paraId="352398B7" w14:textId="77777777" w:rsidR="00000000" w:rsidRDefault="002F725F">
            <w:pPr>
              <w:ind w:hanging="180"/>
              <w:rPr>
                <w:rFonts w:eastAsia="Times New Roman"/>
                <w:sz w:val="20"/>
                <w:szCs w:val="20"/>
              </w:rPr>
            </w:pPr>
            <w:r>
              <w:rPr>
                <w:rFonts w:eastAsia="Times New Roman"/>
                <w:sz w:val="20"/>
                <w:szCs w:val="20"/>
              </w:rPr>
              <w:t>The Sponsor</w:t>
            </w:r>
          </w:p>
        </w:tc>
        <w:tc>
          <w:tcPr>
            <w:tcW w:w="0" w:type="auto"/>
            <w:shd w:val="clear" w:color="auto" w:fill="CCEEFF"/>
            <w:vAlign w:val="bottom"/>
            <w:hideMark/>
          </w:tcPr>
          <w:p w14:paraId="31A661E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707727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3BF80B2" w14:textId="77777777" w:rsidR="00000000" w:rsidRDefault="002F725F">
            <w:pPr>
              <w:jc w:val="right"/>
              <w:rPr>
                <w:rFonts w:eastAsia="Times New Roman"/>
                <w:sz w:val="20"/>
                <w:szCs w:val="20"/>
              </w:rPr>
            </w:pPr>
            <w:r>
              <w:rPr>
                <w:rFonts w:eastAsia="Times New Roman"/>
                <w:sz w:val="20"/>
                <w:szCs w:val="20"/>
              </w:rPr>
              <w:t>70</w:t>
            </w:r>
          </w:p>
        </w:tc>
        <w:tc>
          <w:tcPr>
            <w:tcW w:w="0" w:type="auto"/>
            <w:shd w:val="clear" w:color="auto" w:fill="CCEEFF"/>
            <w:vAlign w:val="bottom"/>
            <w:hideMark/>
          </w:tcPr>
          <w:p w14:paraId="74B9065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93594C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79A116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C9983CB" w14:textId="77777777" w:rsidR="00000000" w:rsidRDefault="002F725F">
            <w:pPr>
              <w:jc w:val="right"/>
              <w:rPr>
                <w:rFonts w:eastAsia="Times New Roman"/>
                <w:sz w:val="20"/>
                <w:szCs w:val="20"/>
              </w:rPr>
            </w:pPr>
            <w:r>
              <w:rPr>
                <w:rFonts w:eastAsia="Times New Roman"/>
                <w:sz w:val="20"/>
                <w:szCs w:val="20"/>
              </w:rPr>
              <w:t>0.1</w:t>
            </w:r>
          </w:p>
        </w:tc>
        <w:tc>
          <w:tcPr>
            <w:tcW w:w="0" w:type="auto"/>
            <w:shd w:val="clear" w:color="auto" w:fill="CCEEFF"/>
            <w:vAlign w:val="bottom"/>
            <w:hideMark/>
          </w:tcPr>
          <w:p w14:paraId="7861B62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7959A8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1554AD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023E261" w14:textId="77777777" w:rsidR="00000000" w:rsidRDefault="002F725F">
            <w:pPr>
              <w:jc w:val="right"/>
              <w:rPr>
                <w:rFonts w:eastAsia="Times New Roman"/>
                <w:sz w:val="20"/>
                <w:szCs w:val="20"/>
              </w:rPr>
            </w:pPr>
            <w:r>
              <w:rPr>
                <w:rFonts w:eastAsia="Times New Roman"/>
                <w:sz w:val="20"/>
                <w:szCs w:val="20"/>
              </w:rPr>
              <w:t>(18</w:t>
            </w:r>
          </w:p>
        </w:tc>
        <w:tc>
          <w:tcPr>
            <w:tcW w:w="0" w:type="auto"/>
            <w:shd w:val="clear" w:color="auto" w:fill="CCEEFF"/>
            <w:vAlign w:val="bottom"/>
            <w:hideMark/>
          </w:tcPr>
          <w:p w14:paraId="5BB094C1"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2047911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4953B0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C064D11" w14:textId="77777777" w:rsidR="00000000" w:rsidRDefault="002F725F">
            <w:pPr>
              <w:jc w:val="right"/>
              <w:rPr>
                <w:rFonts w:eastAsia="Times New Roman"/>
                <w:sz w:val="20"/>
                <w:szCs w:val="20"/>
              </w:rPr>
            </w:pPr>
            <w:r>
              <w:rPr>
                <w:rFonts w:eastAsia="Times New Roman"/>
                <w:sz w:val="20"/>
                <w:szCs w:val="20"/>
              </w:rPr>
              <w:t>0.1</w:t>
            </w:r>
          </w:p>
        </w:tc>
        <w:tc>
          <w:tcPr>
            <w:tcW w:w="0" w:type="auto"/>
            <w:shd w:val="clear" w:color="auto" w:fill="CCEEFF"/>
            <w:vAlign w:val="bottom"/>
            <w:hideMark/>
          </w:tcPr>
          <w:p w14:paraId="38C750A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16D06F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EB0B00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B5D0FBF" w14:textId="77777777" w:rsidR="00000000" w:rsidRDefault="002F725F">
            <w:pPr>
              <w:jc w:val="right"/>
              <w:rPr>
                <w:rFonts w:eastAsia="Times New Roman"/>
                <w:sz w:val="20"/>
                <w:szCs w:val="20"/>
              </w:rPr>
            </w:pPr>
            <w:r>
              <w:rPr>
                <w:rFonts w:eastAsia="Times New Roman"/>
                <w:sz w:val="20"/>
                <w:szCs w:val="20"/>
              </w:rPr>
              <w:t>32,555</w:t>
            </w:r>
          </w:p>
        </w:tc>
        <w:tc>
          <w:tcPr>
            <w:tcW w:w="0" w:type="auto"/>
            <w:shd w:val="clear" w:color="auto" w:fill="CCEEFF"/>
            <w:vAlign w:val="bottom"/>
            <w:hideMark/>
          </w:tcPr>
          <w:p w14:paraId="7C31F61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3BBADA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202722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2E1433D" w14:textId="77777777" w:rsidR="00000000" w:rsidRDefault="002F725F">
            <w:pPr>
              <w:jc w:val="right"/>
              <w:rPr>
                <w:rFonts w:eastAsia="Times New Roman"/>
                <w:sz w:val="20"/>
                <w:szCs w:val="20"/>
              </w:rPr>
            </w:pPr>
            <w:r>
              <w:rPr>
                <w:rFonts w:eastAsia="Times New Roman"/>
                <w:sz w:val="20"/>
                <w:szCs w:val="20"/>
              </w:rPr>
              <w:t>46.8</w:t>
            </w:r>
          </w:p>
        </w:tc>
        <w:tc>
          <w:tcPr>
            <w:tcW w:w="0" w:type="auto"/>
            <w:shd w:val="clear" w:color="auto" w:fill="CCEEFF"/>
            <w:vAlign w:val="bottom"/>
            <w:hideMark/>
          </w:tcPr>
          <w:p w14:paraId="76DD60A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5D31E8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F45D0F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46E83FA" w14:textId="77777777" w:rsidR="00000000" w:rsidRDefault="002F725F">
            <w:pPr>
              <w:jc w:val="right"/>
              <w:rPr>
                <w:rFonts w:eastAsia="Times New Roman"/>
                <w:sz w:val="20"/>
                <w:szCs w:val="20"/>
              </w:rPr>
            </w:pPr>
            <w:r>
              <w:rPr>
                <w:rFonts w:eastAsia="Times New Roman"/>
                <w:sz w:val="20"/>
                <w:szCs w:val="20"/>
              </w:rPr>
              <w:t>(6,502</w:t>
            </w:r>
          </w:p>
        </w:tc>
        <w:tc>
          <w:tcPr>
            <w:tcW w:w="0" w:type="auto"/>
            <w:shd w:val="clear" w:color="auto" w:fill="CCEEFF"/>
            <w:vAlign w:val="bottom"/>
            <w:hideMark/>
          </w:tcPr>
          <w:p w14:paraId="3EC9C50B"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5D990BD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3671C1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5AD0C39" w14:textId="77777777" w:rsidR="00000000" w:rsidRDefault="002F725F">
            <w:pPr>
              <w:jc w:val="right"/>
              <w:rPr>
                <w:rFonts w:eastAsia="Times New Roman"/>
                <w:sz w:val="20"/>
                <w:szCs w:val="20"/>
              </w:rPr>
            </w:pPr>
            <w:r>
              <w:rPr>
                <w:rFonts w:eastAsia="Times New Roman"/>
                <w:sz w:val="20"/>
                <w:szCs w:val="20"/>
              </w:rPr>
              <w:t>46.8</w:t>
            </w:r>
          </w:p>
        </w:tc>
        <w:tc>
          <w:tcPr>
            <w:tcW w:w="0" w:type="auto"/>
            <w:shd w:val="clear" w:color="auto" w:fill="CCEEFF"/>
            <w:vAlign w:val="bottom"/>
            <w:hideMark/>
          </w:tcPr>
          <w:p w14:paraId="4ABAC232" w14:textId="77777777" w:rsidR="00000000" w:rsidRDefault="002F725F">
            <w:pPr>
              <w:rPr>
                <w:rFonts w:eastAsia="Times New Roman"/>
                <w:sz w:val="20"/>
                <w:szCs w:val="20"/>
              </w:rPr>
            </w:pPr>
            <w:r>
              <w:rPr>
                <w:rFonts w:eastAsia="Times New Roman"/>
                <w:sz w:val="20"/>
                <w:szCs w:val="20"/>
              </w:rPr>
              <w:t> </w:t>
            </w:r>
          </w:p>
        </w:tc>
      </w:tr>
      <w:tr w:rsidR="002F725F" w14:paraId="51101856" w14:textId="77777777">
        <w:trPr>
          <w:divId w:val="415980837"/>
        </w:trPr>
        <w:tc>
          <w:tcPr>
            <w:tcW w:w="0" w:type="auto"/>
            <w:shd w:val="clear" w:color="auto" w:fill="FFFFFF"/>
            <w:tcMar>
              <w:top w:w="0" w:type="dxa"/>
              <w:left w:w="180" w:type="dxa"/>
              <w:bottom w:w="0" w:type="dxa"/>
              <w:right w:w="0" w:type="dxa"/>
            </w:tcMar>
            <w:vAlign w:val="bottom"/>
            <w:hideMark/>
          </w:tcPr>
          <w:p w14:paraId="411E3064" w14:textId="77777777" w:rsidR="00000000" w:rsidRDefault="002F725F">
            <w:pPr>
              <w:ind w:hanging="180"/>
              <w:rPr>
                <w:rFonts w:eastAsia="Times New Roman"/>
                <w:sz w:val="20"/>
                <w:szCs w:val="20"/>
              </w:rPr>
            </w:pPr>
            <w:r>
              <w:rPr>
                <w:rFonts w:eastAsia="Times New Roman"/>
                <w:sz w:val="20"/>
                <w:szCs w:val="20"/>
              </w:rPr>
              <w:t>Oceanpine Investment</w:t>
            </w:r>
          </w:p>
        </w:tc>
        <w:tc>
          <w:tcPr>
            <w:tcW w:w="0" w:type="auto"/>
            <w:shd w:val="clear" w:color="auto" w:fill="FFFFFF"/>
            <w:vAlign w:val="bottom"/>
            <w:hideMark/>
          </w:tcPr>
          <w:p w14:paraId="3E3342D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F9936F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3DF3072" w14:textId="77777777" w:rsidR="00000000" w:rsidRDefault="002F725F">
            <w:pPr>
              <w:jc w:val="right"/>
              <w:rPr>
                <w:rFonts w:eastAsia="Times New Roman"/>
                <w:sz w:val="20"/>
                <w:szCs w:val="20"/>
              </w:rPr>
            </w:pPr>
            <w:r>
              <w:rPr>
                <w:rFonts w:eastAsia="Times New Roman"/>
                <w:sz w:val="20"/>
                <w:szCs w:val="20"/>
              </w:rPr>
              <w:t>693</w:t>
            </w:r>
          </w:p>
        </w:tc>
        <w:tc>
          <w:tcPr>
            <w:tcW w:w="0" w:type="auto"/>
            <w:shd w:val="clear" w:color="auto" w:fill="FFFFFF"/>
            <w:vAlign w:val="bottom"/>
            <w:hideMark/>
          </w:tcPr>
          <w:p w14:paraId="6452698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8A6E09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501FEE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89DCBA5" w14:textId="77777777" w:rsidR="00000000" w:rsidRDefault="002F725F">
            <w:pPr>
              <w:jc w:val="right"/>
              <w:rPr>
                <w:rFonts w:eastAsia="Times New Roman"/>
                <w:sz w:val="20"/>
                <w:szCs w:val="20"/>
              </w:rPr>
            </w:pPr>
            <w:r>
              <w:rPr>
                <w:rFonts w:eastAsia="Times New Roman"/>
                <w:sz w:val="20"/>
                <w:szCs w:val="20"/>
              </w:rPr>
              <w:t>1.0</w:t>
            </w:r>
          </w:p>
        </w:tc>
        <w:tc>
          <w:tcPr>
            <w:tcW w:w="0" w:type="auto"/>
            <w:shd w:val="clear" w:color="auto" w:fill="FFFFFF"/>
            <w:vAlign w:val="bottom"/>
            <w:hideMark/>
          </w:tcPr>
          <w:p w14:paraId="589A7B5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979AE5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C22FAC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4FA9734" w14:textId="77777777" w:rsidR="00000000" w:rsidRDefault="002F725F">
            <w:pPr>
              <w:jc w:val="right"/>
              <w:rPr>
                <w:rFonts w:eastAsia="Times New Roman"/>
                <w:sz w:val="20"/>
                <w:szCs w:val="20"/>
              </w:rPr>
            </w:pPr>
            <w:r>
              <w:rPr>
                <w:rFonts w:eastAsia="Times New Roman"/>
                <w:sz w:val="20"/>
                <w:szCs w:val="20"/>
              </w:rPr>
              <w:t>(138</w:t>
            </w:r>
          </w:p>
        </w:tc>
        <w:tc>
          <w:tcPr>
            <w:tcW w:w="0" w:type="auto"/>
            <w:shd w:val="clear" w:color="auto" w:fill="FFFFFF"/>
            <w:vAlign w:val="bottom"/>
            <w:hideMark/>
          </w:tcPr>
          <w:p w14:paraId="0C877E9C"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4510DC8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2E9B15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A451F36" w14:textId="77777777" w:rsidR="00000000" w:rsidRDefault="002F725F">
            <w:pPr>
              <w:jc w:val="right"/>
              <w:rPr>
                <w:rFonts w:eastAsia="Times New Roman"/>
                <w:sz w:val="20"/>
                <w:szCs w:val="20"/>
              </w:rPr>
            </w:pPr>
            <w:r>
              <w:rPr>
                <w:rFonts w:eastAsia="Times New Roman"/>
                <w:sz w:val="20"/>
                <w:szCs w:val="20"/>
              </w:rPr>
              <w:t>1.0</w:t>
            </w:r>
          </w:p>
        </w:tc>
        <w:tc>
          <w:tcPr>
            <w:tcW w:w="0" w:type="auto"/>
            <w:shd w:val="clear" w:color="auto" w:fill="FFFFFF"/>
            <w:vAlign w:val="bottom"/>
            <w:hideMark/>
          </w:tcPr>
          <w:p w14:paraId="58CB34D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6B69D8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6C62F3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C0D3AE7" w14:textId="77777777" w:rsidR="00000000" w:rsidRDefault="002F725F">
            <w:pPr>
              <w:jc w:val="right"/>
              <w:rPr>
                <w:rFonts w:eastAsia="Times New Roman"/>
                <w:sz w:val="20"/>
                <w:szCs w:val="20"/>
              </w:rPr>
            </w:pPr>
            <w:r>
              <w:rPr>
                <w:rFonts w:eastAsia="Times New Roman"/>
                <w:sz w:val="20"/>
                <w:szCs w:val="20"/>
              </w:rPr>
              <w:t>693</w:t>
            </w:r>
          </w:p>
        </w:tc>
        <w:tc>
          <w:tcPr>
            <w:tcW w:w="0" w:type="auto"/>
            <w:shd w:val="clear" w:color="auto" w:fill="FFFFFF"/>
            <w:vAlign w:val="bottom"/>
            <w:hideMark/>
          </w:tcPr>
          <w:p w14:paraId="42996A1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286BFD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67AF87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699F69E" w14:textId="77777777" w:rsidR="00000000" w:rsidRDefault="002F725F">
            <w:pPr>
              <w:jc w:val="right"/>
              <w:rPr>
                <w:rFonts w:eastAsia="Times New Roman"/>
                <w:sz w:val="20"/>
                <w:szCs w:val="20"/>
              </w:rPr>
            </w:pPr>
            <w:r>
              <w:rPr>
                <w:rFonts w:eastAsia="Times New Roman"/>
                <w:sz w:val="20"/>
                <w:szCs w:val="20"/>
              </w:rPr>
              <w:t>1.0</w:t>
            </w:r>
          </w:p>
        </w:tc>
        <w:tc>
          <w:tcPr>
            <w:tcW w:w="0" w:type="auto"/>
            <w:shd w:val="clear" w:color="auto" w:fill="FFFFFF"/>
            <w:vAlign w:val="bottom"/>
            <w:hideMark/>
          </w:tcPr>
          <w:p w14:paraId="1B96F6F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98E682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73F9AD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E249DD9" w14:textId="77777777" w:rsidR="00000000" w:rsidRDefault="002F725F">
            <w:pPr>
              <w:jc w:val="right"/>
              <w:rPr>
                <w:rFonts w:eastAsia="Times New Roman"/>
                <w:sz w:val="20"/>
                <w:szCs w:val="20"/>
              </w:rPr>
            </w:pPr>
            <w:r>
              <w:rPr>
                <w:rFonts w:eastAsia="Times New Roman"/>
                <w:sz w:val="20"/>
                <w:szCs w:val="20"/>
              </w:rPr>
              <w:t>(138</w:t>
            </w:r>
          </w:p>
        </w:tc>
        <w:tc>
          <w:tcPr>
            <w:tcW w:w="0" w:type="auto"/>
            <w:shd w:val="clear" w:color="auto" w:fill="FFFFFF"/>
            <w:vAlign w:val="bottom"/>
            <w:hideMark/>
          </w:tcPr>
          <w:p w14:paraId="7DC862F2"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0B88EB4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EB7DFE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F14C50F" w14:textId="77777777" w:rsidR="00000000" w:rsidRDefault="002F725F">
            <w:pPr>
              <w:jc w:val="right"/>
              <w:rPr>
                <w:rFonts w:eastAsia="Times New Roman"/>
                <w:sz w:val="20"/>
                <w:szCs w:val="20"/>
              </w:rPr>
            </w:pPr>
            <w:r>
              <w:rPr>
                <w:rFonts w:eastAsia="Times New Roman"/>
                <w:sz w:val="20"/>
                <w:szCs w:val="20"/>
              </w:rPr>
              <w:t>1.0</w:t>
            </w:r>
          </w:p>
        </w:tc>
        <w:tc>
          <w:tcPr>
            <w:tcW w:w="0" w:type="auto"/>
            <w:shd w:val="clear" w:color="auto" w:fill="FFFFFF"/>
            <w:vAlign w:val="bottom"/>
            <w:hideMark/>
          </w:tcPr>
          <w:p w14:paraId="2AD88FC4" w14:textId="77777777" w:rsidR="00000000" w:rsidRDefault="002F725F">
            <w:pPr>
              <w:rPr>
                <w:rFonts w:eastAsia="Times New Roman"/>
                <w:sz w:val="20"/>
                <w:szCs w:val="20"/>
              </w:rPr>
            </w:pPr>
            <w:r>
              <w:rPr>
                <w:rFonts w:eastAsia="Times New Roman"/>
                <w:sz w:val="20"/>
                <w:szCs w:val="20"/>
              </w:rPr>
              <w:t> </w:t>
            </w:r>
          </w:p>
        </w:tc>
      </w:tr>
      <w:tr w:rsidR="002F725F" w14:paraId="3EA6BA3C" w14:textId="77777777">
        <w:trPr>
          <w:divId w:val="415980837"/>
        </w:trPr>
        <w:tc>
          <w:tcPr>
            <w:tcW w:w="0" w:type="auto"/>
            <w:shd w:val="clear" w:color="auto" w:fill="CCEEFF"/>
            <w:tcMar>
              <w:top w:w="0" w:type="dxa"/>
              <w:left w:w="180" w:type="dxa"/>
              <w:bottom w:w="0" w:type="dxa"/>
              <w:right w:w="0" w:type="dxa"/>
            </w:tcMar>
            <w:vAlign w:val="bottom"/>
            <w:hideMark/>
          </w:tcPr>
          <w:p w14:paraId="718275AE" w14:textId="77777777" w:rsidR="00000000" w:rsidRDefault="002F725F">
            <w:pPr>
              <w:ind w:hanging="180"/>
              <w:rPr>
                <w:rFonts w:eastAsia="Times New Roman"/>
                <w:sz w:val="20"/>
                <w:szCs w:val="20"/>
              </w:rPr>
            </w:pPr>
            <w:r>
              <w:rPr>
                <w:rFonts w:eastAsia="Times New Roman"/>
                <w:sz w:val="20"/>
                <w:szCs w:val="20"/>
              </w:rPr>
              <w:t>Dave Liguang Chenn</w:t>
            </w:r>
          </w:p>
        </w:tc>
        <w:tc>
          <w:tcPr>
            <w:tcW w:w="0" w:type="auto"/>
            <w:shd w:val="clear" w:color="auto" w:fill="CCEEFF"/>
            <w:vAlign w:val="bottom"/>
            <w:hideMark/>
          </w:tcPr>
          <w:p w14:paraId="34E9774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B914AA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FE92E61" w14:textId="77777777" w:rsidR="00000000" w:rsidRDefault="002F725F">
            <w:pPr>
              <w:jc w:val="right"/>
              <w:rPr>
                <w:rFonts w:eastAsia="Times New Roman"/>
                <w:sz w:val="20"/>
                <w:szCs w:val="20"/>
              </w:rPr>
            </w:pPr>
            <w:r>
              <w:rPr>
                <w:rFonts w:eastAsia="Times New Roman"/>
                <w:sz w:val="20"/>
                <w:szCs w:val="20"/>
              </w:rPr>
              <w:t>766</w:t>
            </w:r>
          </w:p>
        </w:tc>
        <w:tc>
          <w:tcPr>
            <w:tcW w:w="0" w:type="auto"/>
            <w:shd w:val="clear" w:color="auto" w:fill="CCEEFF"/>
            <w:vAlign w:val="bottom"/>
            <w:hideMark/>
          </w:tcPr>
          <w:p w14:paraId="7FA4E6B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4343CD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30F0B3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32D908C" w14:textId="77777777" w:rsidR="00000000" w:rsidRDefault="002F725F">
            <w:pPr>
              <w:jc w:val="right"/>
              <w:rPr>
                <w:rFonts w:eastAsia="Times New Roman"/>
                <w:sz w:val="20"/>
                <w:szCs w:val="20"/>
              </w:rPr>
            </w:pPr>
            <w:r>
              <w:rPr>
                <w:rFonts w:eastAsia="Times New Roman"/>
                <w:sz w:val="20"/>
                <w:szCs w:val="20"/>
              </w:rPr>
              <w:t>1.1</w:t>
            </w:r>
          </w:p>
        </w:tc>
        <w:tc>
          <w:tcPr>
            <w:tcW w:w="0" w:type="auto"/>
            <w:shd w:val="clear" w:color="auto" w:fill="CCEEFF"/>
            <w:vAlign w:val="bottom"/>
            <w:hideMark/>
          </w:tcPr>
          <w:p w14:paraId="460F2FB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FA645B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8CC525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17FD8E8" w14:textId="77777777" w:rsidR="00000000" w:rsidRDefault="002F725F">
            <w:pPr>
              <w:jc w:val="right"/>
              <w:rPr>
                <w:rFonts w:eastAsia="Times New Roman"/>
                <w:sz w:val="20"/>
                <w:szCs w:val="20"/>
              </w:rPr>
            </w:pPr>
            <w:r>
              <w:rPr>
                <w:rFonts w:eastAsia="Times New Roman"/>
                <w:sz w:val="20"/>
                <w:szCs w:val="20"/>
              </w:rPr>
              <w:t>(156</w:t>
            </w:r>
          </w:p>
        </w:tc>
        <w:tc>
          <w:tcPr>
            <w:tcW w:w="0" w:type="auto"/>
            <w:shd w:val="clear" w:color="auto" w:fill="CCEEFF"/>
            <w:vAlign w:val="bottom"/>
            <w:hideMark/>
          </w:tcPr>
          <w:p w14:paraId="70B0F513"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4FB6CDF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308648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40498A8" w14:textId="77777777" w:rsidR="00000000" w:rsidRDefault="002F725F">
            <w:pPr>
              <w:jc w:val="right"/>
              <w:rPr>
                <w:rFonts w:eastAsia="Times New Roman"/>
                <w:sz w:val="20"/>
                <w:szCs w:val="20"/>
              </w:rPr>
            </w:pPr>
            <w:r>
              <w:rPr>
                <w:rFonts w:eastAsia="Times New Roman"/>
                <w:sz w:val="20"/>
                <w:szCs w:val="20"/>
              </w:rPr>
              <w:t>1.1</w:t>
            </w:r>
          </w:p>
        </w:tc>
        <w:tc>
          <w:tcPr>
            <w:tcW w:w="0" w:type="auto"/>
            <w:shd w:val="clear" w:color="auto" w:fill="CCEEFF"/>
            <w:vAlign w:val="bottom"/>
            <w:hideMark/>
          </w:tcPr>
          <w:p w14:paraId="1F613F2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0C1422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114348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F2FEED8" w14:textId="77777777" w:rsidR="00000000" w:rsidRDefault="002F725F">
            <w:pPr>
              <w:jc w:val="right"/>
              <w:rPr>
                <w:rFonts w:eastAsia="Times New Roman"/>
                <w:sz w:val="20"/>
                <w:szCs w:val="20"/>
              </w:rPr>
            </w:pPr>
            <w:r>
              <w:rPr>
                <w:rFonts w:eastAsia="Times New Roman"/>
                <w:sz w:val="20"/>
                <w:szCs w:val="20"/>
              </w:rPr>
              <w:t>33,248</w:t>
            </w:r>
          </w:p>
        </w:tc>
        <w:tc>
          <w:tcPr>
            <w:tcW w:w="0" w:type="auto"/>
            <w:shd w:val="clear" w:color="auto" w:fill="CCEEFF"/>
            <w:vAlign w:val="bottom"/>
            <w:hideMark/>
          </w:tcPr>
          <w:p w14:paraId="2CEA991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F0062F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CE1ACD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8B0B1C3" w14:textId="77777777" w:rsidR="00000000" w:rsidRDefault="002F725F">
            <w:pPr>
              <w:jc w:val="right"/>
              <w:rPr>
                <w:rFonts w:eastAsia="Times New Roman"/>
                <w:sz w:val="20"/>
                <w:szCs w:val="20"/>
              </w:rPr>
            </w:pPr>
            <w:r>
              <w:rPr>
                <w:rFonts w:eastAsia="Times New Roman"/>
                <w:sz w:val="20"/>
                <w:szCs w:val="20"/>
              </w:rPr>
              <w:t>47.8</w:t>
            </w:r>
          </w:p>
        </w:tc>
        <w:tc>
          <w:tcPr>
            <w:tcW w:w="0" w:type="auto"/>
            <w:shd w:val="clear" w:color="auto" w:fill="CCEEFF"/>
            <w:vAlign w:val="bottom"/>
            <w:hideMark/>
          </w:tcPr>
          <w:p w14:paraId="3DA050C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A47619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F78D24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926B1A6" w14:textId="77777777" w:rsidR="00000000" w:rsidRDefault="002F725F">
            <w:pPr>
              <w:jc w:val="right"/>
              <w:rPr>
                <w:rFonts w:eastAsia="Times New Roman"/>
                <w:sz w:val="20"/>
                <w:szCs w:val="20"/>
              </w:rPr>
            </w:pPr>
            <w:r>
              <w:rPr>
                <w:rFonts w:eastAsia="Times New Roman"/>
                <w:sz w:val="20"/>
                <w:szCs w:val="20"/>
              </w:rPr>
              <w:t>(6,640</w:t>
            </w:r>
          </w:p>
        </w:tc>
        <w:tc>
          <w:tcPr>
            <w:tcW w:w="0" w:type="auto"/>
            <w:shd w:val="clear" w:color="auto" w:fill="CCEEFF"/>
            <w:vAlign w:val="bottom"/>
            <w:hideMark/>
          </w:tcPr>
          <w:p w14:paraId="6C7A0352"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1FDE4EB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E7E619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1722CDA" w14:textId="77777777" w:rsidR="00000000" w:rsidRDefault="002F725F">
            <w:pPr>
              <w:jc w:val="right"/>
              <w:rPr>
                <w:rFonts w:eastAsia="Times New Roman"/>
                <w:sz w:val="20"/>
                <w:szCs w:val="20"/>
              </w:rPr>
            </w:pPr>
            <w:r>
              <w:rPr>
                <w:rFonts w:eastAsia="Times New Roman"/>
                <w:sz w:val="20"/>
                <w:szCs w:val="20"/>
              </w:rPr>
              <w:t>47.8</w:t>
            </w:r>
          </w:p>
        </w:tc>
        <w:tc>
          <w:tcPr>
            <w:tcW w:w="0" w:type="auto"/>
            <w:shd w:val="clear" w:color="auto" w:fill="CCEEFF"/>
            <w:vAlign w:val="bottom"/>
            <w:hideMark/>
          </w:tcPr>
          <w:p w14:paraId="542F88FA" w14:textId="77777777" w:rsidR="00000000" w:rsidRDefault="002F725F">
            <w:pPr>
              <w:rPr>
                <w:rFonts w:eastAsia="Times New Roman"/>
                <w:sz w:val="20"/>
                <w:szCs w:val="20"/>
              </w:rPr>
            </w:pPr>
            <w:r>
              <w:rPr>
                <w:rFonts w:eastAsia="Times New Roman"/>
                <w:sz w:val="20"/>
                <w:szCs w:val="20"/>
              </w:rPr>
              <w:t> </w:t>
            </w:r>
          </w:p>
        </w:tc>
      </w:tr>
      <w:tr w:rsidR="002F725F" w14:paraId="26695E06" w14:textId="77777777">
        <w:trPr>
          <w:divId w:val="415980837"/>
        </w:trPr>
        <w:tc>
          <w:tcPr>
            <w:tcW w:w="0" w:type="auto"/>
            <w:shd w:val="clear" w:color="auto" w:fill="FFFFFF"/>
            <w:tcMar>
              <w:top w:w="0" w:type="dxa"/>
              <w:left w:w="180" w:type="dxa"/>
              <w:bottom w:w="0" w:type="dxa"/>
              <w:right w:w="0" w:type="dxa"/>
            </w:tcMar>
            <w:vAlign w:val="bottom"/>
            <w:hideMark/>
          </w:tcPr>
          <w:p w14:paraId="1D435A5A" w14:textId="77777777" w:rsidR="00000000" w:rsidRDefault="002F725F">
            <w:pPr>
              <w:ind w:hanging="180"/>
              <w:rPr>
                <w:rFonts w:eastAsia="Times New Roman"/>
                <w:sz w:val="20"/>
                <w:szCs w:val="20"/>
              </w:rPr>
            </w:pPr>
            <w:r>
              <w:rPr>
                <w:rFonts w:eastAsia="Times New Roman"/>
                <w:sz w:val="20"/>
                <w:szCs w:val="20"/>
              </w:rPr>
              <w:t>Crystal Peak</w:t>
            </w:r>
          </w:p>
        </w:tc>
        <w:tc>
          <w:tcPr>
            <w:tcW w:w="0" w:type="auto"/>
            <w:shd w:val="clear" w:color="auto" w:fill="FFFFFF"/>
            <w:vAlign w:val="bottom"/>
            <w:hideMark/>
          </w:tcPr>
          <w:p w14:paraId="3BEDFE4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440732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78EBA6C" w14:textId="77777777" w:rsidR="00000000" w:rsidRDefault="002F725F">
            <w:pPr>
              <w:jc w:val="right"/>
              <w:rPr>
                <w:rFonts w:eastAsia="Times New Roman"/>
                <w:sz w:val="20"/>
                <w:szCs w:val="20"/>
              </w:rPr>
            </w:pPr>
            <w:r>
              <w:rPr>
                <w:rFonts w:eastAsia="Times New Roman"/>
                <w:sz w:val="20"/>
                <w:szCs w:val="20"/>
              </w:rPr>
              <w:t>35,501</w:t>
            </w:r>
          </w:p>
        </w:tc>
        <w:tc>
          <w:tcPr>
            <w:tcW w:w="0" w:type="auto"/>
            <w:shd w:val="clear" w:color="auto" w:fill="FFFFFF"/>
            <w:vAlign w:val="bottom"/>
            <w:hideMark/>
          </w:tcPr>
          <w:p w14:paraId="2992828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4A523F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E62A9A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A13588A"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FFFFFF"/>
            <w:vAlign w:val="bottom"/>
            <w:hideMark/>
          </w:tcPr>
          <w:p w14:paraId="43387D2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9250A0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CFF248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3295BC1" w14:textId="77777777" w:rsidR="00000000" w:rsidRDefault="002F725F">
            <w:pPr>
              <w:jc w:val="right"/>
              <w:rPr>
                <w:rFonts w:eastAsia="Times New Roman"/>
                <w:sz w:val="20"/>
                <w:szCs w:val="20"/>
              </w:rPr>
            </w:pPr>
            <w:r>
              <w:rPr>
                <w:rFonts w:eastAsia="Times New Roman"/>
                <w:sz w:val="20"/>
                <w:szCs w:val="20"/>
              </w:rPr>
              <w:t>(7,090</w:t>
            </w:r>
          </w:p>
        </w:tc>
        <w:tc>
          <w:tcPr>
            <w:tcW w:w="0" w:type="auto"/>
            <w:shd w:val="clear" w:color="auto" w:fill="FFFFFF"/>
            <w:vAlign w:val="bottom"/>
            <w:hideMark/>
          </w:tcPr>
          <w:p w14:paraId="14B1FFF7"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0BB55C2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79D319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48342A4"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FFFFFF"/>
            <w:vAlign w:val="bottom"/>
            <w:hideMark/>
          </w:tcPr>
          <w:p w14:paraId="6AA08BE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C2426B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1EDEF6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0053F39" w14:textId="77777777" w:rsidR="00000000" w:rsidRDefault="002F725F">
            <w:pPr>
              <w:jc w:val="right"/>
              <w:rPr>
                <w:rFonts w:eastAsia="Times New Roman"/>
                <w:sz w:val="20"/>
                <w:szCs w:val="20"/>
              </w:rPr>
            </w:pPr>
            <w:r>
              <w:rPr>
                <w:rFonts w:eastAsia="Times New Roman"/>
                <w:sz w:val="20"/>
                <w:szCs w:val="20"/>
              </w:rPr>
              <w:t>35,501</w:t>
            </w:r>
          </w:p>
        </w:tc>
        <w:tc>
          <w:tcPr>
            <w:tcW w:w="0" w:type="auto"/>
            <w:shd w:val="clear" w:color="auto" w:fill="FFFFFF"/>
            <w:vAlign w:val="bottom"/>
            <w:hideMark/>
          </w:tcPr>
          <w:p w14:paraId="04571F2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D53543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0D39B0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0EF2079"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FFFFFF"/>
            <w:vAlign w:val="bottom"/>
            <w:hideMark/>
          </w:tcPr>
          <w:p w14:paraId="20BDC65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B6F696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C2B4DD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45503A5" w14:textId="77777777" w:rsidR="00000000" w:rsidRDefault="002F725F">
            <w:pPr>
              <w:jc w:val="right"/>
              <w:rPr>
                <w:rFonts w:eastAsia="Times New Roman"/>
                <w:sz w:val="20"/>
                <w:szCs w:val="20"/>
              </w:rPr>
            </w:pPr>
            <w:r>
              <w:rPr>
                <w:rFonts w:eastAsia="Times New Roman"/>
                <w:sz w:val="20"/>
                <w:szCs w:val="20"/>
              </w:rPr>
              <w:t>(7,090</w:t>
            </w:r>
          </w:p>
        </w:tc>
        <w:tc>
          <w:tcPr>
            <w:tcW w:w="0" w:type="auto"/>
            <w:shd w:val="clear" w:color="auto" w:fill="FFFFFF"/>
            <w:vAlign w:val="bottom"/>
            <w:hideMark/>
          </w:tcPr>
          <w:p w14:paraId="5C79BE1C"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457F2AF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AA003B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7BAA5D2"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FFFFFF"/>
            <w:vAlign w:val="bottom"/>
            <w:hideMark/>
          </w:tcPr>
          <w:p w14:paraId="3E78412E" w14:textId="77777777" w:rsidR="00000000" w:rsidRDefault="002F725F">
            <w:pPr>
              <w:rPr>
                <w:rFonts w:eastAsia="Times New Roman"/>
                <w:sz w:val="20"/>
                <w:szCs w:val="20"/>
              </w:rPr>
            </w:pPr>
            <w:r>
              <w:rPr>
                <w:rFonts w:eastAsia="Times New Roman"/>
                <w:sz w:val="20"/>
                <w:szCs w:val="20"/>
              </w:rPr>
              <w:t> </w:t>
            </w:r>
          </w:p>
        </w:tc>
      </w:tr>
      <w:tr w:rsidR="002F725F" w14:paraId="529244DB" w14:textId="77777777">
        <w:trPr>
          <w:divId w:val="415980837"/>
        </w:trPr>
        <w:tc>
          <w:tcPr>
            <w:tcW w:w="0" w:type="auto"/>
            <w:shd w:val="clear" w:color="auto" w:fill="CCEEFF"/>
            <w:tcMar>
              <w:top w:w="0" w:type="dxa"/>
              <w:left w:w="180" w:type="dxa"/>
              <w:bottom w:w="0" w:type="dxa"/>
              <w:right w:w="0" w:type="dxa"/>
            </w:tcMar>
            <w:vAlign w:val="bottom"/>
            <w:hideMark/>
          </w:tcPr>
          <w:p w14:paraId="3348DDA1" w14:textId="77777777" w:rsidR="00000000" w:rsidRDefault="002F725F">
            <w:pPr>
              <w:ind w:hanging="180"/>
              <w:rPr>
                <w:rFonts w:eastAsia="Times New Roman"/>
                <w:sz w:val="20"/>
                <w:szCs w:val="20"/>
              </w:rPr>
            </w:pPr>
            <w:r>
              <w:rPr>
                <w:rFonts w:eastAsia="Times New Roman"/>
                <w:sz w:val="20"/>
                <w:szCs w:val="20"/>
              </w:rPr>
              <w:t>Crystal Holdings</w:t>
            </w:r>
          </w:p>
        </w:tc>
        <w:tc>
          <w:tcPr>
            <w:tcW w:w="0" w:type="auto"/>
            <w:shd w:val="clear" w:color="auto" w:fill="CCEEFF"/>
            <w:vAlign w:val="bottom"/>
            <w:hideMark/>
          </w:tcPr>
          <w:p w14:paraId="0D6B2DF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3CF840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B098AFD" w14:textId="77777777" w:rsidR="00000000" w:rsidRDefault="002F725F">
            <w:pPr>
              <w:jc w:val="right"/>
              <w:rPr>
                <w:rFonts w:eastAsia="Times New Roman"/>
                <w:sz w:val="20"/>
                <w:szCs w:val="20"/>
              </w:rPr>
            </w:pPr>
            <w:r>
              <w:rPr>
                <w:rFonts w:eastAsia="Times New Roman"/>
                <w:sz w:val="20"/>
                <w:szCs w:val="20"/>
              </w:rPr>
              <w:t>35,501</w:t>
            </w:r>
          </w:p>
        </w:tc>
        <w:tc>
          <w:tcPr>
            <w:tcW w:w="0" w:type="auto"/>
            <w:shd w:val="clear" w:color="auto" w:fill="CCEEFF"/>
            <w:vAlign w:val="bottom"/>
            <w:hideMark/>
          </w:tcPr>
          <w:p w14:paraId="2825E27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06D4E1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C5A7D7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68AEF6F"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CCEEFF"/>
            <w:vAlign w:val="bottom"/>
            <w:hideMark/>
          </w:tcPr>
          <w:p w14:paraId="1B101C3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41727D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761713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0408D8B" w14:textId="77777777" w:rsidR="00000000" w:rsidRDefault="002F725F">
            <w:pPr>
              <w:jc w:val="right"/>
              <w:rPr>
                <w:rFonts w:eastAsia="Times New Roman"/>
                <w:sz w:val="20"/>
                <w:szCs w:val="20"/>
              </w:rPr>
            </w:pPr>
            <w:r>
              <w:rPr>
                <w:rFonts w:eastAsia="Times New Roman"/>
                <w:sz w:val="20"/>
                <w:szCs w:val="20"/>
              </w:rPr>
              <w:t>(7,090</w:t>
            </w:r>
          </w:p>
        </w:tc>
        <w:tc>
          <w:tcPr>
            <w:tcW w:w="0" w:type="auto"/>
            <w:shd w:val="clear" w:color="auto" w:fill="CCEEFF"/>
            <w:vAlign w:val="bottom"/>
            <w:hideMark/>
          </w:tcPr>
          <w:p w14:paraId="1782C313"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0E825E8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A707A5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8114E25"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CCEEFF"/>
            <w:vAlign w:val="bottom"/>
            <w:hideMark/>
          </w:tcPr>
          <w:p w14:paraId="1AEF975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48CC8E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80434E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46DC2C1" w14:textId="77777777" w:rsidR="00000000" w:rsidRDefault="002F725F">
            <w:pPr>
              <w:jc w:val="right"/>
              <w:rPr>
                <w:rFonts w:eastAsia="Times New Roman"/>
                <w:sz w:val="20"/>
                <w:szCs w:val="20"/>
              </w:rPr>
            </w:pPr>
            <w:r>
              <w:rPr>
                <w:rFonts w:eastAsia="Times New Roman"/>
                <w:sz w:val="20"/>
                <w:szCs w:val="20"/>
              </w:rPr>
              <w:t>35,501</w:t>
            </w:r>
          </w:p>
        </w:tc>
        <w:tc>
          <w:tcPr>
            <w:tcW w:w="0" w:type="auto"/>
            <w:shd w:val="clear" w:color="auto" w:fill="CCEEFF"/>
            <w:vAlign w:val="bottom"/>
            <w:hideMark/>
          </w:tcPr>
          <w:p w14:paraId="71D53B3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C4E2D7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E32D86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FA53E75"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CCEEFF"/>
            <w:vAlign w:val="bottom"/>
            <w:hideMark/>
          </w:tcPr>
          <w:p w14:paraId="015A1AB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8BEF2C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075C85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1948302" w14:textId="77777777" w:rsidR="00000000" w:rsidRDefault="002F725F">
            <w:pPr>
              <w:jc w:val="right"/>
              <w:rPr>
                <w:rFonts w:eastAsia="Times New Roman"/>
                <w:sz w:val="20"/>
                <w:szCs w:val="20"/>
              </w:rPr>
            </w:pPr>
            <w:r>
              <w:rPr>
                <w:rFonts w:eastAsia="Times New Roman"/>
                <w:sz w:val="20"/>
                <w:szCs w:val="20"/>
              </w:rPr>
              <w:t>(7,090</w:t>
            </w:r>
          </w:p>
        </w:tc>
        <w:tc>
          <w:tcPr>
            <w:tcW w:w="0" w:type="auto"/>
            <w:shd w:val="clear" w:color="auto" w:fill="CCEEFF"/>
            <w:vAlign w:val="bottom"/>
            <w:hideMark/>
          </w:tcPr>
          <w:p w14:paraId="4972BACB"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5174DA2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AE122C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9FF9FED"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CCEEFF"/>
            <w:vAlign w:val="bottom"/>
            <w:hideMark/>
          </w:tcPr>
          <w:p w14:paraId="5EA7486C" w14:textId="77777777" w:rsidR="00000000" w:rsidRDefault="002F725F">
            <w:pPr>
              <w:rPr>
                <w:rFonts w:eastAsia="Times New Roman"/>
                <w:sz w:val="20"/>
                <w:szCs w:val="20"/>
              </w:rPr>
            </w:pPr>
            <w:r>
              <w:rPr>
                <w:rFonts w:eastAsia="Times New Roman"/>
                <w:sz w:val="20"/>
                <w:szCs w:val="20"/>
              </w:rPr>
              <w:t> </w:t>
            </w:r>
          </w:p>
        </w:tc>
      </w:tr>
      <w:tr w:rsidR="002F725F" w14:paraId="6E091C09" w14:textId="77777777">
        <w:trPr>
          <w:divId w:val="415980837"/>
        </w:trPr>
        <w:tc>
          <w:tcPr>
            <w:tcW w:w="0" w:type="auto"/>
            <w:shd w:val="clear" w:color="auto" w:fill="FFFFFF"/>
            <w:tcMar>
              <w:top w:w="0" w:type="dxa"/>
              <w:left w:w="180" w:type="dxa"/>
              <w:bottom w:w="0" w:type="dxa"/>
              <w:right w:w="0" w:type="dxa"/>
            </w:tcMar>
            <w:vAlign w:val="bottom"/>
            <w:hideMark/>
          </w:tcPr>
          <w:p w14:paraId="5068556E" w14:textId="77777777" w:rsidR="00000000" w:rsidRDefault="002F725F">
            <w:pPr>
              <w:ind w:hanging="180"/>
              <w:rPr>
                <w:rFonts w:eastAsia="Times New Roman"/>
                <w:sz w:val="20"/>
                <w:szCs w:val="20"/>
              </w:rPr>
            </w:pPr>
            <w:r>
              <w:rPr>
                <w:rFonts w:eastAsia="Times New Roman"/>
                <w:sz w:val="20"/>
                <w:szCs w:val="20"/>
              </w:rPr>
              <w:t>Huaqin Xue</w:t>
            </w:r>
          </w:p>
        </w:tc>
        <w:tc>
          <w:tcPr>
            <w:tcW w:w="0" w:type="auto"/>
            <w:shd w:val="clear" w:color="auto" w:fill="FFFFFF"/>
            <w:vAlign w:val="bottom"/>
            <w:hideMark/>
          </w:tcPr>
          <w:p w14:paraId="4DA24EE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6BABE8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52B1DA0" w14:textId="77777777" w:rsidR="00000000" w:rsidRDefault="002F725F">
            <w:pPr>
              <w:jc w:val="right"/>
              <w:rPr>
                <w:rFonts w:eastAsia="Times New Roman"/>
                <w:sz w:val="20"/>
                <w:szCs w:val="20"/>
              </w:rPr>
            </w:pPr>
            <w:r>
              <w:rPr>
                <w:rFonts w:eastAsia="Times New Roman"/>
                <w:sz w:val="20"/>
                <w:szCs w:val="20"/>
              </w:rPr>
              <w:t>35,501</w:t>
            </w:r>
          </w:p>
        </w:tc>
        <w:tc>
          <w:tcPr>
            <w:tcW w:w="0" w:type="auto"/>
            <w:shd w:val="clear" w:color="auto" w:fill="FFFFFF"/>
            <w:vAlign w:val="bottom"/>
            <w:hideMark/>
          </w:tcPr>
          <w:p w14:paraId="021C56E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43E6BE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9BD64A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1CBBB01"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FFFFFF"/>
            <w:vAlign w:val="bottom"/>
            <w:hideMark/>
          </w:tcPr>
          <w:p w14:paraId="6FD1E8C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2DB3AA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F672E1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460962F" w14:textId="77777777" w:rsidR="00000000" w:rsidRDefault="002F725F">
            <w:pPr>
              <w:jc w:val="right"/>
              <w:rPr>
                <w:rFonts w:eastAsia="Times New Roman"/>
                <w:sz w:val="20"/>
                <w:szCs w:val="20"/>
              </w:rPr>
            </w:pPr>
            <w:r>
              <w:rPr>
                <w:rFonts w:eastAsia="Times New Roman"/>
                <w:sz w:val="20"/>
                <w:szCs w:val="20"/>
              </w:rPr>
              <w:t>(7,090</w:t>
            </w:r>
          </w:p>
        </w:tc>
        <w:tc>
          <w:tcPr>
            <w:tcW w:w="0" w:type="auto"/>
            <w:shd w:val="clear" w:color="auto" w:fill="FFFFFF"/>
            <w:vAlign w:val="bottom"/>
            <w:hideMark/>
          </w:tcPr>
          <w:p w14:paraId="086E2A6C"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055E1E3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6B9170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5B5C14A"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FFFFFF"/>
            <w:vAlign w:val="bottom"/>
            <w:hideMark/>
          </w:tcPr>
          <w:p w14:paraId="28C4E18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40C502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76CDCA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6593094" w14:textId="77777777" w:rsidR="00000000" w:rsidRDefault="002F725F">
            <w:pPr>
              <w:jc w:val="right"/>
              <w:rPr>
                <w:rFonts w:eastAsia="Times New Roman"/>
                <w:sz w:val="20"/>
                <w:szCs w:val="20"/>
              </w:rPr>
            </w:pPr>
            <w:r>
              <w:rPr>
                <w:rFonts w:eastAsia="Times New Roman"/>
                <w:sz w:val="20"/>
                <w:szCs w:val="20"/>
              </w:rPr>
              <w:t>35,501</w:t>
            </w:r>
          </w:p>
        </w:tc>
        <w:tc>
          <w:tcPr>
            <w:tcW w:w="0" w:type="auto"/>
            <w:shd w:val="clear" w:color="auto" w:fill="FFFFFF"/>
            <w:vAlign w:val="bottom"/>
            <w:hideMark/>
          </w:tcPr>
          <w:p w14:paraId="56A9960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2ED528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584B40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EFC45D7"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FFFFFF"/>
            <w:vAlign w:val="bottom"/>
            <w:hideMark/>
          </w:tcPr>
          <w:p w14:paraId="5F10314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B3E770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66967B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4BDA4D6" w14:textId="77777777" w:rsidR="00000000" w:rsidRDefault="002F725F">
            <w:pPr>
              <w:jc w:val="right"/>
              <w:rPr>
                <w:rFonts w:eastAsia="Times New Roman"/>
                <w:sz w:val="20"/>
                <w:szCs w:val="20"/>
              </w:rPr>
            </w:pPr>
            <w:r>
              <w:rPr>
                <w:rFonts w:eastAsia="Times New Roman"/>
                <w:sz w:val="20"/>
                <w:szCs w:val="20"/>
              </w:rPr>
              <w:t>(7,090</w:t>
            </w:r>
          </w:p>
        </w:tc>
        <w:tc>
          <w:tcPr>
            <w:tcW w:w="0" w:type="auto"/>
            <w:shd w:val="clear" w:color="auto" w:fill="FFFFFF"/>
            <w:vAlign w:val="bottom"/>
            <w:hideMark/>
          </w:tcPr>
          <w:p w14:paraId="3A69843A"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7D0280C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4135F1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6338E28"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FFFFFF"/>
            <w:vAlign w:val="bottom"/>
            <w:hideMark/>
          </w:tcPr>
          <w:p w14:paraId="12E17318" w14:textId="77777777" w:rsidR="00000000" w:rsidRDefault="002F725F">
            <w:pPr>
              <w:rPr>
                <w:rFonts w:eastAsia="Times New Roman"/>
                <w:sz w:val="20"/>
                <w:szCs w:val="20"/>
              </w:rPr>
            </w:pPr>
            <w:r>
              <w:rPr>
                <w:rFonts w:eastAsia="Times New Roman"/>
                <w:sz w:val="20"/>
                <w:szCs w:val="20"/>
              </w:rPr>
              <w:t> </w:t>
            </w:r>
          </w:p>
        </w:tc>
      </w:tr>
      <w:tr w:rsidR="002F725F" w14:paraId="62E58527" w14:textId="77777777">
        <w:trPr>
          <w:divId w:val="415980837"/>
        </w:trPr>
        <w:tc>
          <w:tcPr>
            <w:tcW w:w="0" w:type="auto"/>
            <w:shd w:val="clear" w:color="auto" w:fill="CCEEFF"/>
            <w:tcMar>
              <w:top w:w="0" w:type="dxa"/>
              <w:left w:w="180" w:type="dxa"/>
              <w:bottom w:w="0" w:type="dxa"/>
              <w:right w:w="0" w:type="dxa"/>
            </w:tcMar>
            <w:vAlign w:val="bottom"/>
            <w:hideMark/>
          </w:tcPr>
          <w:p w14:paraId="6E856793" w14:textId="77777777" w:rsidR="00000000" w:rsidRDefault="002F725F">
            <w:pPr>
              <w:ind w:hanging="180"/>
              <w:rPr>
                <w:rFonts w:eastAsia="Times New Roman"/>
                <w:sz w:val="20"/>
                <w:szCs w:val="20"/>
              </w:rPr>
            </w:pPr>
            <w:r>
              <w:rPr>
                <w:rFonts w:eastAsia="Times New Roman"/>
                <w:sz w:val="20"/>
                <w:szCs w:val="20"/>
              </w:rPr>
              <w:t>Other Rollover Shareholders</w:t>
            </w:r>
          </w:p>
        </w:tc>
        <w:tc>
          <w:tcPr>
            <w:tcW w:w="0" w:type="auto"/>
            <w:shd w:val="clear" w:color="auto" w:fill="CCEEFF"/>
            <w:vAlign w:val="bottom"/>
            <w:hideMark/>
          </w:tcPr>
          <w:p w14:paraId="0EE3583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2BCA39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9DC3DEE" w14:textId="77777777" w:rsidR="00000000" w:rsidRDefault="002F725F">
            <w:pPr>
              <w:jc w:val="right"/>
              <w:rPr>
                <w:rFonts w:eastAsia="Times New Roman"/>
                <w:sz w:val="20"/>
                <w:szCs w:val="20"/>
              </w:rPr>
            </w:pPr>
            <w:r>
              <w:rPr>
                <w:rFonts w:eastAsia="Times New Roman"/>
                <w:sz w:val="20"/>
                <w:szCs w:val="20"/>
              </w:rPr>
              <w:t>851</w:t>
            </w:r>
          </w:p>
        </w:tc>
        <w:tc>
          <w:tcPr>
            <w:tcW w:w="0" w:type="auto"/>
            <w:shd w:val="clear" w:color="auto" w:fill="CCEEFF"/>
            <w:vAlign w:val="bottom"/>
            <w:hideMark/>
          </w:tcPr>
          <w:p w14:paraId="7140B32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A256A8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875BAC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78C35EC" w14:textId="77777777" w:rsidR="00000000" w:rsidRDefault="002F725F">
            <w:pPr>
              <w:jc w:val="right"/>
              <w:rPr>
                <w:rFonts w:eastAsia="Times New Roman"/>
                <w:sz w:val="20"/>
                <w:szCs w:val="20"/>
              </w:rPr>
            </w:pPr>
            <w:r>
              <w:rPr>
                <w:rFonts w:eastAsia="Times New Roman"/>
                <w:sz w:val="20"/>
                <w:szCs w:val="20"/>
              </w:rPr>
              <w:t>1.2</w:t>
            </w:r>
          </w:p>
        </w:tc>
        <w:tc>
          <w:tcPr>
            <w:tcW w:w="0" w:type="auto"/>
            <w:shd w:val="clear" w:color="auto" w:fill="CCEEFF"/>
            <w:vAlign w:val="bottom"/>
            <w:hideMark/>
          </w:tcPr>
          <w:p w14:paraId="28FD645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BFF53F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D4610D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3FFD7B9" w14:textId="77777777" w:rsidR="00000000" w:rsidRDefault="002F725F">
            <w:pPr>
              <w:jc w:val="right"/>
              <w:rPr>
                <w:rFonts w:eastAsia="Times New Roman"/>
                <w:sz w:val="20"/>
                <w:szCs w:val="20"/>
              </w:rPr>
            </w:pPr>
            <w:r>
              <w:rPr>
                <w:rFonts w:eastAsia="Times New Roman"/>
                <w:sz w:val="20"/>
                <w:szCs w:val="20"/>
              </w:rPr>
              <w:t>(170</w:t>
            </w:r>
          </w:p>
        </w:tc>
        <w:tc>
          <w:tcPr>
            <w:tcW w:w="0" w:type="auto"/>
            <w:shd w:val="clear" w:color="auto" w:fill="CCEEFF"/>
            <w:vAlign w:val="bottom"/>
            <w:hideMark/>
          </w:tcPr>
          <w:p w14:paraId="3903BE15"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5F9FF86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70A74C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72E771F" w14:textId="77777777" w:rsidR="00000000" w:rsidRDefault="002F725F">
            <w:pPr>
              <w:jc w:val="right"/>
              <w:rPr>
                <w:rFonts w:eastAsia="Times New Roman"/>
                <w:sz w:val="20"/>
                <w:szCs w:val="20"/>
              </w:rPr>
            </w:pPr>
            <w:r>
              <w:rPr>
                <w:rFonts w:eastAsia="Times New Roman"/>
                <w:sz w:val="20"/>
                <w:szCs w:val="20"/>
              </w:rPr>
              <w:t>1.2</w:t>
            </w:r>
          </w:p>
        </w:tc>
        <w:tc>
          <w:tcPr>
            <w:tcW w:w="0" w:type="auto"/>
            <w:shd w:val="clear" w:color="auto" w:fill="CCEEFF"/>
            <w:vAlign w:val="bottom"/>
            <w:hideMark/>
          </w:tcPr>
          <w:p w14:paraId="1C9C93A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DD9AB7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293AB6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6227616" w14:textId="77777777" w:rsidR="00000000" w:rsidRDefault="002F725F">
            <w:pPr>
              <w:jc w:val="right"/>
              <w:rPr>
                <w:rFonts w:eastAsia="Times New Roman"/>
                <w:sz w:val="20"/>
                <w:szCs w:val="20"/>
              </w:rPr>
            </w:pPr>
            <w:r>
              <w:rPr>
                <w:rFonts w:eastAsia="Times New Roman"/>
                <w:sz w:val="20"/>
                <w:szCs w:val="20"/>
              </w:rPr>
              <w:t>851</w:t>
            </w:r>
          </w:p>
        </w:tc>
        <w:tc>
          <w:tcPr>
            <w:tcW w:w="0" w:type="auto"/>
            <w:shd w:val="clear" w:color="auto" w:fill="CCEEFF"/>
            <w:vAlign w:val="bottom"/>
            <w:hideMark/>
          </w:tcPr>
          <w:p w14:paraId="03191FA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5DF441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143458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CD00910" w14:textId="77777777" w:rsidR="00000000" w:rsidRDefault="002F725F">
            <w:pPr>
              <w:jc w:val="right"/>
              <w:rPr>
                <w:rFonts w:eastAsia="Times New Roman"/>
                <w:sz w:val="20"/>
                <w:szCs w:val="20"/>
              </w:rPr>
            </w:pPr>
            <w:r>
              <w:rPr>
                <w:rFonts w:eastAsia="Times New Roman"/>
                <w:sz w:val="20"/>
                <w:szCs w:val="20"/>
              </w:rPr>
              <w:t>1.2</w:t>
            </w:r>
          </w:p>
        </w:tc>
        <w:tc>
          <w:tcPr>
            <w:tcW w:w="0" w:type="auto"/>
            <w:shd w:val="clear" w:color="auto" w:fill="CCEEFF"/>
            <w:vAlign w:val="bottom"/>
            <w:hideMark/>
          </w:tcPr>
          <w:p w14:paraId="33F898A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30549C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CED6FC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BE6F101" w14:textId="77777777" w:rsidR="00000000" w:rsidRDefault="002F725F">
            <w:pPr>
              <w:jc w:val="right"/>
              <w:rPr>
                <w:rFonts w:eastAsia="Times New Roman"/>
                <w:sz w:val="20"/>
                <w:szCs w:val="20"/>
              </w:rPr>
            </w:pPr>
            <w:r>
              <w:rPr>
                <w:rFonts w:eastAsia="Times New Roman"/>
                <w:sz w:val="20"/>
                <w:szCs w:val="20"/>
              </w:rPr>
              <w:t>(170</w:t>
            </w:r>
          </w:p>
        </w:tc>
        <w:tc>
          <w:tcPr>
            <w:tcW w:w="0" w:type="auto"/>
            <w:shd w:val="clear" w:color="auto" w:fill="CCEEFF"/>
            <w:vAlign w:val="bottom"/>
            <w:hideMark/>
          </w:tcPr>
          <w:p w14:paraId="05B86B90"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0F032FA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84715C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A1BF293" w14:textId="77777777" w:rsidR="00000000" w:rsidRDefault="002F725F">
            <w:pPr>
              <w:jc w:val="right"/>
              <w:rPr>
                <w:rFonts w:eastAsia="Times New Roman"/>
                <w:sz w:val="20"/>
                <w:szCs w:val="20"/>
              </w:rPr>
            </w:pPr>
            <w:r>
              <w:rPr>
                <w:rFonts w:eastAsia="Times New Roman"/>
                <w:sz w:val="20"/>
                <w:szCs w:val="20"/>
              </w:rPr>
              <w:t>1.2</w:t>
            </w:r>
          </w:p>
        </w:tc>
        <w:tc>
          <w:tcPr>
            <w:tcW w:w="0" w:type="auto"/>
            <w:shd w:val="clear" w:color="auto" w:fill="CCEEFF"/>
            <w:vAlign w:val="bottom"/>
            <w:hideMark/>
          </w:tcPr>
          <w:p w14:paraId="0D35C57A" w14:textId="77777777" w:rsidR="00000000" w:rsidRDefault="002F725F">
            <w:pPr>
              <w:rPr>
                <w:rFonts w:eastAsia="Times New Roman"/>
                <w:sz w:val="20"/>
                <w:szCs w:val="20"/>
              </w:rPr>
            </w:pPr>
            <w:r>
              <w:rPr>
                <w:rFonts w:eastAsia="Times New Roman"/>
                <w:sz w:val="20"/>
                <w:szCs w:val="20"/>
              </w:rPr>
              <w:t> </w:t>
            </w:r>
          </w:p>
        </w:tc>
      </w:tr>
    </w:tbl>
    <w:p w14:paraId="1A320CFA" w14:textId="77777777" w:rsidR="00000000" w:rsidRDefault="002F725F">
      <w:pPr>
        <w:pStyle w:val="NormalWeb"/>
        <w:spacing w:before="0" w:beforeAutospacing="0" w:after="0" w:afterAutospacing="0"/>
        <w:divId w:val="415980837"/>
        <w:rPr>
          <w:sz w:val="20"/>
          <w:szCs w:val="20"/>
        </w:rPr>
      </w:pPr>
      <w:r>
        <w:rPr>
          <w:sz w:val="20"/>
          <w:szCs w:val="20"/>
        </w:rPr>
        <w:t> </w:t>
      </w:r>
    </w:p>
    <w:p w14:paraId="0D288434" w14:textId="77777777" w:rsidR="00000000" w:rsidRDefault="002F725F">
      <w:pPr>
        <w:pStyle w:val="NormalWeb"/>
        <w:spacing w:before="0" w:beforeAutospacing="0" w:after="0" w:afterAutospacing="0"/>
        <w:divId w:val="415980837"/>
        <w:rPr>
          <w:sz w:val="20"/>
          <w:szCs w:val="20"/>
        </w:rPr>
      </w:pPr>
      <w:r>
        <w:rPr>
          <w:sz w:val="20"/>
          <w:szCs w:val="20"/>
        </w:rPr>
        <w:t>Note:</w:t>
      </w:r>
    </w:p>
    <w:p w14:paraId="666466E6"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9000"/>
      </w:tblGrid>
      <w:tr w:rsidR="00000000" w14:paraId="025AF86B" w14:textId="77777777">
        <w:trPr>
          <w:divId w:val="415980837"/>
          <w:tblCellSpacing w:w="0" w:type="dxa"/>
        </w:trPr>
        <w:tc>
          <w:tcPr>
            <w:tcW w:w="360" w:type="dxa"/>
            <w:hideMark/>
          </w:tcPr>
          <w:p w14:paraId="34CC859C" w14:textId="77777777" w:rsidR="00000000" w:rsidRDefault="002F725F">
            <w:pPr>
              <w:rPr>
                <w:rFonts w:eastAsia="Times New Roman"/>
                <w:sz w:val="20"/>
                <w:szCs w:val="20"/>
              </w:rPr>
            </w:pPr>
            <w:r>
              <w:rPr>
                <w:rFonts w:eastAsia="Times New Roman"/>
                <w:sz w:val="20"/>
                <w:szCs w:val="20"/>
              </w:rPr>
              <w:t>(1)</w:t>
            </w:r>
          </w:p>
        </w:tc>
        <w:tc>
          <w:tcPr>
            <w:tcW w:w="0" w:type="auto"/>
            <w:hideMark/>
          </w:tcPr>
          <w:p w14:paraId="252E7569" w14:textId="77777777" w:rsidR="00000000" w:rsidRDefault="002F725F">
            <w:pPr>
              <w:jc w:val="both"/>
              <w:rPr>
                <w:rFonts w:eastAsia="Times New Roman"/>
                <w:sz w:val="20"/>
                <w:szCs w:val="20"/>
              </w:rPr>
            </w:pPr>
            <w:r>
              <w:rPr>
                <w:rFonts w:eastAsia="Times New Roman"/>
                <w:sz w:val="20"/>
                <w:szCs w:val="20"/>
              </w:rPr>
              <w:t>Ownership percentages are based on 41,212,693 Shares outstanding as of the date of this proxy statement.</w:t>
            </w:r>
          </w:p>
        </w:tc>
      </w:tr>
    </w:tbl>
    <w:p w14:paraId="76F8C7FB"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411CE158" w14:textId="77777777" w:rsidR="00000000" w:rsidRDefault="002F725F">
      <w:pPr>
        <w:pStyle w:val="NormalWeb"/>
        <w:spacing w:before="0" w:beforeAutospacing="0" w:after="0" w:afterAutospacing="0"/>
        <w:jc w:val="both"/>
        <w:divId w:val="415980837"/>
        <w:rPr>
          <w:sz w:val="20"/>
          <w:szCs w:val="20"/>
        </w:rPr>
      </w:pPr>
      <w:r>
        <w:rPr>
          <w:b/>
          <w:bCs/>
          <w:sz w:val="20"/>
          <w:szCs w:val="20"/>
        </w:rPr>
        <w:t>Plans for the Company after the Merger</w:t>
      </w:r>
    </w:p>
    <w:p w14:paraId="0BFDD2CD"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238CB02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Following the completion of the Merger, Parent will own 100% of the equity interest in the Surviving Compan</w:t>
      </w:r>
      <w:r>
        <w:rPr>
          <w:sz w:val="20"/>
          <w:szCs w:val="20"/>
        </w:rPr>
        <w:t>y. The Buyer Filing Persons anticipate that the Company will continue to conduct its operations substantially as they are currently being conducted, except that the Company will cease to be a publicly traded company and will instead be a wholly owned subsi</w:t>
      </w:r>
      <w:r>
        <w:rPr>
          <w:sz w:val="20"/>
          <w:szCs w:val="20"/>
        </w:rPr>
        <w:t>diary of Parent. In addition, the board of directors of the Surviving Company intends to continue to evaluate and, if determined to be in the best interests of the Surviving Company, pursue all available legal remedies to challenge and seek to overturn the</w:t>
      </w:r>
      <w:r>
        <w:rPr>
          <w:sz w:val="20"/>
          <w:szCs w:val="20"/>
        </w:rPr>
        <w:t xml:space="preserve"> Awards, taking into account the costs, risks and prospects of such proceedings.</w:t>
      </w:r>
    </w:p>
    <w:p w14:paraId="674FA6E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5C2F61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Following the completion of the Merger and the anticipated deregistration of the Shares and Company Warrants, the Company will no longer be subject to the Exchange Act and t</w:t>
      </w:r>
      <w:r>
        <w:rPr>
          <w:sz w:val="20"/>
          <w:szCs w:val="20"/>
        </w:rPr>
        <w:t>he compliance and reporting requirements of OTC Pink and the related direct and indirect costs and expenses, and may experience positive effects on profitability as a result of the elimination of such costs and expenses.</w:t>
      </w:r>
    </w:p>
    <w:p w14:paraId="536781B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4E8D7B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Except as set forth in this proxy statement and transactions already under consideration by the Company, the Buyer Filing Persons do not have any current plans, proposals or negotiations that relate to or would result in any of the following:</w:t>
      </w:r>
    </w:p>
    <w:p w14:paraId="33A99B0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7D636A0" w14:textId="77777777">
        <w:trPr>
          <w:divId w:val="415980837"/>
          <w:tblCellSpacing w:w="0" w:type="dxa"/>
        </w:trPr>
        <w:tc>
          <w:tcPr>
            <w:tcW w:w="720" w:type="dxa"/>
            <w:hideMark/>
          </w:tcPr>
          <w:p w14:paraId="0CADDAFA" w14:textId="77777777" w:rsidR="00000000" w:rsidRDefault="002F725F">
            <w:pPr>
              <w:rPr>
                <w:sz w:val="20"/>
                <w:szCs w:val="20"/>
              </w:rPr>
            </w:pPr>
          </w:p>
        </w:tc>
        <w:tc>
          <w:tcPr>
            <w:tcW w:w="360" w:type="dxa"/>
            <w:hideMark/>
          </w:tcPr>
          <w:p w14:paraId="04B66478" w14:textId="77777777" w:rsidR="00000000" w:rsidRDefault="002F725F">
            <w:pPr>
              <w:rPr>
                <w:rFonts w:eastAsia="Times New Roman"/>
                <w:sz w:val="20"/>
                <w:szCs w:val="20"/>
              </w:rPr>
            </w:pPr>
            <w:r>
              <w:rPr>
                <w:rFonts w:eastAsia="Times New Roman"/>
                <w:sz w:val="20"/>
                <w:szCs w:val="20"/>
              </w:rPr>
              <w:t>●</w:t>
            </w:r>
          </w:p>
        </w:tc>
        <w:tc>
          <w:tcPr>
            <w:tcW w:w="0" w:type="auto"/>
            <w:hideMark/>
          </w:tcPr>
          <w:p w14:paraId="6438F32F" w14:textId="77777777" w:rsidR="00000000" w:rsidRDefault="002F725F">
            <w:pPr>
              <w:jc w:val="both"/>
              <w:rPr>
                <w:rFonts w:eastAsia="Times New Roman"/>
                <w:sz w:val="20"/>
                <w:szCs w:val="20"/>
              </w:rPr>
            </w:pPr>
            <w:r>
              <w:rPr>
                <w:rFonts w:eastAsia="Times New Roman"/>
                <w:sz w:val="20"/>
                <w:szCs w:val="20"/>
              </w:rPr>
              <w:t>an extra</w:t>
            </w:r>
            <w:r>
              <w:rPr>
                <w:rFonts w:eastAsia="Times New Roman"/>
                <w:sz w:val="20"/>
                <w:szCs w:val="20"/>
              </w:rPr>
              <w:t>ordinary corporate transaction, such as a merger, reorganization or liquidation, involving the Company or any of its subsidiaries;</w:t>
            </w:r>
          </w:p>
        </w:tc>
      </w:tr>
    </w:tbl>
    <w:p w14:paraId="6FFA8F2F"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CA36E39" w14:textId="77777777">
        <w:trPr>
          <w:divId w:val="415980837"/>
          <w:tblCellSpacing w:w="0" w:type="dxa"/>
        </w:trPr>
        <w:tc>
          <w:tcPr>
            <w:tcW w:w="720" w:type="dxa"/>
            <w:hideMark/>
          </w:tcPr>
          <w:p w14:paraId="7A53F009" w14:textId="77777777" w:rsidR="00000000" w:rsidRDefault="002F725F">
            <w:pPr>
              <w:rPr>
                <w:sz w:val="20"/>
                <w:szCs w:val="20"/>
              </w:rPr>
            </w:pPr>
          </w:p>
        </w:tc>
        <w:tc>
          <w:tcPr>
            <w:tcW w:w="360" w:type="dxa"/>
            <w:hideMark/>
          </w:tcPr>
          <w:p w14:paraId="012C941E" w14:textId="77777777" w:rsidR="00000000" w:rsidRDefault="002F725F">
            <w:pPr>
              <w:rPr>
                <w:rFonts w:eastAsia="Times New Roman"/>
                <w:sz w:val="20"/>
                <w:szCs w:val="20"/>
              </w:rPr>
            </w:pPr>
            <w:r>
              <w:rPr>
                <w:rFonts w:eastAsia="Times New Roman"/>
                <w:sz w:val="20"/>
                <w:szCs w:val="20"/>
              </w:rPr>
              <w:t>●</w:t>
            </w:r>
          </w:p>
        </w:tc>
        <w:tc>
          <w:tcPr>
            <w:tcW w:w="0" w:type="auto"/>
            <w:hideMark/>
          </w:tcPr>
          <w:p w14:paraId="263AE657" w14:textId="77777777" w:rsidR="00000000" w:rsidRDefault="002F725F">
            <w:pPr>
              <w:jc w:val="both"/>
              <w:rPr>
                <w:rFonts w:eastAsia="Times New Roman"/>
                <w:sz w:val="20"/>
                <w:szCs w:val="20"/>
              </w:rPr>
            </w:pPr>
            <w:r>
              <w:rPr>
                <w:rFonts w:eastAsia="Times New Roman"/>
                <w:sz w:val="20"/>
                <w:szCs w:val="20"/>
              </w:rPr>
              <w:t>sale or transfer of a material amount of the assets of the Company or any of its subsidiaries; or</w:t>
            </w:r>
          </w:p>
        </w:tc>
      </w:tr>
    </w:tbl>
    <w:p w14:paraId="64C86526"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764A1AE" w14:textId="77777777">
        <w:trPr>
          <w:divId w:val="415980837"/>
          <w:tblCellSpacing w:w="0" w:type="dxa"/>
        </w:trPr>
        <w:tc>
          <w:tcPr>
            <w:tcW w:w="720" w:type="dxa"/>
            <w:hideMark/>
          </w:tcPr>
          <w:p w14:paraId="76DD3C44" w14:textId="77777777" w:rsidR="00000000" w:rsidRDefault="002F725F">
            <w:pPr>
              <w:rPr>
                <w:sz w:val="20"/>
                <w:szCs w:val="20"/>
              </w:rPr>
            </w:pPr>
          </w:p>
        </w:tc>
        <w:tc>
          <w:tcPr>
            <w:tcW w:w="360" w:type="dxa"/>
            <w:hideMark/>
          </w:tcPr>
          <w:p w14:paraId="205DF843" w14:textId="77777777" w:rsidR="00000000" w:rsidRDefault="002F725F">
            <w:pPr>
              <w:rPr>
                <w:rFonts w:eastAsia="Times New Roman"/>
                <w:sz w:val="20"/>
                <w:szCs w:val="20"/>
              </w:rPr>
            </w:pPr>
            <w:r>
              <w:rPr>
                <w:rFonts w:eastAsia="Times New Roman"/>
                <w:sz w:val="20"/>
                <w:szCs w:val="20"/>
              </w:rPr>
              <w:t>●</w:t>
            </w:r>
          </w:p>
        </w:tc>
        <w:tc>
          <w:tcPr>
            <w:tcW w:w="0" w:type="auto"/>
            <w:hideMark/>
          </w:tcPr>
          <w:p w14:paraId="5009EA0C" w14:textId="77777777" w:rsidR="00000000" w:rsidRDefault="002F725F">
            <w:pPr>
              <w:jc w:val="both"/>
              <w:rPr>
                <w:rFonts w:eastAsia="Times New Roman"/>
                <w:sz w:val="20"/>
                <w:szCs w:val="20"/>
              </w:rPr>
            </w:pPr>
            <w:r>
              <w:rPr>
                <w:rFonts w:eastAsia="Times New Roman"/>
                <w:sz w:val="20"/>
                <w:szCs w:val="20"/>
              </w:rPr>
              <w:t>any other mater</w:t>
            </w:r>
            <w:r>
              <w:rPr>
                <w:rFonts w:eastAsia="Times New Roman"/>
                <w:sz w:val="20"/>
                <w:szCs w:val="20"/>
              </w:rPr>
              <w:t>ial changes in the Company, including with respect to the Company’s corporate structure or business.</w:t>
            </w:r>
          </w:p>
        </w:tc>
      </w:tr>
    </w:tbl>
    <w:p w14:paraId="5A9B697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729476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However, after the Effective Time, the Buyer Filing Persons and the Surviving Company’s management and directors will continue to evaluate the Company’s</w:t>
      </w:r>
      <w:r>
        <w:rPr>
          <w:sz w:val="20"/>
          <w:szCs w:val="20"/>
        </w:rPr>
        <w:t xml:space="preserve"> entire business and operations from time to time, and may propose or develop plans and proposals which they consider to be in the best interests of the Company and its equity holders, including the disposition or acquisition of material assets, alliances,</w:t>
      </w:r>
      <w:r>
        <w:rPr>
          <w:sz w:val="20"/>
          <w:szCs w:val="20"/>
        </w:rPr>
        <w:t xml:space="preserve"> joint ventures, and other forms of cooperation with third parties or other extraordinary transactions, including the possibility of relisting the Company or a substantial part of its business on another stock exchange. The Buyer Filing Persons expressly r</w:t>
      </w:r>
      <w:r>
        <w:rPr>
          <w:sz w:val="20"/>
          <w:szCs w:val="20"/>
        </w:rPr>
        <w:t>eserve the right to make any changes they deem appropriate to the operation of the Surviving Company in light of such evaluation and review as well as any future developments.</w:t>
      </w:r>
    </w:p>
    <w:p w14:paraId="25A61AF5"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7064F43B" w14:textId="77777777" w:rsidR="00000000" w:rsidRDefault="002F725F">
      <w:pPr>
        <w:pStyle w:val="NormalWeb"/>
        <w:spacing w:before="0" w:beforeAutospacing="0" w:after="0" w:afterAutospacing="0"/>
        <w:jc w:val="center"/>
        <w:divId w:val="413866566"/>
        <w:rPr>
          <w:sz w:val="20"/>
          <w:szCs w:val="20"/>
        </w:rPr>
      </w:pPr>
      <w:r>
        <w:rPr>
          <w:sz w:val="20"/>
          <w:szCs w:val="20"/>
        </w:rPr>
        <w:t>6</w:t>
      </w:r>
      <w:r>
        <w:rPr>
          <w:sz w:val="20"/>
          <w:szCs w:val="20"/>
        </w:rPr>
        <w:t>2</w:t>
      </w:r>
    </w:p>
    <w:p w14:paraId="6BFA635B" w14:textId="77777777" w:rsidR="00000000" w:rsidRDefault="002F725F">
      <w:pPr>
        <w:pStyle w:val="NormalWeb"/>
        <w:spacing w:before="0" w:beforeAutospacing="0" w:after="0" w:afterAutospacing="0"/>
        <w:divId w:val="2040348348"/>
        <w:rPr>
          <w:sz w:val="20"/>
          <w:szCs w:val="20"/>
        </w:rPr>
      </w:pPr>
      <w:r>
        <w:rPr>
          <w:sz w:val="20"/>
          <w:szCs w:val="20"/>
        </w:rPr>
        <w:t> </w:t>
      </w:r>
    </w:p>
    <w:p w14:paraId="7FC297DC"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6748D239" w14:textId="77777777" w:rsidR="00000000" w:rsidRDefault="002F725F">
      <w:pPr>
        <w:pStyle w:val="NormalWeb"/>
        <w:spacing w:before="0" w:beforeAutospacing="0" w:after="0" w:afterAutospacing="0"/>
        <w:jc w:val="both"/>
        <w:divId w:val="415980837"/>
        <w:rPr>
          <w:sz w:val="20"/>
          <w:szCs w:val="20"/>
        </w:rPr>
      </w:pPr>
      <w:r>
        <w:rPr>
          <w:b/>
          <w:bCs/>
          <w:sz w:val="20"/>
          <w:szCs w:val="20"/>
        </w:rPr>
        <w:t>Alternatives to the Merger</w:t>
      </w:r>
    </w:p>
    <w:p w14:paraId="6FB5C5E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B76DA2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Board did not independently determine to initiate a process for the sale of the Company. The Special Committee was formed on August 28, 2025 in response to the receipt of the August 2025 Proposal on August 18, 2025 and August 26, 2025. In light of (i) </w:t>
      </w:r>
      <w:r>
        <w:rPr>
          <w:sz w:val="20"/>
          <w:szCs w:val="20"/>
        </w:rPr>
        <w:t>the express intention of the Buyer Group not to sell the Shares held by it to any third party and the beneficial ownership of the Rollover Shareholders of approximately 53.35% of the voting power of the total issued and outstanding Shares as of the date of</w:t>
      </w:r>
      <w:r>
        <w:rPr>
          <w:sz w:val="20"/>
          <w:szCs w:val="20"/>
        </w:rPr>
        <w:t xml:space="preserve"> this proxy statement, and (ii) the fact that, since the announcement of the Original Proposal and prior to the entry into the Merger Agreement, the Company has not received any offer from any third party for a merger or consolidation of the Company with a</w:t>
      </w:r>
      <w:r>
        <w:rPr>
          <w:sz w:val="20"/>
          <w:szCs w:val="20"/>
        </w:rPr>
        <w:t>nother company, the sale or transfer of all or substantially all of the Company’s assets or the purchase of all or a substantial portion of the Company’s voting securities that would enable such person to exercise control of or significant influence over t</w:t>
      </w:r>
      <w:r>
        <w:rPr>
          <w:sz w:val="20"/>
          <w:szCs w:val="20"/>
        </w:rPr>
        <w:t>he Company (for the avoidance of doubt, excluding the August 26, 2025 Proposal and the March 24, 2026 Proposal ), the Special Committee determined that there was no viable alternative to the proposed sale of the Company to the Buyer Group. The Special Comm</w:t>
      </w:r>
      <w:r>
        <w:rPr>
          <w:sz w:val="20"/>
          <w:szCs w:val="20"/>
        </w:rPr>
        <w:t>ittee also took into account that prior to the receipt of shareholder approval, the Company may, subject to compliance with the terms and conditions of the Merger Agreement, terminate the Merger Agreement in order to enter into an acquisition agreement wit</w:t>
      </w:r>
      <w:r>
        <w:rPr>
          <w:sz w:val="20"/>
          <w:szCs w:val="20"/>
        </w:rPr>
        <w:t>h respect to a superior proposal, subject to the payment of a termination fee to the extent provided in the Merger Agreement. In this regard, the Special Committee recognized that it has flexibility under the Merger Agreement to, subject to the terms and c</w:t>
      </w:r>
      <w:r>
        <w:rPr>
          <w:sz w:val="20"/>
          <w:szCs w:val="20"/>
        </w:rPr>
        <w:t>onditions thereunder, respond to an alternative transaction proposed by a third party that is or is reasonably expected to result in a superior proposal, including the ability to provide information to and engage in discussions and negotiations with such p</w:t>
      </w:r>
      <w:r>
        <w:rPr>
          <w:sz w:val="20"/>
          <w:szCs w:val="20"/>
        </w:rPr>
        <w:t>arty (and, if such proposal is a superior proposal, recommend such proposal to the Company’s shareholders).</w:t>
      </w:r>
    </w:p>
    <w:p w14:paraId="099D02D6" w14:textId="77777777" w:rsidR="00000000" w:rsidRDefault="002F725F">
      <w:pPr>
        <w:pStyle w:val="NormalWeb"/>
        <w:spacing w:before="0" w:beforeAutospacing="0" w:after="0" w:afterAutospacing="0"/>
        <w:divId w:val="415980837"/>
        <w:rPr>
          <w:sz w:val="20"/>
          <w:szCs w:val="20"/>
        </w:rPr>
      </w:pPr>
      <w:r>
        <w:rPr>
          <w:sz w:val="20"/>
          <w:szCs w:val="20"/>
        </w:rPr>
        <w:t> </w:t>
      </w:r>
    </w:p>
    <w:p w14:paraId="6782835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In addition, the Special Committee also considered the alternative for the Company to remain as a public company. However, based on the considerat</w:t>
      </w:r>
      <w:r>
        <w:rPr>
          <w:sz w:val="20"/>
          <w:szCs w:val="20"/>
        </w:rPr>
        <w:t>ions set forth in the section entitled “Special Factors—Reasons for the Merger and Recommendation of the Special Committee and the Board” beginning on page 29, the Special Committee and the Board have concluded that it is more beneficial to the Unaffiliate</w:t>
      </w:r>
      <w:r>
        <w:rPr>
          <w:sz w:val="20"/>
          <w:szCs w:val="20"/>
        </w:rPr>
        <w:t>d Security Holders for the Company to enter into the Merger Agreement and pursue the consummation of the Transactions, and become a private company rather than to remain a public company.</w:t>
      </w:r>
    </w:p>
    <w:p w14:paraId="14F571E8"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271F87D5" w14:textId="77777777" w:rsidR="00000000" w:rsidRDefault="002F725F">
      <w:pPr>
        <w:pStyle w:val="NormalWeb"/>
        <w:spacing w:before="0" w:beforeAutospacing="0" w:after="0" w:afterAutospacing="0"/>
        <w:jc w:val="both"/>
        <w:divId w:val="415980837"/>
        <w:rPr>
          <w:sz w:val="20"/>
          <w:szCs w:val="20"/>
        </w:rPr>
      </w:pPr>
      <w:r>
        <w:rPr>
          <w:b/>
          <w:bCs/>
          <w:sz w:val="20"/>
          <w:szCs w:val="20"/>
        </w:rPr>
        <w:t>Effects on the Company if the Merger Is Not Completed</w:t>
      </w:r>
    </w:p>
    <w:p w14:paraId="7FAAB2D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29BF8B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If the Mer</w:t>
      </w:r>
      <w:r>
        <w:rPr>
          <w:sz w:val="20"/>
          <w:szCs w:val="20"/>
        </w:rPr>
        <w:t xml:space="preserve">ger Agreement, the Plan of Merger and the Transactions were not authorized and approved by the shareholders of the Company or if the Merger were not completed for any other reason, the shareholders of the </w:t>
      </w:r>
      <w:r>
        <w:rPr>
          <w:sz w:val="20"/>
          <w:szCs w:val="20"/>
        </w:rPr>
        <w:lastRenderedPageBreak/>
        <w:t>Company would not receive any payment for their Sha</w:t>
      </w:r>
      <w:r>
        <w:rPr>
          <w:sz w:val="20"/>
          <w:szCs w:val="20"/>
        </w:rPr>
        <w:t xml:space="preserve">res in connection with the Merger, nor would the holders of any Company Options or Company RSUs receive any payment pursuant to the Merger Agreement and the Plan of Merger, nor would any Company Options or Company RSUs be assumed and converted into equity </w:t>
      </w:r>
      <w:r>
        <w:rPr>
          <w:sz w:val="20"/>
          <w:szCs w:val="20"/>
        </w:rPr>
        <w:t>incentive awards of the Parent. In addition, the Company would remain a publicly-traded company and the Shares and Company Warrants would continue to be listed for quotation on OTC Pink for so long as the Company continued to meet OTC Pink listing requirem</w:t>
      </w:r>
      <w:r>
        <w:rPr>
          <w:sz w:val="20"/>
          <w:szCs w:val="20"/>
        </w:rPr>
        <w:t>ents, and the Company would remain subject to SEC reporting obligations. The Unaffiliated Security Holders would therefore continue to be subject to similar risks and opportunities as they currently are with respect to their ownership of the Shares and Com</w:t>
      </w:r>
      <w:r>
        <w:rPr>
          <w:sz w:val="20"/>
          <w:szCs w:val="20"/>
        </w:rPr>
        <w:t>pany Warrants. In addition, if the Merger is not completed, you may be subject to the risks in relation to the future value of the Shares and Company Warrants, including the risk that the market price of the Shares may decline to the extent that the curren</w:t>
      </w:r>
      <w:r>
        <w:rPr>
          <w:sz w:val="20"/>
          <w:szCs w:val="20"/>
        </w:rPr>
        <w:t>t market price reflects a market assumption that the Merger will be completed.</w:t>
      </w:r>
    </w:p>
    <w:p w14:paraId="44A13BDA" w14:textId="77777777" w:rsidR="00000000" w:rsidRDefault="002F725F">
      <w:pPr>
        <w:pStyle w:val="NormalWeb"/>
        <w:spacing w:before="0" w:beforeAutospacing="0" w:after="0" w:afterAutospacing="0"/>
        <w:divId w:val="415980837"/>
        <w:rPr>
          <w:sz w:val="20"/>
          <w:szCs w:val="20"/>
        </w:rPr>
      </w:pPr>
      <w:r>
        <w:rPr>
          <w:sz w:val="20"/>
          <w:szCs w:val="20"/>
        </w:rPr>
        <w:t> </w:t>
      </w:r>
    </w:p>
    <w:p w14:paraId="7881FCF3" w14:textId="77777777" w:rsidR="00000000" w:rsidRDefault="002F725F">
      <w:pPr>
        <w:pStyle w:val="NormalWeb"/>
        <w:shd w:val="clear" w:color="auto" w:fill="FFFFFF"/>
        <w:spacing w:before="0" w:beforeAutospacing="0" w:after="0" w:afterAutospacing="0"/>
        <w:ind w:firstLine="720"/>
        <w:jc w:val="both"/>
        <w:divId w:val="415980837"/>
        <w:rPr>
          <w:sz w:val="20"/>
          <w:szCs w:val="20"/>
        </w:rPr>
      </w:pPr>
      <w:r>
        <w:rPr>
          <w:sz w:val="20"/>
          <w:szCs w:val="20"/>
        </w:rPr>
        <w:t>Under specified circumstances in which the Merger Agreement is terminated, the Company may be required to pay Parent or its designees a termination fee of US$50,000, or Parent</w:t>
      </w:r>
      <w:r>
        <w:rPr>
          <w:sz w:val="20"/>
          <w:szCs w:val="20"/>
        </w:rPr>
        <w:t xml:space="preserve"> may be required to pay the Company or its designees a termination fee of US$100,000, in each case, as described under the caption “The Merger Agreement—Termination Fees” beginning on page 95</w:t>
      </w:r>
      <w:r>
        <w:rPr>
          <w:sz w:val="20"/>
          <w:szCs w:val="20"/>
          <w:shd w:val="clear" w:color="auto" w:fill="FFFFFF"/>
        </w:rPr>
        <w:t>.</w:t>
      </w:r>
    </w:p>
    <w:p w14:paraId="2DD1DF8E" w14:textId="77777777" w:rsidR="00000000" w:rsidRDefault="002F725F">
      <w:pPr>
        <w:pStyle w:val="NormalWeb"/>
        <w:shd w:val="clear" w:color="auto" w:fill="FFFFFF"/>
        <w:spacing w:before="0" w:beforeAutospacing="0" w:after="0" w:afterAutospacing="0"/>
        <w:ind w:firstLine="720"/>
        <w:jc w:val="both"/>
        <w:divId w:val="415980837"/>
        <w:rPr>
          <w:sz w:val="20"/>
          <w:szCs w:val="20"/>
        </w:rPr>
      </w:pPr>
      <w:r>
        <w:rPr>
          <w:sz w:val="20"/>
          <w:szCs w:val="20"/>
        </w:rPr>
        <w:t> </w:t>
      </w:r>
    </w:p>
    <w:p w14:paraId="677A0601" w14:textId="77777777" w:rsidR="00000000" w:rsidRDefault="002F725F">
      <w:pPr>
        <w:pStyle w:val="NormalWeb"/>
        <w:shd w:val="clear" w:color="auto" w:fill="FFFFFF"/>
        <w:spacing w:before="0" w:beforeAutospacing="0" w:after="0" w:afterAutospacing="0"/>
        <w:ind w:firstLine="720"/>
        <w:jc w:val="both"/>
        <w:divId w:val="415980837"/>
        <w:rPr>
          <w:sz w:val="20"/>
          <w:szCs w:val="20"/>
        </w:rPr>
      </w:pPr>
      <w:r>
        <w:rPr>
          <w:sz w:val="20"/>
          <w:szCs w:val="20"/>
        </w:rPr>
        <w:t> If the Merger were not completed for any reason, the Board c</w:t>
      </w:r>
      <w:r>
        <w:rPr>
          <w:sz w:val="20"/>
          <w:szCs w:val="20"/>
        </w:rPr>
        <w:t xml:space="preserve">ould be expected from time to time thereafter to evaluate and review, among other things, the business, operations, dividend policy, and capitalization of the Company and make such changes as it deems appropriate and continue to seek to identify strategic </w:t>
      </w:r>
      <w:r>
        <w:rPr>
          <w:sz w:val="20"/>
          <w:szCs w:val="20"/>
        </w:rPr>
        <w:t>alternatives to enhance shareholder value. If the Merger Agreement were not approved by the shareholders or if the Merger were not completed for any other reason, we cannot assure you that any other transaction acceptable to the Company will be offered, or</w:t>
      </w:r>
      <w:r>
        <w:rPr>
          <w:sz w:val="20"/>
          <w:szCs w:val="20"/>
        </w:rPr>
        <w:t xml:space="preserve"> that the business, prospects or results of operations of the Company will not be adversely impacted.</w:t>
      </w:r>
    </w:p>
    <w:p w14:paraId="4F452FC6"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2C46AFD9" w14:textId="77777777" w:rsidR="00000000" w:rsidRDefault="002F725F">
      <w:pPr>
        <w:pStyle w:val="NormalWeb"/>
        <w:spacing w:before="0" w:beforeAutospacing="0" w:after="0" w:afterAutospacing="0"/>
        <w:jc w:val="both"/>
        <w:divId w:val="415980837"/>
        <w:rPr>
          <w:sz w:val="20"/>
          <w:szCs w:val="20"/>
        </w:rPr>
      </w:pPr>
      <w:r>
        <w:rPr>
          <w:b/>
          <w:bCs/>
          <w:sz w:val="20"/>
          <w:szCs w:val="20"/>
        </w:rPr>
        <w:t>Financing of the Merger</w:t>
      </w:r>
    </w:p>
    <w:p w14:paraId="2ED4E76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8BE56E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Company and the Buyer </w:t>
      </w:r>
      <w:r>
        <w:rPr>
          <w:sz w:val="20"/>
          <w:szCs w:val="20"/>
        </w:rPr>
        <w:t xml:space="preserve">Filing Persons estimate that the total amount of funds necessary to complete the Merger and the Transactions, excluding payment of fees and expenses in connection with the Merger, would be approximately US$1.27 million, assuming no exercise of dissenters’ </w:t>
      </w:r>
      <w:r>
        <w:rPr>
          <w:sz w:val="20"/>
          <w:szCs w:val="20"/>
        </w:rPr>
        <w:t>rights by shareholders of the Company. In calculating this amount, the Company and the Buyer Filing Persons did not consider the value of the Excluded Shares, which will be cancelled for no consideration pursuant to the Merger Agreement. This amount includ</w:t>
      </w:r>
      <w:r>
        <w:rPr>
          <w:sz w:val="20"/>
          <w:szCs w:val="20"/>
        </w:rPr>
        <w:t>es the cash to be paid to the Unaffiliated Security Holders in connection with the Transactions.</w:t>
      </w:r>
    </w:p>
    <w:p w14:paraId="79179DE6"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A11682F" w14:textId="77777777" w:rsidR="00000000" w:rsidRDefault="002F725F">
      <w:pPr>
        <w:pStyle w:val="NormalWeb"/>
        <w:spacing w:before="0" w:beforeAutospacing="0" w:after="0" w:afterAutospacing="0"/>
        <w:jc w:val="center"/>
        <w:divId w:val="1089694087"/>
        <w:rPr>
          <w:sz w:val="20"/>
          <w:szCs w:val="20"/>
        </w:rPr>
      </w:pPr>
      <w:r>
        <w:rPr>
          <w:sz w:val="20"/>
          <w:szCs w:val="20"/>
        </w:rPr>
        <w:t>6</w:t>
      </w:r>
      <w:r>
        <w:rPr>
          <w:sz w:val="20"/>
          <w:szCs w:val="20"/>
        </w:rPr>
        <w:t>3</w:t>
      </w:r>
    </w:p>
    <w:p w14:paraId="28D68EA5" w14:textId="77777777" w:rsidR="00000000" w:rsidRDefault="002F725F">
      <w:pPr>
        <w:pStyle w:val="NormalWeb"/>
        <w:spacing w:before="0" w:beforeAutospacing="0" w:after="0" w:afterAutospacing="0"/>
        <w:divId w:val="428235418"/>
        <w:rPr>
          <w:sz w:val="20"/>
          <w:szCs w:val="20"/>
        </w:rPr>
      </w:pPr>
      <w:r>
        <w:rPr>
          <w:sz w:val="20"/>
          <w:szCs w:val="20"/>
        </w:rPr>
        <w:t> </w:t>
      </w:r>
    </w:p>
    <w:p w14:paraId="4A2B12ED"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181F6C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Buyer Group expects to </w:t>
      </w:r>
      <w:r>
        <w:rPr>
          <w:sz w:val="20"/>
          <w:szCs w:val="20"/>
        </w:rPr>
        <w:t xml:space="preserve">provide this amount through cash contribution by the Sponsor as contemplated by the Equity Commitment Letter. Under the terms and subject to the conditions of the Equity Commitment Letter, the Sponsor will </w:t>
      </w:r>
      <w:r>
        <w:rPr>
          <w:sz w:val="20"/>
          <w:szCs w:val="20"/>
          <w:shd w:val="clear" w:color="auto" w:fill="FFFFFF"/>
        </w:rPr>
        <w:t xml:space="preserve">provide </w:t>
      </w:r>
      <w:r>
        <w:rPr>
          <w:sz w:val="20"/>
          <w:szCs w:val="20"/>
        </w:rPr>
        <w:t>the equity financing in an aggregate amoun</w:t>
      </w:r>
      <w:r>
        <w:rPr>
          <w:sz w:val="20"/>
          <w:szCs w:val="20"/>
        </w:rPr>
        <w:t>t of US$1,268,818.58 to Parent to finance the Merger.</w:t>
      </w:r>
    </w:p>
    <w:p w14:paraId="21E4DA41" w14:textId="77777777" w:rsidR="00000000" w:rsidRDefault="002F725F">
      <w:pPr>
        <w:pStyle w:val="NormalWeb"/>
        <w:spacing w:before="0" w:beforeAutospacing="0" w:after="0" w:afterAutospacing="0"/>
        <w:ind w:firstLine="720"/>
        <w:jc w:val="both"/>
        <w:divId w:val="415980837"/>
        <w:rPr>
          <w:sz w:val="20"/>
          <w:szCs w:val="20"/>
        </w:rPr>
      </w:pPr>
      <w:r>
        <w:rPr>
          <w:b/>
          <w:bCs/>
          <w:i/>
          <w:iCs/>
          <w:sz w:val="20"/>
          <w:szCs w:val="20"/>
        </w:rPr>
        <w:t> </w:t>
      </w:r>
    </w:p>
    <w:p w14:paraId="6395BEA9" w14:textId="77777777" w:rsidR="00000000" w:rsidRDefault="002F725F">
      <w:pPr>
        <w:pStyle w:val="NormalWeb"/>
        <w:spacing w:before="0" w:beforeAutospacing="0" w:after="0" w:afterAutospacing="0"/>
        <w:jc w:val="both"/>
        <w:divId w:val="415980837"/>
        <w:rPr>
          <w:sz w:val="20"/>
          <w:szCs w:val="20"/>
        </w:rPr>
      </w:pPr>
      <w:r>
        <w:rPr>
          <w:b/>
          <w:bCs/>
          <w:i/>
          <w:iCs/>
          <w:sz w:val="20"/>
          <w:szCs w:val="20"/>
        </w:rPr>
        <w:t>Equity Financing</w:t>
      </w:r>
    </w:p>
    <w:p w14:paraId="02C04B7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61ACCB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Pursuant to the Equity Commitment Letter, the Sponsor has committed, subject to the terms and conditions therein, to pay or cause to be paid to Parent in immediately available funds</w:t>
      </w:r>
      <w:r>
        <w:rPr>
          <w:sz w:val="20"/>
          <w:szCs w:val="20"/>
        </w:rPr>
        <w:t xml:space="preserve"> at or prior to the Effective Time an aggregate cash amount of US$1,268,818.58 (the “Commitment”). Such funds to be used by Parent to (i) fund payment of the total amount of the Merger Consideration (as defined in the Merger Agreement) to consummate the Me</w:t>
      </w:r>
      <w:r>
        <w:rPr>
          <w:sz w:val="20"/>
          <w:szCs w:val="20"/>
        </w:rPr>
        <w:t>rger pursuant to and in accordance with the Merger Agreement, and (ii) pay all other amounts required to be paid by Parent and Merger Sub pursuant to and in accordance with the Merger Agreement, together with all related fees and expenses of Parent and Mer</w:t>
      </w:r>
      <w:r>
        <w:rPr>
          <w:sz w:val="20"/>
          <w:szCs w:val="20"/>
        </w:rPr>
        <w:t>ger Sub payable in connection with the Merger and the other transactions contemplated by the Merger Agreement.</w:t>
      </w:r>
    </w:p>
    <w:p w14:paraId="6D2BADA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FB26445"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The funding of the Sponsor’s equity commitment under the Equity Commitment Letter is conditioned upon (i) the satisfaction or waiver by Parent,</w:t>
      </w:r>
      <w:r>
        <w:rPr>
          <w:sz w:val="20"/>
          <w:szCs w:val="20"/>
        </w:rPr>
        <w:t xml:space="preserve"> of each of the conditions to Parent’s and Merger Sub’s obligations to consummate the Merger set forth in the Merger Agreement (other than those conditions that by their nature are to be satisfied at the closing of the Merger but subject to the prior or su</w:t>
      </w:r>
      <w:r>
        <w:rPr>
          <w:sz w:val="20"/>
          <w:szCs w:val="20"/>
        </w:rPr>
        <w:t>bstantially concurrent satisfaction or waiver by Parent of such conditions), and (ii) the substantially contemporaneous consummation of the Merger in accordance with the Merger Agreement, and (iii) the substantially simultaneous consummation of the cancell</w:t>
      </w:r>
      <w:r>
        <w:rPr>
          <w:sz w:val="20"/>
          <w:szCs w:val="20"/>
        </w:rPr>
        <w:t>ation of the Rollover Shares pursuant to the Support Agreement, provided, that if the Company is awarded specific performance to effect the closing of the Merger in accordance with the Merger Agreement, the conditions set forth in the items (i) to (iii) wi</w:t>
      </w:r>
      <w:r>
        <w:rPr>
          <w:sz w:val="20"/>
          <w:szCs w:val="20"/>
        </w:rPr>
        <w:t>ll be deemed satisfied.</w:t>
      </w:r>
    </w:p>
    <w:p w14:paraId="39BD7B5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5309A8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obligation of the Sponsor to fund the Commitment under the Equity Commitment Letter will terminate automatically and immediately upon the earlier to occur of (i) the consummation of the closing of the Merger and the payment by</w:t>
      </w:r>
      <w:r>
        <w:rPr>
          <w:sz w:val="20"/>
          <w:szCs w:val="20"/>
        </w:rPr>
        <w:t xml:space="preserve"> Parent and Merger Sub of all amounts required to be made by them under the Merger Agreement, and (ii) the valid termination of the Merger Agreement in accordance with its terms.</w:t>
      </w:r>
    </w:p>
    <w:p w14:paraId="24A43D0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BC5FA2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Company is an express third-party beneficiary of the Equity Commitment </w:t>
      </w:r>
      <w:r>
        <w:rPr>
          <w:sz w:val="20"/>
          <w:szCs w:val="20"/>
        </w:rPr>
        <w:t>Letter to the extent of its right to seek specific performance of the committed financing pursuant to the terms and subject to the conditions of the Equity Commitment Letter.</w:t>
      </w:r>
    </w:p>
    <w:p w14:paraId="051B78E0"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09F8EBC4" w14:textId="77777777" w:rsidR="00000000" w:rsidRDefault="002F725F">
      <w:pPr>
        <w:pStyle w:val="NormalWeb"/>
        <w:spacing w:before="0" w:beforeAutospacing="0" w:after="0" w:afterAutospacing="0"/>
        <w:jc w:val="both"/>
        <w:divId w:val="415980837"/>
        <w:rPr>
          <w:sz w:val="20"/>
          <w:szCs w:val="20"/>
        </w:rPr>
      </w:pPr>
      <w:r>
        <w:rPr>
          <w:b/>
          <w:bCs/>
          <w:sz w:val="20"/>
          <w:szCs w:val="20"/>
        </w:rPr>
        <w:t xml:space="preserve">Limited Guarantee </w:t>
      </w:r>
    </w:p>
    <w:p w14:paraId="2D796F2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6A9364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Concurrently with the execution and delivery of the Origin</w:t>
      </w:r>
      <w:r>
        <w:rPr>
          <w:sz w:val="20"/>
          <w:szCs w:val="20"/>
        </w:rPr>
        <w:t>al Merger Agreement on November 4, 2025, the Sponsor executed and delivered the Original Limited Guarantee in favor of the Company. Concurrently with the execution and delivery of Amendment No. 1 to the Merger Agreement on April 29, 2026, the Sponsor execu</w:t>
      </w:r>
      <w:r>
        <w:rPr>
          <w:sz w:val="20"/>
          <w:szCs w:val="20"/>
        </w:rPr>
        <w:t>ted and delivered the Limited Guarantee in favor of the Company.</w:t>
      </w:r>
    </w:p>
    <w:p w14:paraId="4494343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4A3BD1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Under the Limited Guarantee, the Sponsor has guaranteed in favor of the Company, subject to the maximum amount of US$110,000 (the “Maximum Amount”), and certain limitations provided therein</w:t>
      </w:r>
      <w:r>
        <w:rPr>
          <w:sz w:val="20"/>
          <w:szCs w:val="20"/>
        </w:rPr>
        <w:t>, (i) the payment of the Parent Termination Fee (as defined in the Merger Agreement), and (ii) the reimbursement obligations of Parent pursuant the Merger Agreement.</w:t>
      </w:r>
    </w:p>
    <w:p w14:paraId="189A853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AF5184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Limited Guarantee provided by the Sponsor will terminate on the earliest to occur of</w:t>
      </w:r>
      <w:r>
        <w:rPr>
          <w:sz w:val="20"/>
          <w:szCs w:val="20"/>
        </w:rPr>
        <w:t xml:space="preserve"> (i) the Effective Time, (ii) the valid termination of the Merger Agreement in accordance with its terms under circumstances in which none of the guaranteed obligations are payable, (iii) all of the guaranteed obligations payable under the Limited Guarante</w:t>
      </w:r>
      <w:r>
        <w:rPr>
          <w:sz w:val="20"/>
          <w:szCs w:val="20"/>
        </w:rPr>
        <w:t>e having been paid in full by Oceanpine Capital, and (iv) 120 days after any termination of the Merger Agreement in accordance with its terms under circumstances in which Parent and Merger Sub would be obligated to pay the Parent Termination Fee if the Com</w:t>
      </w:r>
      <w:r>
        <w:rPr>
          <w:sz w:val="20"/>
          <w:szCs w:val="20"/>
        </w:rPr>
        <w:t>pany has not presented a written claim for payment of any guaranteed obligation to the Sponsor by such day, provided that if the Company has presented such claim to the Sponsor by such date, the Limited Guarantee shall terminate upon the earlier of (x) the</w:t>
      </w:r>
      <w:r>
        <w:rPr>
          <w:sz w:val="20"/>
          <w:szCs w:val="20"/>
        </w:rPr>
        <w:t xml:space="preserve"> date on which such claim is finally resolved and payment in full of any amounts required to be paid in respect of such final resolution, and (y) a written agreement terminating the Limited Guarantee (and payment in full of any amounts required to be paid </w:t>
      </w:r>
      <w:r>
        <w:rPr>
          <w:sz w:val="20"/>
          <w:szCs w:val="20"/>
        </w:rPr>
        <w:t>in respect of such resolutions).</w:t>
      </w:r>
    </w:p>
    <w:p w14:paraId="27B0FCFD"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4BE63B5E" w14:textId="77777777" w:rsidR="00000000" w:rsidRDefault="002F725F">
      <w:pPr>
        <w:pStyle w:val="NormalWeb"/>
        <w:spacing w:before="0" w:beforeAutospacing="0" w:after="0" w:afterAutospacing="0"/>
        <w:jc w:val="center"/>
        <w:divId w:val="1868828787"/>
        <w:rPr>
          <w:sz w:val="20"/>
          <w:szCs w:val="20"/>
        </w:rPr>
      </w:pPr>
      <w:r>
        <w:rPr>
          <w:sz w:val="20"/>
          <w:szCs w:val="20"/>
        </w:rPr>
        <w:t>6</w:t>
      </w:r>
      <w:r>
        <w:rPr>
          <w:sz w:val="20"/>
          <w:szCs w:val="20"/>
        </w:rPr>
        <w:t>4</w:t>
      </w:r>
    </w:p>
    <w:p w14:paraId="5A806D99" w14:textId="77777777" w:rsidR="00000000" w:rsidRDefault="002F725F">
      <w:pPr>
        <w:pStyle w:val="NormalWeb"/>
        <w:spacing w:before="0" w:beforeAutospacing="0" w:after="0" w:afterAutospacing="0"/>
        <w:divId w:val="398746441"/>
        <w:rPr>
          <w:sz w:val="20"/>
          <w:szCs w:val="20"/>
        </w:rPr>
      </w:pPr>
      <w:r>
        <w:rPr>
          <w:sz w:val="20"/>
          <w:szCs w:val="20"/>
        </w:rPr>
        <w:t> </w:t>
      </w:r>
    </w:p>
    <w:p w14:paraId="0BF9685E"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7A259332" w14:textId="77777777" w:rsidR="00000000" w:rsidRDefault="002F725F">
      <w:pPr>
        <w:pStyle w:val="NormalWeb"/>
        <w:spacing w:before="0" w:beforeAutospacing="0" w:after="0" w:afterAutospacing="0"/>
        <w:jc w:val="both"/>
        <w:divId w:val="415980837"/>
        <w:rPr>
          <w:sz w:val="20"/>
          <w:szCs w:val="20"/>
        </w:rPr>
      </w:pPr>
      <w:r>
        <w:rPr>
          <w:b/>
          <w:bCs/>
          <w:sz w:val="20"/>
          <w:szCs w:val="20"/>
        </w:rPr>
        <w:t>Support Agreement</w:t>
      </w:r>
    </w:p>
    <w:p w14:paraId="0E8CD61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BFDB34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Concurrently with the execution </w:t>
      </w:r>
      <w:r>
        <w:rPr>
          <w:sz w:val="20"/>
          <w:szCs w:val="20"/>
        </w:rPr>
        <w:t>and delivery of the Original Merger Agreement on November 4, 2025, the Rollover Shareholders entered into the Original Support Agreement with Parent. Concurrently with the execution and delivery of Amendment No. 1 to the Merger Agreement on April 29, 2026,</w:t>
      </w:r>
      <w:r>
        <w:rPr>
          <w:sz w:val="20"/>
          <w:szCs w:val="20"/>
        </w:rPr>
        <w:t xml:space="preserve"> the Rollover Shareholders entered into the Support Agreement with Parent and the Company.</w:t>
      </w:r>
    </w:p>
    <w:p w14:paraId="5ED387D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40FA6F6"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Pursuant to the Support Agreement, among other things, (i) each Rollover Shareholder will vote, or cause to be voted, all of the Rollover Shares beneficially owned</w:t>
      </w:r>
      <w:r>
        <w:rPr>
          <w:sz w:val="20"/>
          <w:szCs w:val="20"/>
        </w:rPr>
        <w:t xml:space="preserve"> by it in favor of the authorization and approval of the Merger Agreement, the Plan of Merger and the consummation of the Transactions, and against any competing transaction or any action or transaction that could reasonably be expected to interfere with, </w:t>
      </w:r>
      <w:r>
        <w:rPr>
          <w:sz w:val="20"/>
          <w:szCs w:val="20"/>
        </w:rPr>
        <w:t>delay or adversely affect the Merger Agreement, the Plan of Merger and the Transactions, and (ii) the Rollover Shares beneficially owned by it will, immediately prior to the closing of the Merger, be cancelled for no consideration in accordance with the Me</w:t>
      </w:r>
      <w:r>
        <w:rPr>
          <w:sz w:val="20"/>
          <w:szCs w:val="20"/>
        </w:rPr>
        <w:t>rger Agreement in exchange for the right to receive newly issued ordinary shares in Parent.</w:t>
      </w:r>
    </w:p>
    <w:p w14:paraId="1785135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744DB7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is an express third-party beneficiary of certain provisions of the Support Agreement, and is entitled to specific performance of certain terms thereof</w:t>
      </w:r>
      <w:r>
        <w:rPr>
          <w:sz w:val="20"/>
          <w:szCs w:val="20"/>
        </w:rPr>
        <w:t xml:space="preserve"> (in addition to any other available remedy at law or in equity). The consummation of the subscription and issuance of shares in Parent equal to the respective number of Rollover Shares to the Rollover Shareholders is subject to the satisfaction in full (o</w:t>
      </w:r>
      <w:r>
        <w:rPr>
          <w:sz w:val="20"/>
          <w:szCs w:val="20"/>
        </w:rPr>
        <w:t>r waiver) of each of the conditions to the Company’s, Parent’s and Merger Sub’s obligations to consummate the Merger (other than those to be satisfied at the closing of the Merger). Subject to the foregoing, the rollover closing will take place immediately</w:t>
      </w:r>
      <w:r>
        <w:rPr>
          <w:sz w:val="20"/>
          <w:szCs w:val="20"/>
        </w:rPr>
        <w:t xml:space="preserve"> prior to the closing of the Merger. The Support Agreement will terminate upon the first to occur of (i) the Effective Time; (ii) the valid termination of the Merger Agreement in accordance with its terms; and (iii) the written agreement of such Rollover S</w:t>
      </w:r>
      <w:r>
        <w:rPr>
          <w:sz w:val="20"/>
          <w:szCs w:val="20"/>
        </w:rPr>
        <w:t>hareholder, Parent and the Company, subject to certain exceptions set forth in the Support Agreement.</w:t>
      </w:r>
    </w:p>
    <w:p w14:paraId="57A4F1D2"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6DDDF3F5" w14:textId="77777777" w:rsidR="00000000" w:rsidRDefault="002F725F">
      <w:pPr>
        <w:pStyle w:val="NormalWeb"/>
        <w:spacing w:before="0" w:beforeAutospacing="0" w:after="0" w:afterAutospacing="0"/>
        <w:jc w:val="both"/>
        <w:divId w:val="415980837"/>
        <w:rPr>
          <w:sz w:val="20"/>
          <w:szCs w:val="20"/>
        </w:rPr>
      </w:pPr>
      <w:r>
        <w:rPr>
          <w:b/>
          <w:bCs/>
          <w:sz w:val="20"/>
          <w:szCs w:val="20"/>
        </w:rPr>
        <w:t>Interim Investors Agreement</w:t>
      </w:r>
    </w:p>
    <w:p w14:paraId="76E4E2B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5DA186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Concurrently with the execution and delivery of the Original Merger Agreement on November 4, 2025, the Rollover Shareholde</w:t>
      </w:r>
      <w:r>
        <w:rPr>
          <w:sz w:val="20"/>
          <w:szCs w:val="20"/>
        </w:rPr>
        <w:t>rs, Parent and Merger Sub entered into the Interim Investors Agreement, which governs the relationship among the parties thereto with respect to the Merger Agreement and matters relating thereto until the termination of the Merger Agreement or consummation</w:t>
      </w:r>
      <w:r>
        <w:rPr>
          <w:sz w:val="20"/>
          <w:szCs w:val="20"/>
        </w:rPr>
        <w:t xml:space="preserve"> of the Merger.</w:t>
      </w:r>
    </w:p>
    <w:p w14:paraId="5AE677B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68A801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Interim Investors Agreement provides for, among other things, subject to certain limitations or exceptions therein, (i) the mechanism for making decisions relating to the Merger Agreement and ancillary agreements pending consummation </w:t>
      </w:r>
      <w:r>
        <w:rPr>
          <w:sz w:val="20"/>
          <w:szCs w:val="20"/>
        </w:rPr>
        <w:t>of the Merger, and (ii) the arrangement for the sharing of certain fees and expenses among the Buyer Group.</w:t>
      </w:r>
    </w:p>
    <w:p w14:paraId="1A60D470"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0FC29D9D" w14:textId="77777777" w:rsidR="00000000" w:rsidRDefault="002F725F">
      <w:pPr>
        <w:pStyle w:val="NormalWeb"/>
        <w:spacing w:before="0" w:beforeAutospacing="0" w:after="0" w:afterAutospacing="0"/>
        <w:jc w:val="both"/>
        <w:divId w:val="415980837"/>
        <w:rPr>
          <w:sz w:val="20"/>
          <w:szCs w:val="20"/>
        </w:rPr>
      </w:pPr>
      <w:r>
        <w:rPr>
          <w:b/>
          <w:bCs/>
          <w:sz w:val="20"/>
          <w:szCs w:val="20"/>
        </w:rPr>
        <w:t>Remedies</w:t>
      </w:r>
    </w:p>
    <w:p w14:paraId="38254A1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998BEE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parties to the Merger Agreement may be entitled to specific performance of the terms of the Merger Agreement, including an injuncti</w:t>
      </w:r>
      <w:r>
        <w:rPr>
          <w:sz w:val="20"/>
          <w:szCs w:val="20"/>
        </w:rPr>
        <w:t>on or injunctions to prevent breaches of the Merger Agreement, in addition to any other remedy at law or in equity.</w:t>
      </w:r>
    </w:p>
    <w:p w14:paraId="43DFAC1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6DA770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Other than rights of specific performance that the Company may be entitled to, in the event that the Company has the right to terminate th</w:t>
      </w:r>
      <w:r>
        <w:rPr>
          <w:sz w:val="20"/>
          <w:szCs w:val="20"/>
        </w:rPr>
        <w:t>e Merger Agreement and receive a termination fee and certain costs, expenses and interest pursuant to the Merger Agreement, the Company’s right to receive the termination fee will be the sole and exclusive remedy of the Company and its subsidiaries for any</w:t>
      </w:r>
      <w:r>
        <w:rPr>
          <w:sz w:val="20"/>
          <w:szCs w:val="20"/>
        </w:rPr>
        <w:t xml:space="preserve"> loss or damage suffered as a result of any breach or failure to perform under the Merger Agreement or other failure of the Merger to be consummated by Parent and Merger Sub.</w:t>
      </w:r>
    </w:p>
    <w:p w14:paraId="36142A1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EA0A92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Other than rights of specific performance that Parent may be entitled to, Paren</w:t>
      </w:r>
      <w:r>
        <w:rPr>
          <w:sz w:val="20"/>
          <w:szCs w:val="20"/>
        </w:rPr>
        <w:t>t’s right to terminate the Merger Agreement and receive a termination fee and certain costs, expenses and interest pursuant to the Merger Agreement will be the sole and exclusive remedy of Parent and Merger Sub for any loss or damage suffered as a result o</w:t>
      </w:r>
      <w:r>
        <w:rPr>
          <w:sz w:val="20"/>
          <w:szCs w:val="20"/>
        </w:rPr>
        <w:t>f any breach or failure to perform under the Merger Agreement or other failure of the Merger to be consummated by the Company.</w:t>
      </w:r>
    </w:p>
    <w:p w14:paraId="3484FD8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CFDFF4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While the parties may pursue </w:t>
      </w:r>
      <w:r>
        <w:rPr>
          <w:sz w:val="20"/>
          <w:szCs w:val="20"/>
        </w:rPr>
        <w:t>both a grant of specific performance and monetary damages, none of them will be permitted or entitled to receive both a grant of specific performance that results in the closing of the Merger and monetary damages.</w:t>
      </w:r>
    </w:p>
    <w:p w14:paraId="67371038" w14:textId="77777777" w:rsidR="00000000" w:rsidRDefault="002F725F">
      <w:pPr>
        <w:pStyle w:val="NormalWeb"/>
        <w:spacing w:before="0" w:beforeAutospacing="0" w:after="0" w:afterAutospacing="0"/>
        <w:divId w:val="415980837"/>
        <w:rPr>
          <w:sz w:val="20"/>
          <w:szCs w:val="20"/>
        </w:rPr>
      </w:pPr>
      <w:r>
        <w:rPr>
          <w:sz w:val="20"/>
          <w:szCs w:val="20"/>
        </w:rPr>
        <w:t> </w:t>
      </w:r>
    </w:p>
    <w:p w14:paraId="467634D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maximum aggregate liabilities of Par</w:t>
      </w:r>
      <w:r>
        <w:rPr>
          <w:sz w:val="20"/>
          <w:szCs w:val="20"/>
        </w:rPr>
        <w:t>ent and Merger Sub, on the one hand, and the Company, on the other hand, for monetary damages in connection with the Merger Agreement are limited to (i) a termination fee of US$100,000 and US$50,000, respectively, and (ii) reimbursement of certain expenses</w:t>
      </w:r>
      <w:r>
        <w:rPr>
          <w:sz w:val="20"/>
          <w:szCs w:val="20"/>
        </w:rPr>
        <w:t xml:space="preserve"> and interest in the event that </w:t>
      </w:r>
      <w:r>
        <w:rPr>
          <w:sz w:val="20"/>
          <w:szCs w:val="20"/>
        </w:rPr>
        <w:lastRenderedPageBreak/>
        <w:t>the Company or Parent fails to pay the applicable termination fee when due and in accordance with the requirements of the Merger Agreement, as the case may be.</w:t>
      </w:r>
    </w:p>
    <w:p w14:paraId="3FD63004"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 </w:t>
      </w:r>
    </w:p>
    <w:p w14:paraId="16FCD25C" w14:textId="77777777" w:rsidR="00000000" w:rsidRDefault="002F725F">
      <w:pPr>
        <w:pStyle w:val="NormalWeb"/>
        <w:spacing w:before="0" w:beforeAutospacing="0" w:after="0" w:afterAutospacing="0"/>
        <w:jc w:val="center"/>
        <w:divId w:val="2138789630"/>
        <w:rPr>
          <w:sz w:val="20"/>
          <w:szCs w:val="20"/>
        </w:rPr>
      </w:pPr>
      <w:r>
        <w:rPr>
          <w:sz w:val="20"/>
          <w:szCs w:val="20"/>
        </w:rPr>
        <w:t>6</w:t>
      </w:r>
      <w:r>
        <w:rPr>
          <w:sz w:val="20"/>
          <w:szCs w:val="20"/>
        </w:rPr>
        <w:t>5</w:t>
      </w:r>
    </w:p>
    <w:p w14:paraId="7C1EE324" w14:textId="77777777" w:rsidR="00000000" w:rsidRDefault="002F725F">
      <w:pPr>
        <w:pStyle w:val="NormalWeb"/>
        <w:spacing w:before="0" w:beforeAutospacing="0" w:after="0" w:afterAutospacing="0"/>
        <w:divId w:val="1911112693"/>
        <w:rPr>
          <w:sz w:val="20"/>
          <w:szCs w:val="20"/>
        </w:rPr>
      </w:pPr>
      <w:r>
        <w:rPr>
          <w:sz w:val="20"/>
          <w:szCs w:val="20"/>
        </w:rPr>
        <w:t> </w:t>
      </w:r>
    </w:p>
    <w:p w14:paraId="47FCE678"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4C227650" w14:textId="77777777" w:rsidR="00000000" w:rsidRDefault="002F725F">
      <w:pPr>
        <w:pStyle w:val="NormalWeb"/>
        <w:spacing w:before="0" w:beforeAutospacing="0" w:after="0" w:afterAutospacing="0"/>
        <w:jc w:val="both"/>
        <w:divId w:val="415980837"/>
        <w:rPr>
          <w:sz w:val="20"/>
          <w:szCs w:val="20"/>
        </w:rPr>
      </w:pPr>
      <w:r>
        <w:rPr>
          <w:b/>
          <w:bCs/>
          <w:sz w:val="20"/>
          <w:szCs w:val="20"/>
        </w:rPr>
        <w:t>Interests of Certain Persons in the Merger</w:t>
      </w:r>
    </w:p>
    <w:p w14:paraId="6121CA6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85ECE7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In conside</w:t>
      </w:r>
      <w:r>
        <w:rPr>
          <w:sz w:val="20"/>
          <w:szCs w:val="20"/>
        </w:rPr>
        <w:t>ring the recommendation of the Special Committee and the Board with respect to the Merger, you should be aware that members of the Buyer Group have interests in the transaction that are different from, and/or in addition to, the interests of the Unaffiliat</w:t>
      </w:r>
      <w:r>
        <w:rPr>
          <w:sz w:val="20"/>
          <w:szCs w:val="20"/>
        </w:rPr>
        <w:t>ed Security Holders generally. The Board and the Special Committee were aware of such interests and considered them, among other matters, in reaching their decisions to authorize and approve the Merger Agreement, the Plan of Merger and the Transactions, an</w:t>
      </w:r>
      <w:r>
        <w:rPr>
          <w:sz w:val="20"/>
          <w:szCs w:val="20"/>
        </w:rPr>
        <w:t>d recommend that our shareholders vote in favor of authorizing and approving the Merger Agreement, the Plan of Merger and the Transactions.</w:t>
      </w:r>
    </w:p>
    <w:p w14:paraId="1823D7DE" w14:textId="77777777" w:rsidR="00000000" w:rsidRDefault="002F725F">
      <w:pPr>
        <w:pStyle w:val="NormalWeb"/>
        <w:spacing w:before="0" w:beforeAutospacing="0" w:after="0" w:afterAutospacing="0"/>
        <w:jc w:val="both"/>
        <w:divId w:val="415980837"/>
        <w:rPr>
          <w:sz w:val="20"/>
          <w:szCs w:val="20"/>
        </w:rPr>
      </w:pPr>
      <w:r>
        <w:rPr>
          <w:b/>
          <w:bCs/>
          <w:i/>
          <w:iCs/>
          <w:sz w:val="20"/>
          <w:szCs w:val="20"/>
        </w:rPr>
        <w:t> </w:t>
      </w:r>
    </w:p>
    <w:p w14:paraId="321D264F" w14:textId="77777777" w:rsidR="00000000" w:rsidRDefault="002F725F">
      <w:pPr>
        <w:pStyle w:val="NormalWeb"/>
        <w:spacing w:before="0" w:beforeAutospacing="0" w:after="0" w:afterAutospacing="0"/>
        <w:jc w:val="both"/>
        <w:divId w:val="415980837"/>
        <w:rPr>
          <w:sz w:val="20"/>
          <w:szCs w:val="20"/>
        </w:rPr>
      </w:pPr>
      <w:r>
        <w:rPr>
          <w:b/>
          <w:bCs/>
          <w:i/>
          <w:iCs/>
          <w:sz w:val="20"/>
          <w:szCs w:val="20"/>
        </w:rPr>
        <w:t>Interests of the Buyer Filing Persons and the Other Rollover Shareholders</w:t>
      </w:r>
    </w:p>
    <w:p w14:paraId="2353633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111150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As a result of the Merger, Parent will</w:t>
      </w:r>
      <w:r>
        <w:rPr>
          <w:sz w:val="20"/>
          <w:szCs w:val="20"/>
        </w:rPr>
        <w:t xml:space="preserve"> own 100% of the equity interest in the Surviving Company immediately following the completion of the Merger. The Buyer Filing Persons and the Other Rollover Shareholders will directly or indirectly enjoy the benefits from any future earnings and growth of</w:t>
      </w:r>
      <w:r>
        <w:rPr>
          <w:sz w:val="20"/>
          <w:szCs w:val="20"/>
        </w:rPr>
        <w:t xml:space="preserve"> the Company after the Merger which, if the Company is successfully managed, could result in an increase in the value of their investments in the Company. In particular, to the extent that the Awards are ultimately revoked, invalidated or otherwise not enf</w:t>
      </w:r>
      <w:r>
        <w:rPr>
          <w:sz w:val="20"/>
          <w:szCs w:val="20"/>
        </w:rPr>
        <w:t>orced in whole or in part, the financial liabilities associated therewith could be reduced or eliminated, as applicable, although any partial revocation, invalidation or non-enforcement may not necessarily result in a material reduction of such liabilities</w:t>
      </w:r>
      <w:r>
        <w:rPr>
          <w:sz w:val="20"/>
          <w:szCs w:val="20"/>
        </w:rPr>
        <w:t>. To the extent the financial exposure, including the payment of the Awards, the cost associated with the judicial proceedings necessary to challenge or resist enforcement of the Awards, the risk of prolonged management distraction, reputational harm, incr</w:t>
      </w:r>
      <w:r>
        <w:rPr>
          <w:sz w:val="20"/>
          <w:szCs w:val="20"/>
        </w:rPr>
        <w:t>eased legal and administrative expenses, constraints on liquidity and capital resources, and the potential deterioration of the Company’s operations and business relationships during such period, actually borne by the Surviving Company in respect of the Aw</w:t>
      </w:r>
      <w:r>
        <w:rPr>
          <w:sz w:val="20"/>
          <w:szCs w:val="20"/>
        </w:rPr>
        <w:t>ards is less than the downward adjustment to the Merger consideration attributable to the Awards, the Buyer Filing Persons and the Other Rollover Shareholders may realize an additional benefit equal to such excess. The Buyer Filing Persons and the Other Ro</w:t>
      </w:r>
      <w:r>
        <w:rPr>
          <w:sz w:val="20"/>
          <w:szCs w:val="20"/>
        </w:rPr>
        <w:t>llover Shareholders will also bear the corresponding risks of any possible decreases in the future earnings, growth or value of the Company, including, in particular, the risks that the Awards are upheld, in which case the financial liabilities and obligat</w:t>
      </w:r>
      <w:r>
        <w:rPr>
          <w:sz w:val="20"/>
          <w:szCs w:val="20"/>
        </w:rPr>
        <w:t>ions associated with the Awards could materially and adversely affect the financial condition, liquidity and prospects of the Surviving Company, thereby leaving the Buyer Filing Persons and the Other Rollover Shareholders holding a significant stake in a f</w:t>
      </w:r>
      <w:r>
        <w:rPr>
          <w:sz w:val="20"/>
          <w:szCs w:val="20"/>
        </w:rPr>
        <w:t xml:space="preserve">inancially distressed company with limited liquidity and no clear path to realizing value from such investment. As there will be no public trading market for the Surviving Company’s shares, the Buyer Filing Persons and the Other Rollover Shareholders will </w:t>
      </w:r>
      <w:r>
        <w:rPr>
          <w:sz w:val="20"/>
          <w:szCs w:val="20"/>
        </w:rPr>
        <w:t>have no certainty of any future opportunity to sell such shares at an attractive price, or that any dividend paid by the Surviving Company will be sufficient to recover their respective investments in the Company.</w:t>
      </w:r>
    </w:p>
    <w:p w14:paraId="175FCF2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19A2A4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Merger may also provide additional m</w:t>
      </w:r>
      <w:r>
        <w:rPr>
          <w:sz w:val="20"/>
          <w:szCs w:val="20"/>
        </w:rPr>
        <w:t>eans to enhance shareholder value for the Buyer Filing Persons and the Other Rollover Shareholders, including improved profitability due to the elimination of the expenses associated with public company reporting and compliance, increased flexibility and r</w:t>
      </w:r>
      <w:r>
        <w:rPr>
          <w:sz w:val="20"/>
          <w:szCs w:val="20"/>
        </w:rPr>
        <w:t>esponsiveness in management of the business to achieve growth and respond to competition without the restrictions of short-term earnings comparisons, and additional means for making liquidity available to the Buyer Filing Persons and the Other Rollover Sha</w:t>
      </w:r>
      <w:r>
        <w:rPr>
          <w:sz w:val="20"/>
          <w:szCs w:val="20"/>
        </w:rPr>
        <w:t>reholders, such as through dividends or other distributions.</w:t>
      </w:r>
    </w:p>
    <w:p w14:paraId="225511AE" w14:textId="77777777" w:rsidR="00000000" w:rsidRDefault="002F725F">
      <w:pPr>
        <w:pStyle w:val="NormalWeb"/>
        <w:spacing w:before="0" w:beforeAutospacing="0" w:after="0" w:afterAutospacing="0"/>
        <w:jc w:val="both"/>
        <w:divId w:val="415980837"/>
        <w:rPr>
          <w:sz w:val="20"/>
          <w:szCs w:val="20"/>
        </w:rPr>
      </w:pPr>
      <w:r>
        <w:rPr>
          <w:b/>
          <w:bCs/>
          <w:i/>
          <w:iCs/>
          <w:sz w:val="20"/>
          <w:szCs w:val="20"/>
        </w:rPr>
        <w:t> </w:t>
      </w:r>
    </w:p>
    <w:p w14:paraId="34940DEA" w14:textId="77777777" w:rsidR="00000000" w:rsidRDefault="002F725F">
      <w:pPr>
        <w:pStyle w:val="NormalWeb"/>
        <w:spacing w:before="0" w:beforeAutospacing="0" w:after="0" w:afterAutospacing="0"/>
        <w:jc w:val="both"/>
        <w:divId w:val="415980837"/>
        <w:rPr>
          <w:sz w:val="20"/>
          <w:szCs w:val="20"/>
        </w:rPr>
      </w:pPr>
      <w:r>
        <w:rPr>
          <w:b/>
          <w:bCs/>
          <w:i/>
          <w:iCs/>
          <w:sz w:val="20"/>
          <w:szCs w:val="20"/>
        </w:rPr>
        <w:t>Interests of the Company’s Executive Officers and Directors in the Merger</w:t>
      </w:r>
    </w:p>
    <w:p w14:paraId="2EE68B5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D7C97C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In considering the recommendation of the Special Committee and the Board, the Company’s shareholders should be aware </w:t>
      </w:r>
      <w:r>
        <w:rPr>
          <w:sz w:val="20"/>
          <w:szCs w:val="20"/>
        </w:rPr>
        <w:t>that certain of the Company’s directors and executive officers have interests in the Transactions that are different from, and/or in addition to, the interests of the Company’s shareholders generally. These interests include:</w:t>
      </w:r>
    </w:p>
    <w:p w14:paraId="0FD82502"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9B4E600" w14:textId="77777777">
        <w:trPr>
          <w:divId w:val="415980837"/>
          <w:tblCellSpacing w:w="0" w:type="dxa"/>
        </w:trPr>
        <w:tc>
          <w:tcPr>
            <w:tcW w:w="720" w:type="dxa"/>
            <w:hideMark/>
          </w:tcPr>
          <w:p w14:paraId="72108488" w14:textId="77777777" w:rsidR="00000000" w:rsidRDefault="002F725F">
            <w:pPr>
              <w:rPr>
                <w:sz w:val="20"/>
                <w:szCs w:val="20"/>
              </w:rPr>
            </w:pPr>
          </w:p>
        </w:tc>
        <w:tc>
          <w:tcPr>
            <w:tcW w:w="360" w:type="dxa"/>
            <w:hideMark/>
          </w:tcPr>
          <w:p w14:paraId="7EB94831" w14:textId="77777777" w:rsidR="00000000" w:rsidRDefault="002F725F">
            <w:pPr>
              <w:rPr>
                <w:rFonts w:eastAsia="Times New Roman"/>
                <w:sz w:val="20"/>
                <w:szCs w:val="20"/>
              </w:rPr>
            </w:pPr>
            <w:r>
              <w:rPr>
                <w:rFonts w:eastAsia="Times New Roman"/>
                <w:sz w:val="20"/>
                <w:szCs w:val="20"/>
              </w:rPr>
              <w:t>●</w:t>
            </w:r>
          </w:p>
        </w:tc>
        <w:tc>
          <w:tcPr>
            <w:tcW w:w="0" w:type="auto"/>
            <w:hideMark/>
          </w:tcPr>
          <w:p w14:paraId="25138A7F" w14:textId="77777777" w:rsidR="00000000" w:rsidRDefault="002F725F">
            <w:pPr>
              <w:jc w:val="both"/>
              <w:rPr>
                <w:rFonts w:eastAsia="Times New Roman"/>
                <w:sz w:val="20"/>
                <w:szCs w:val="20"/>
              </w:rPr>
            </w:pPr>
            <w:r>
              <w:rPr>
                <w:rFonts w:eastAsia="Times New Roman"/>
                <w:sz w:val="20"/>
                <w:szCs w:val="20"/>
              </w:rPr>
              <w:t xml:space="preserve">the assumption by Parent of certain outstanding Company Options held by Mr. Xu Wang (director of the Board and chief executive officer of the Company), Ms. Rui (Rachel) Yu (director of the Board and chief financial officer of the Company) and Dr. Honggang </w:t>
            </w:r>
            <w:r>
              <w:rPr>
                <w:rFonts w:eastAsia="Times New Roman"/>
                <w:sz w:val="20"/>
                <w:szCs w:val="20"/>
              </w:rPr>
              <w:t>Teng (head of production and quality management of the Company), as a result of which such executive officers will continue to hold a beneficial interest in the Surviving Company and be able to enjoy the benefits from future earnings and growth of the Surv</w:t>
            </w:r>
            <w:r>
              <w:rPr>
                <w:rFonts w:eastAsia="Times New Roman"/>
                <w:sz w:val="20"/>
                <w:szCs w:val="20"/>
              </w:rPr>
              <w:t>iving Company after the completion of the Merger;</w:t>
            </w:r>
          </w:p>
        </w:tc>
      </w:tr>
    </w:tbl>
    <w:p w14:paraId="2BE89339"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D98515C" w14:textId="77777777">
        <w:trPr>
          <w:divId w:val="415980837"/>
          <w:tblCellSpacing w:w="0" w:type="dxa"/>
        </w:trPr>
        <w:tc>
          <w:tcPr>
            <w:tcW w:w="720" w:type="dxa"/>
            <w:hideMark/>
          </w:tcPr>
          <w:p w14:paraId="1464CA0D" w14:textId="77777777" w:rsidR="00000000" w:rsidRDefault="002F725F">
            <w:pPr>
              <w:rPr>
                <w:sz w:val="20"/>
                <w:szCs w:val="20"/>
              </w:rPr>
            </w:pPr>
          </w:p>
        </w:tc>
        <w:tc>
          <w:tcPr>
            <w:tcW w:w="360" w:type="dxa"/>
            <w:hideMark/>
          </w:tcPr>
          <w:p w14:paraId="79A80E1D" w14:textId="77777777" w:rsidR="00000000" w:rsidRDefault="002F725F">
            <w:pPr>
              <w:rPr>
                <w:rFonts w:eastAsia="Times New Roman"/>
                <w:sz w:val="20"/>
                <w:szCs w:val="20"/>
              </w:rPr>
            </w:pPr>
            <w:r>
              <w:rPr>
                <w:rFonts w:eastAsia="Times New Roman"/>
                <w:sz w:val="20"/>
                <w:szCs w:val="20"/>
              </w:rPr>
              <w:t>●</w:t>
            </w:r>
          </w:p>
        </w:tc>
        <w:tc>
          <w:tcPr>
            <w:tcW w:w="0" w:type="auto"/>
            <w:hideMark/>
          </w:tcPr>
          <w:p w14:paraId="3F3273FC" w14:textId="77777777" w:rsidR="00000000" w:rsidRDefault="002F725F">
            <w:pPr>
              <w:jc w:val="both"/>
              <w:rPr>
                <w:rFonts w:eastAsia="Times New Roman"/>
                <w:sz w:val="20"/>
                <w:szCs w:val="20"/>
              </w:rPr>
            </w:pPr>
            <w:r>
              <w:rPr>
                <w:rFonts w:eastAsia="Times New Roman"/>
                <w:sz w:val="20"/>
                <w:szCs w:val="20"/>
              </w:rPr>
              <w:t>continued indemnification rights and directors and officers liability insurance to be provided by the Surviving Company to former directors and officers of the Company pursuant to the Merger Agreement</w:t>
            </w:r>
            <w:r>
              <w:rPr>
                <w:rFonts w:eastAsia="Times New Roman"/>
                <w:sz w:val="20"/>
                <w:szCs w:val="20"/>
              </w:rPr>
              <w:t>;</w:t>
            </w:r>
          </w:p>
        </w:tc>
      </w:tr>
    </w:tbl>
    <w:p w14:paraId="2775DC7D"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602F629" w14:textId="77777777">
        <w:trPr>
          <w:divId w:val="415980837"/>
          <w:tblCellSpacing w:w="0" w:type="dxa"/>
        </w:trPr>
        <w:tc>
          <w:tcPr>
            <w:tcW w:w="720" w:type="dxa"/>
            <w:hideMark/>
          </w:tcPr>
          <w:p w14:paraId="6F986560" w14:textId="77777777" w:rsidR="00000000" w:rsidRDefault="002F725F">
            <w:pPr>
              <w:rPr>
                <w:rFonts w:eastAsia="Times New Roman"/>
                <w:sz w:val="20"/>
                <w:szCs w:val="20"/>
              </w:rPr>
            </w:pPr>
            <w:r>
              <w:rPr>
                <w:rFonts w:eastAsia="Times New Roman"/>
                <w:sz w:val="20"/>
                <w:szCs w:val="20"/>
              </w:rPr>
              <w:t> </w:t>
            </w:r>
          </w:p>
        </w:tc>
        <w:tc>
          <w:tcPr>
            <w:tcW w:w="360" w:type="dxa"/>
            <w:hideMark/>
          </w:tcPr>
          <w:p w14:paraId="4475F608" w14:textId="77777777" w:rsidR="00000000" w:rsidRDefault="002F725F">
            <w:pPr>
              <w:rPr>
                <w:rFonts w:eastAsia="Times New Roman"/>
                <w:sz w:val="20"/>
                <w:szCs w:val="20"/>
              </w:rPr>
            </w:pPr>
            <w:r>
              <w:rPr>
                <w:rFonts w:eastAsia="Times New Roman"/>
                <w:sz w:val="20"/>
                <w:szCs w:val="20"/>
              </w:rPr>
              <w:t>●</w:t>
            </w:r>
          </w:p>
        </w:tc>
        <w:tc>
          <w:tcPr>
            <w:tcW w:w="0" w:type="auto"/>
            <w:hideMark/>
          </w:tcPr>
          <w:p w14:paraId="7C6C68F2" w14:textId="77777777" w:rsidR="00000000" w:rsidRDefault="002F725F">
            <w:pPr>
              <w:jc w:val="both"/>
              <w:rPr>
                <w:rFonts w:eastAsia="Times New Roman"/>
                <w:sz w:val="20"/>
                <w:szCs w:val="20"/>
              </w:rPr>
            </w:pPr>
            <w:r>
              <w:rPr>
                <w:rFonts w:eastAsia="Times New Roman"/>
                <w:sz w:val="20"/>
                <w:szCs w:val="20"/>
              </w:rPr>
              <w:t>the compensation at a rate of (i) US$13,334 per month prior to November 4, 2025, the date of the Original Merger Agreement, or US$10,000 per month thereafter (up to a maximum amount of US$58,335), and US$10,000 per month for April and May 2026, fo</w:t>
            </w:r>
            <w:r>
              <w:rPr>
                <w:rFonts w:eastAsia="Times New Roman"/>
                <w:sz w:val="20"/>
                <w:szCs w:val="20"/>
              </w:rPr>
              <w:t xml:space="preserve">r the chairperson of the Special Committee, and (ii) US$10,000 per month prior to November 4, 2025 or US$6,250 per month thereafter (up to a maximum amount of US$40,625), and US$6,250  per month for April and May 2026, for each of the other members of the </w:t>
            </w:r>
            <w:r>
              <w:rPr>
                <w:rFonts w:eastAsia="Times New Roman"/>
                <w:sz w:val="20"/>
                <w:szCs w:val="20"/>
              </w:rPr>
              <w:t>Special Committee, respectively, in exchange for each member’s services in such capacity (the payment of which is not contingent upon the closing of the Merger or the Special Committee’s or the Board’s recommendation of the Merger); and</w:t>
            </w:r>
          </w:p>
        </w:tc>
      </w:tr>
    </w:tbl>
    <w:p w14:paraId="1AAA729D"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5AF4FEF" w14:textId="77777777">
        <w:trPr>
          <w:divId w:val="415980837"/>
          <w:tblCellSpacing w:w="0" w:type="dxa"/>
        </w:trPr>
        <w:tc>
          <w:tcPr>
            <w:tcW w:w="720" w:type="dxa"/>
            <w:hideMark/>
          </w:tcPr>
          <w:p w14:paraId="17FBC435" w14:textId="77777777" w:rsidR="00000000" w:rsidRDefault="002F725F">
            <w:pPr>
              <w:rPr>
                <w:sz w:val="20"/>
                <w:szCs w:val="20"/>
              </w:rPr>
            </w:pPr>
          </w:p>
        </w:tc>
        <w:tc>
          <w:tcPr>
            <w:tcW w:w="360" w:type="dxa"/>
            <w:hideMark/>
          </w:tcPr>
          <w:p w14:paraId="30A2F08F" w14:textId="77777777" w:rsidR="00000000" w:rsidRDefault="002F725F">
            <w:pPr>
              <w:rPr>
                <w:rFonts w:eastAsia="Times New Roman"/>
                <w:sz w:val="20"/>
                <w:szCs w:val="20"/>
              </w:rPr>
            </w:pPr>
            <w:r>
              <w:rPr>
                <w:rFonts w:eastAsia="Times New Roman"/>
                <w:sz w:val="20"/>
                <w:szCs w:val="20"/>
              </w:rPr>
              <w:t>●</w:t>
            </w:r>
          </w:p>
        </w:tc>
        <w:tc>
          <w:tcPr>
            <w:tcW w:w="0" w:type="auto"/>
            <w:hideMark/>
          </w:tcPr>
          <w:p w14:paraId="75F3667A" w14:textId="77777777" w:rsidR="00000000" w:rsidRDefault="002F725F">
            <w:pPr>
              <w:jc w:val="both"/>
              <w:rPr>
                <w:rFonts w:eastAsia="Times New Roman"/>
                <w:sz w:val="20"/>
                <w:szCs w:val="20"/>
              </w:rPr>
            </w:pPr>
            <w:r>
              <w:rPr>
                <w:rFonts w:eastAsia="Times New Roman"/>
                <w:sz w:val="20"/>
                <w:szCs w:val="20"/>
              </w:rPr>
              <w:t xml:space="preserve">the expected </w:t>
            </w:r>
            <w:r>
              <w:rPr>
                <w:rFonts w:eastAsia="Times New Roman"/>
                <w:sz w:val="20"/>
                <w:szCs w:val="20"/>
              </w:rPr>
              <w:t>continuation of service of the executive officers of the Company with the Surviving Company in positions that are substantially similar to their current positions, allowing them to benefit from remuneration arrangements with the Surviving Company.</w:t>
            </w:r>
          </w:p>
        </w:tc>
      </w:tr>
    </w:tbl>
    <w:p w14:paraId="019A2FD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328E39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Special Committee and the Board were aware of these potential conflicts of interest and considered them, among other matters, in reaching their decisions and recommendations with respect to the Merger Agreement and related matters. See “Treatment of Co</w:t>
      </w:r>
      <w:r>
        <w:rPr>
          <w:sz w:val="20"/>
          <w:szCs w:val="20"/>
        </w:rPr>
        <w:t>mpany Share Awards” beginning on page 67 and “Special Factors—Effects of the Merger on the Company—Directors and Management of the Surviving Company” beginning on page 59 for additional information.</w:t>
      </w:r>
    </w:p>
    <w:p w14:paraId="22AF7445" w14:textId="77777777" w:rsidR="00000000" w:rsidRDefault="002F725F">
      <w:pPr>
        <w:pStyle w:val="NormalWeb"/>
        <w:spacing w:before="0" w:beforeAutospacing="0" w:after="0" w:afterAutospacing="0"/>
        <w:jc w:val="center"/>
        <w:divId w:val="415980837"/>
        <w:rPr>
          <w:sz w:val="20"/>
          <w:szCs w:val="20"/>
        </w:rPr>
      </w:pPr>
      <w:r>
        <w:rPr>
          <w:b/>
          <w:bCs/>
          <w:i/>
          <w:iCs/>
          <w:sz w:val="20"/>
          <w:szCs w:val="20"/>
        </w:rPr>
        <w:t> </w:t>
      </w:r>
    </w:p>
    <w:p w14:paraId="400C2F54" w14:textId="77777777" w:rsidR="00000000" w:rsidRDefault="002F725F">
      <w:pPr>
        <w:pStyle w:val="NormalWeb"/>
        <w:spacing w:before="0" w:beforeAutospacing="0" w:after="0" w:afterAutospacing="0"/>
        <w:jc w:val="center"/>
        <w:divId w:val="1909729760"/>
        <w:rPr>
          <w:sz w:val="20"/>
          <w:szCs w:val="20"/>
        </w:rPr>
      </w:pPr>
      <w:r>
        <w:rPr>
          <w:sz w:val="20"/>
          <w:szCs w:val="20"/>
        </w:rPr>
        <w:t>6</w:t>
      </w:r>
      <w:r>
        <w:rPr>
          <w:sz w:val="20"/>
          <w:szCs w:val="20"/>
        </w:rPr>
        <w:t>6</w:t>
      </w:r>
    </w:p>
    <w:p w14:paraId="2E808AD0" w14:textId="77777777" w:rsidR="00000000" w:rsidRDefault="002F725F">
      <w:pPr>
        <w:pStyle w:val="NormalWeb"/>
        <w:spacing w:before="0" w:beforeAutospacing="0" w:after="0" w:afterAutospacing="0"/>
        <w:divId w:val="82143535"/>
        <w:rPr>
          <w:sz w:val="20"/>
          <w:szCs w:val="20"/>
        </w:rPr>
      </w:pPr>
      <w:r>
        <w:rPr>
          <w:sz w:val="20"/>
          <w:szCs w:val="20"/>
        </w:rPr>
        <w:t> </w:t>
      </w:r>
    </w:p>
    <w:p w14:paraId="145A0EE7" w14:textId="77777777" w:rsidR="00000000" w:rsidRDefault="002F725F">
      <w:pPr>
        <w:pStyle w:val="NormalWeb"/>
        <w:spacing w:before="0" w:beforeAutospacing="0" w:after="0" w:afterAutospacing="0"/>
        <w:jc w:val="center"/>
        <w:divId w:val="415980837"/>
        <w:rPr>
          <w:sz w:val="20"/>
          <w:szCs w:val="20"/>
        </w:rPr>
      </w:pPr>
      <w:r>
        <w:rPr>
          <w:b/>
          <w:bCs/>
          <w:i/>
          <w:iCs/>
          <w:sz w:val="20"/>
          <w:szCs w:val="20"/>
        </w:rPr>
        <w:t> </w:t>
      </w:r>
    </w:p>
    <w:p w14:paraId="5DFA7661" w14:textId="77777777" w:rsidR="00000000" w:rsidRDefault="002F725F">
      <w:pPr>
        <w:pStyle w:val="NormalWeb"/>
        <w:spacing w:before="0" w:beforeAutospacing="0" w:after="0" w:afterAutospacing="0"/>
        <w:jc w:val="both"/>
        <w:divId w:val="415980837"/>
        <w:rPr>
          <w:sz w:val="20"/>
          <w:szCs w:val="20"/>
        </w:rPr>
      </w:pPr>
      <w:r>
        <w:rPr>
          <w:b/>
          <w:bCs/>
          <w:i/>
          <w:iCs/>
          <w:sz w:val="20"/>
          <w:szCs w:val="20"/>
        </w:rPr>
        <w:t xml:space="preserve">Treatment of Company Warrants </w:t>
      </w:r>
    </w:p>
    <w:p w14:paraId="6C9C457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223064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From and after </w:t>
      </w:r>
      <w:r>
        <w:rPr>
          <w:sz w:val="20"/>
          <w:szCs w:val="20"/>
        </w:rPr>
        <w:t>the Effective Time, each Company Warrant will, by virtue of the Merger, be treated in the manner as set forth in the Warrant Agreement.</w:t>
      </w:r>
    </w:p>
    <w:p w14:paraId="54B5D13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E277CD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Pursuant to Section 4.5 of the Warrant Agreement, in the case of any merger or consolidation of the Company with or in</w:t>
      </w:r>
      <w:r>
        <w:rPr>
          <w:sz w:val="20"/>
          <w:szCs w:val="20"/>
        </w:rPr>
        <w:t>to another corporation (other than a consolidation or merger in which the Company is the continuing corporation and that does not result in any reclassification or reorganization of the issued and outstanding Shares), the holders of the Company Warrants sh</w:t>
      </w:r>
      <w:r>
        <w:rPr>
          <w:sz w:val="20"/>
          <w:szCs w:val="20"/>
        </w:rPr>
        <w:t>all thereafter have the right to purchase and receive, upon the basis and upon the terms and conditions specified in the Company Warrants and in lieu of the Shares immediately theretofore purchasable and receivable upon the exercise of the rights represent</w:t>
      </w:r>
      <w:r>
        <w:rPr>
          <w:sz w:val="20"/>
          <w:szCs w:val="20"/>
        </w:rPr>
        <w:t>ed thereby, the kind and amount of shares or stock or other securities or property (including cash) receivable upon such merger or consolidation, that the holder of the Company Warrants would have received if such holder had exercised his, her or its Compa</w:t>
      </w:r>
      <w:r>
        <w:rPr>
          <w:sz w:val="20"/>
          <w:szCs w:val="20"/>
        </w:rPr>
        <w:t>ny Warrant(s) immediately prior to such event. Accordingly, as a result of the Merger and immediately after the Effective Time, the holder(s) of each of the Company Warrants that is issued and outstanding immediately prior to the Effective Time will have t</w:t>
      </w:r>
      <w:r>
        <w:rPr>
          <w:sz w:val="20"/>
          <w:szCs w:val="20"/>
        </w:rPr>
        <w:t>he right to receive US$0.0066 (being one-tenth of the Per Share Merger Consideration as one Company Warrant is exercisable for one-tenth of a Share) per Company Warrant in cash, upon the exercise of such Company Warrant by paying US$11.5, the exercise pric</w:t>
      </w:r>
      <w:r>
        <w:rPr>
          <w:sz w:val="20"/>
          <w:szCs w:val="20"/>
        </w:rPr>
        <w:t>e per Company Warrant, to the Surviving Company.</w:t>
      </w:r>
    </w:p>
    <w:p w14:paraId="2BEC88B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C44A03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Section 4.5 of the Warrant Agreement further provides that, if less than 70% of the consideration receivable by the holders of the Shares in such a transaction is payable in the form of shares in the succe</w:t>
      </w:r>
      <w:r>
        <w:rPr>
          <w:sz w:val="20"/>
          <w:szCs w:val="20"/>
        </w:rPr>
        <w:t xml:space="preserve">ssor entity that is listed </w:t>
      </w:r>
      <w:r>
        <w:rPr>
          <w:sz w:val="20"/>
          <w:szCs w:val="20"/>
        </w:rPr>
        <w:lastRenderedPageBreak/>
        <w:t>for trading on a national securities exchange or is quoted in an established over-the-counter market, or is to be so listed for trading or quoted immediately following such event, and if the registered holder of the Company Warra</w:t>
      </w:r>
      <w:r>
        <w:rPr>
          <w:sz w:val="20"/>
          <w:szCs w:val="20"/>
        </w:rPr>
        <w:t>nt properly exercises the Company Warrant within thirty days following public disclosure of the consummation of such applicable event by the Company, the warrant exercise price will be reduced as specified in the Warrant Agreement based on the Black-Schole</w:t>
      </w:r>
      <w:r>
        <w:rPr>
          <w:sz w:val="20"/>
          <w:szCs w:val="20"/>
        </w:rPr>
        <w:t>s value (as defined in the Warrant Agreement) of the Company Warrant.</w:t>
      </w:r>
    </w:p>
    <w:p w14:paraId="5FC2C3AE" w14:textId="77777777" w:rsidR="00000000" w:rsidRDefault="002F725F">
      <w:pPr>
        <w:pStyle w:val="NormalWeb"/>
        <w:spacing w:before="0" w:beforeAutospacing="0" w:after="0" w:afterAutospacing="0"/>
        <w:jc w:val="both"/>
        <w:divId w:val="415980837"/>
        <w:rPr>
          <w:sz w:val="20"/>
          <w:szCs w:val="20"/>
        </w:rPr>
      </w:pPr>
      <w:r>
        <w:rPr>
          <w:b/>
          <w:bCs/>
          <w:i/>
          <w:iCs/>
          <w:sz w:val="20"/>
          <w:szCs w:val="20"/>
        </w:rPr>
        <w:t> </w:t>
      </w:r>
    </w:p>
    <w:p w14:paraId="4DD9CD6A" w14:textId="77777777" w:rsidR="00000000" w:rsidRDefault="002F725F">
      <w:pPr>
        <w:pStyle w:val="NormalWeb"/>
        <w:spacing w:before="0" w:beforeAutospacing="0" w:after="0" w:afterAutospacing="0"/>
        <w:jc w:val="both"/>
        <w:divId w:val="415980837"/>
        <w:rPr>
          <w:sz w:val="20"/>
          <w:szCs w:val="20"/>
        </w:rPr>
      </w:pPr>
      <w:r>
        <w:rPr>
          <w:b/>
          <w:bCs/>
          <w:i/>
          <w:iCs/>
          <w:sz w:val="20"/>
          <w:szCs w:val="20"/>
        </w:rPr>
        <w:t>Treatment of Company Share Awards</w:t>
      </w:r>
    </w:p>
    <w:p w14:paraId="37AA483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AA1C86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At or prior to the Effective Time, the Company will terminate the Share Incentive Plans and all award agreements entered into under Company Options </w:t>
      </w:r>
      <w:r>
        <w:rPr>
          <w:sz w:val="20"/>
          <w:szCs w:val="20"/>
        </w:rPr>
        <w:t>and Company RSUs, effective as of the Effective Time.</w:t>
      </w:r>
    </w:p>
    <w:p w14:paraId="4B92613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9A7C16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Each Company Option granted under the 2020 Plan that is not vested and is outstanding immediately prior to the Effective Time will become fully vested as of the Effective Time. Each Company Option gra</w:t>
      </w:r>
      <w:r>
        <w:rPr>
          <w:sz w:val="20"/>
          <w:szCs w:val="20"/>
        </w:rPr>
        <w:t>nted under the 2020 Plan that is fully vested and outstanding immediately prior to the Effective Time and the unvested Company Options that become fully vested as of the Effective Time pursuant to the preceding sentence will be cancelled as of the Effectiv</w:t>
      </w:r>
      <w:r>
        <w:rPr>
          <w:sz w:val="20"/>
          <w:szCs w:val="20"/>
        </w:rPr>
        <w:t>e Time and immediately converted into the right to receive in exchange therefor an amount of cash equal to (i) the excess, if any, of (A) the Per Share Merger Consideration over (B) the exercise price of such Company Option, multiplied by (ii) the number o</w:t>
      </w:r>
      <w:r>
        <w:rPr>
          <w:sz w:val="20"/>
          <w:szCs w:val="20"/>
        </w:rPr>
        <w:t>f Shares underlying such Company Option, which amount will be paid as soon as reasonably practicable following the Effective Time by the Surviving Company pursuant to the ordinary payroll practices; provided, that if the exercise price of any such vested C</w:t>
      </w:r>
      <w:r>
        <w:rPr>
          <w:sz w:val="20"/>
          <w:szCs w:val="20"/>
        </w:rPr>
        <w:t>ompany Option is equal to or greater than the Per Share Merger Consideration, such vested Company Option will be cancelled without any payment therefor.</w:t>
      </w:r>
    </w:p>
    <w:p w14:paraId="43B4AC5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54490D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Each Company RSU granted under the 2020 Plan that is not vested and is outstanding immediately prior </w:t>
      </w:r>
      <w:r>
        <w:rPr>
          <w:sz w:val="20"/>
          <w:szCs w:val="20"/>
        </w:rPr>
        <w:t>to the Effective Time will become fully vested immediately prior to the Effective Time. Each Company RSU granted under the 2020 Plan that is fully vested and outstanding immediately prior to the Effective Time and the unvested Company RSUs that become full</w:t>
      </w:r>
      <w:r>
        <w:rPr>
          <w:sz w:val="20"/>
          <w:szCs w:val="20"/>
        </w:rPr>
        <w:t>y vested as of the Effective Time pursuant to the preceding sentence will be cancelled as of the Effective Time and immediately converted into the right to receive in exchange therefor an amount of cash equal to (i) the Per Share Merger Consideration, mult</w:t>
      </w:r>
      <w:r>
        <w:rPr>
          <w:sz w:val="20"/>
          <w:szCs w:val="20"/>
        </w:rPr>
        <w:t>iplied by (ii) the number of Shares subject to such Company RSUs, which amount will be paid as soon as reasonably practicable following the Effective Time by the Surviving Company pursuant to the ordinary payroll practices.</w:t>
      </w:r>
    </w:p>
    <w:p w14:paraId="3274B4D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24B3D5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At the Effective Time, except </w:t>
      </w:r>
      <w:r>
        <w:rPr>
          <w:sz w:val="20"/>
          <w:szCs w:val="20"/>
        </w:rPr>
        <w:t>as otherwise agreed to in writing between a holder of a Company Option and Parent, each Company Option under the 2024 Plan, whether vested or unvested, will be assumed by Parent as an option to purchase Parent Shares under an equity incentive plan to be es</w:t>
      </w:r>
      <w:r>
        <w:rPr>
          <w:sz w:val="20"/>
          <w:szCs w:val="20"/>
        </w:rPr>
        <w:t>tablished by Parent, exercisable into a number of Parent Shares equal to the product of (i) the number of Shares subject to the corresponding Company Option immediately prior to the Effective Time, multiplied by (ii) the Exchange Ratio, and rounding such p</w:t>
      </w:r>
      <w:r>
        <w:rPr>
          <w:sz w:val="20"/>
          <w:szCs w:val="20"/>
        </w:rPr>
        <w:t xml:space="preserve">roduct down to the nearest whole number of Parent Shares, with an exercise price per share subject to the assumed option equal to the exercise price for which the corresponding Company Option was exercisable immediately prior to the Effective Time divided </w:t>
      </w:r>
      <w:r>
        <w:rPr>
          <w:sz w:val="20"/>
          <w:szCs w:val="20"/>
        </w:rPr>
        <w:t>by the Exchange Ratio, and rounded up to the nearest whole cent. Except as provided above, each assumed option will continue to have, and be subject to, the same terms and conditions as the corresponding Company Option set forth in the 2024 Plan and the ap</w:t>
      </w:r>
      <w:r>
        <w:rPr>
          <w:sz w:val="20"/>
          <w:szCs w:val="20"/>
        </w:rPr>
        <w:t>plicable award agreement as in effect immediately prior to the Effective Time.</w:t>
      </w:r>
    </w:p>
    <w:p w14:paraId="5B7C9E73"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6D780EF" w14:textId="77777777" w:rsidR="00000000" w:rsidRDefault="002F725F">
      <w:pPr>
        <w:pStyle w:val="NormalWeb"/>
        <w:spacing w:before="0" w:beforeAutospacing="0" w:after="0" w:afterAutospacing="0"/>
        <w:jc w:val="center"/>
        <w:divId w:val="1713075932"/>
        <w:rPr>
          <w:sz w:val="20"/>
          <w:szCs w:val="20"/>
        </w:rPr>
      </w:pPr>
      <w:r>
        <w:rPr>
          <w:sz w:val="20"/>
          <w:szCs w:val="20"/>
        </w:rPr>
        <w:t>6</w:t>
      </w:r>
      <w:r>
        <w:rPr>
          <w:sz w:val="20"/>
          <w:szCs w:val="20"/>
        </w:rPr>
        <w:t>7</w:t>
      </w:r>
    </w:p>
    <w:p w14:paraId="247A44E4" w14:textId="77777777" w:rsidR="00000000" w:rsidRDefault="002F725F">
      <w:pPr>
        <w:pStyle w:val="NormalWeb"/>
        <w:spacing w:before="0" w:beforeAutospacing="0" w:after="0" w:afterAutospacing="0"/>
        <w:divId w:val="33503844"/>
        <w:rPr>
          <w:sz w:val="20"/>
          <w:szCs w:val="20"/>
        </w:rPr>
      </w:pPr>
      <w:r>
        <w:rPr>
          <w:sz w:val="20"/>
          <w:szCs w:val="20"/>
        </w:rPr>
        <w:t> </w:t>
      </w:r>
    </w:p>
    <w:p w14:paraId="01B1A02B"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65A541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At </w:t>
      </w:r>
      <w:r>
        <w:rPr>
          <w:sz w:val="20"/>
          <w:szCs w:val="20"/>
        </w:rPr>
        <w:t>the Effective Time, except as otherwise agreed to in writing between a holder of a Company RSU and Parent, each Company RSU under the 2024 Plan, whether vested or unvested, will be assumed by Parent as a restricted stock unit award with respect to a number</w:t>
      </w:r>
      <w:r>
        <w:rPr>
          <w:sz w:val="20"/>
          <w:szCs w:val="20"/>
        </w:rPr>
        <w:t xml:space="preserve"> of Parent Shares equal to the product of (i) the number of Shares subject to such Company RSU immediately prior to the Effective Time, multiplied by (ii) the Exchange Ratio, rounding such product down to the nearest whole number of Parent Shares. Except a</w:t>
      </w:r>
      <w:r>
        <w:rPr>
          <w:sz w:val="20"/>
          <w:szCs w:val="20"/>
        </w:rPr>
        <w:t>s provided above, each assumed restricted stock unit award will continue to have, and be subject to, the same terms and conditions as the corresponding Company RSU set forth in the 2024 Plan and the applicable award agreement as in effect immediately prior</w:t>
      </w:r>
      <w:r>
        <w:rPr>
          <w:sz w:val="20"/>
          <w:szCs w:val="20"/>
        </w:rPr>
        <w:t xml:space="preserve"> to the Effective Time.</w:t>
      </w:r>
    </w:p>
    <w:p w14:paraId="225887E5"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p w14:paraId="396213A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Parent may seek, prior to the closing date, to agree with an individual holder of any Company Options or Company RSUs that all or a portion of such holder’s Company Options or Company RSUs will not be treated as provided in the Me</w:t>
      </w:r>
      <w:r>
        <w:rPr>
          <w:sz w:val="20"/>
          <w:szCs w:val="20"/>
        </w:rPr>
        <w:t>rger Agreement, but will instead be treated as otherwise agreed by and among such holder, the Company and Parent; provided, that in no event will such arrangement result in the assumption, substitution or continuation of such Company Options or Company RSU</w:t>
      </w:r>
      <w:r>
        <w:rPr>
          <w:sz w:val="20"/>
          <w:szCs w:val="20"/>
        </w:rPr>
        <w:t>s with terms and conditions that provide additional benefits to such individual holder as compared to terms and conditions in effect immediately prior to the Effective Time. The Company agrees that, to the extent that Parent has identified to the Company i</w:t>
      </w:r>
      <w:r>
        <w:rPr>
          <w:sz w:val="20"/>
          <w:szCs w:val="20"/>
        </w:rPr>
        <w:t>n writing, at least 15 days prior to the closing date, the individuals with whom it is seeking agreement with respect to such Company Options or Company RSUs, the Company will use commercially reasonable efforts to facilitate Parent’s access to such indivi</w:t>
      </w:r>
      <w:r>
        <w:rPr>
          <w:sz w:val="20"/>
          <w:szCs w:val="20"/>
        </w:rPr>
        <w:t>duals in order to discuss such alternative arrangement.</w:t>
      </w:r>
    </w:p>
    <w:p w14:paraId="02983DF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58D055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following table shows, as of May 8, 2026, for each director and executive officer of the Company, (a) the number of Shares owned and the cash payment that will be made in respect of the Shares a</w:t>
      </w:r>
      <w:r>
        <w:rPr>
          <w:sz w:val="20"/>
          <w:szCs w:val="20"/>
        </w:rPr>
        <w:t>t the Effective Time, (b) the number of Company Options granted under the Share Incentive Plans and the cash payment that will be made in respect of the Company Option pursuant to the Merger Agreement, (c) the number of Company RSUs granted under the Share</w:t>
      </w:r>
      <w:r>
        <w:rPr>
          <w:sz w:val="20"/>
          <w:szCs w:val="20"/>
        </w:rPr>
        <w:t xml:space="preserve"> Incentive Plans and the cash payment that will be made in respect of the Company RSUs, and (d) the total cash payment that will be made in respect of the outstanding Shares, Company Options and Company RSUs held by each director and executive officer of t</w:t>
      </w:r>
      <w:r>
        <w:rPr>
          <w:sz w:val="20"/>
          <w:szCs w:val="20"/>
        </w:rPr>
        <w:t>he Company (in all cases before applicable withholding taxes).</w:t>
      </w:r>
      <w:r>
        <w:rPr>
          <w:sz w:val="20"/>
          <w:szCs w:val="20"/>
          <w:vertAlign w:val="superscript"/>
        </w:rPr>
        <w:t>1</w:t>
      </w:r>
    </w:p>
    <w:p w14:paraId="2E12BCB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1497"/>
        <w:gridCol w:w="93"/>
        <w:gridCol w:w="93"/>
        <w:gridCol w:w="841"/>
        <w:gridCol w:w="93"/>
        <w:gridCol w:w="93"/>
        <w:gridCol w:w="94"/>
        <w:gridCol w:w="842"/>
        <w:gridCol w:w="94"/>
        <w:gridCol w:w="94"/>
        <w:gridCol w:w="94"/>
        <w:gridCol w:w="842"/>
        <w:gridCol w:w="94"/>
        <w:gridCol w:w="94"/>
        <w:gridCol w:w="94"/>
        <w:gridCol w:w="842"/>
        <w:gridCol w:w="94"/>
        <w:gridCol w:w="94"/>
        <w:gridCol w:w="94"/>
        <w:gridCol w:w="842"/>
        <w:gridCol w:w="94"/>
        <w:gridCol w:w="94"/>
        <w:gridCol w:w="94"/>
        <w:gridCol w:w="842"/>
        <w:gridCol w:w="94"/>
        <w:gridCol w:w="94"/>
        <w:gridCol w:w="94"/>
        <w:gridCol w:w="842"/>
        <w:gridCol w:w="94"/>
      </w:tblGrid>
      <w:tr w:rsidR="00000000" w14:paraId="06629E37" w14:textId="77777777">
        <w:trPr>
          <w:divId w:val="415980837"/>
        </w:trPr>
        <w:tc>
          <w:tcPr>
            <w:tcW w:w="0" w:type="auto"/>
            <w:tcBorders>
              <w:bottom w:val="single" w:sz="12" w:space="0" w:color="000000"/>
            </w:tcBorders>
            <w:vAlign w:val="bottom"/>
            <w:hideMark/>
          </w:tcPr>
          <w:p w14:paraId="1FDD93DE" w14:textId="77777777" w:rsidR="00000000" w:rsidRDefault="002F725F">
            <w:pPr>
              <w:rPr>
                <w:rFonts w:eastAsia="Times New Roman"/>
                <w:b/>
                <w:bCs/>
                <w:sz w:val="20"/>
                <w:szCs w:val="20"/>
              </w:rPr>
            </w:pPr>
            <w:r>
              <w:rPr>
                <w:rFonts w:eastAsia="Times New Roman"/>
                <w:b/>
                <w:bCs/>
                <w:sz w:val="20"/>
                <w:szCs w:val="20"/>
              </w:rPr>
              <w:t>Name</w:t>
            </w:r>
          </w:p>
        </w:tc>
        <w:tc>
          <w:tcPr>
            <w:tcW w:w="0" w:type="auto"/>
            <w:tcMar>
              <w:top w:w="0" w:type="dxa"/>
              <w:left w:w="0" w:type="dxa"/>
              <w:bottom w:w="30" w:type="dxa"/>
              <w:right w:w="0" w:type="dxa"/>
            </w:tcMar>
            <w:vAlign w:val="bottom"/>
            <w:hideMark/>
          </w:tcPr>
          <w:p w14:paraId="127E5CA8"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4B54491" w14:textId="77777777" w:rsidR="00000000" w:rsidRDefault="002F725F">
            <w:pPr>
              <w:jc w:val="center"/>
              <w:rPr>
                <w:rFonts w:eastAsia="Times New Roman"/>
                <w:b/>
                <w:bCs/>
                <w:sz w:val="20"/>
                <w:szCs w:val="20"/>
              </w:rPr>
            </w:pPr>
            <w:r>
              <w:rPr>
                <w:rFonts w:eastAsia="Times New Roman"/>
                <w:b/>
                <w:bCs/>
                <w:sz w:val="20"/>
                <w:szCs w:val="20"/>
              </w:rPr>
              <w:t>Shares</w:t>
            </w:r>
            <w:r>
              <w:rPr>
                <w:rFonts w:eastAsia="Times New Roman"/>
                <w:b/>
                <w:bCs/>
                <w:sz w:val="20"/>
                <w:szCs w:val="20"/>
                <w:vertAlign w:val="superscript"/>
              </w:rPr>
              <w:t>2</w:t>
            </w:r>
          </w:p>
        </w:tc>
        <w:tc>
          <w:tcPr>
            <w:tcW w:w="0" w:type="auto"/>
            <w:tcMar>
              <w:top w:w="0" w:type="dxa"/>
              <w:left w:w="0" w:type="dxa"/>
              <w:bottom w:w="30" w:type="dxa"/>
              <w:right w:w="0" w:type="dxa"/>
            </w:tcMar>
            <w:vAlign w:val="bottom"/>
            <w:hideMark/>
          </w:tcPr>
          <w:p w14:paraId="0914369C"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677FC088"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2B0A14A6" w14:textId="77777777" w:rsidR="00000000" w:rsidRDefault="002F725F">
            <w:pPr>
              <w:jc w:val="center"/>
              <w:rPr>
                <w:rFonts w:eastAsia="Times New Roman"/>
                <w:b/>
                <w:bCs/>
                <w:sz w:val="20"/>
                <w:szCs w:val="20"/>
              </w:rPr>
            </w:pPr>
            <w:r>
              <w:rPr>
                <w:rFonts w:eastAsia="Times New Roman"/>
                <w:b/>
                <w:bCs/>
                <w:sz w:val="20"/>
                <w:szCs w:val="20"/>
              </w:rPr>
              <w:t>Cash payment</w:t>
            </w:r>
            <w:r>
              <w:rPr>
                <w:rFonts w:eastAsia="Times New Roman"/>
                <w:b/>
                <w:bCs/>
                <w:sz w:val="20"/>
                <w:szCs w:val="20"/>
              </w:rPr>
              <w:br/>
              <w:t xml:space="preserve">to be received </w:t>
            </w:r>
            <w:r>
              <w:rPr>
                <w:rFonts w:eastAsia="Times New Roman"/>
                <w:b/>
                <w:bCs/>
                <w:sz w:val="20"/>
                <w:szCs w:val="20"/>
              </w:rPr>
              <w:br/>
              <w:t>for the Shares</w:t>
            </w:r>
            <w:r>
              <w:rPr>
                <w:rFonts w:eastAsia="Times New Roman"/>
                <w:b/>
                <w:bCs/>
                <w:sz w:val="20"/>
                <w:szCs w:val="20"/>
              </w:rPr>
              <w:br/>
              <w:t>upon Effective</w:t>
            </w:r>
            <w:r>
              <w:rPr>
                <w:rFonts w:eastAsia="Times New Roman"/>
                <w:b/>
                <w:bCs/>
                <w:sz w:val="20"/>
                <w:szCs w:val="20"/>
              </w:rPr>
              <w:br/>
              <w:t>Time ($)</w:t>
            </w:r>
          </w:p>
        </w:tc>
        <w:tc>
          <w:tcPr>
            <w:tcW w:w="0" w:type="auto"/>
            <w:tcMar>
              <w:top w:w="0" w:type="dxa"/>
              <w:left w:w="0" w:type="dxa"/>
              <w:bottom w:w="30" w:type="dxa"/>
              <w:right w:w="0" w:type="dxa"/>
            </w:tcMar>
            <w:vAlign w:val="bottom"/>
            <w:hideMark/>
          </w:tcPr>
          <w:p w14:paraId="3CC6E5B8"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5678D46"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60A39091" w14:textId="77777777" w:rsidR="00000000" w:rsidRDefault="002F725F">
            <w:pPr>
              <w:jc w:val="center"/>
              <w:rPr>
                <w:rFonts w:eastAsia="Times New Roman"/>
                <w:b/>
                <w:bCs/>
                <w:sz w:val="20"/>
                <w:szCs w:val="20"/>
              </w:rPr>
            </w:pPr>
            <w:r>
              <w:rPr>
                <w:rFonts w:eastAsia="Times New Roman"/>
                <w:b/>
                <w:bCs/>
                <w:sz w:val="20"/>
                <w:szCs w:val="20"/>
              </w:rPr>
              <w:t>Shares</w:t>
            </w:r>
            <w:r>
              <w:rPr>
                <w:rFonts w:eastAsia="Times New Roman"/>
                <w:b/>
                <w:bCs/>
                <w:sz w:val="20"/>
                <w:szCs w:val="20"/>
              </w:rPr>
              <w:br/>
              <w:t>underlying</w:t>
            </w:r>
            <w:r>
              <w:rPr>
                <w:rFonts w:eastAsia="Times New Roman"/>
                <w:b/>
                <w:bCs/>
                <w:sz w:val="20"/>
                <w:szCs w:val="20"/>
              </w:rPr>
              <w:br/>
              <w:t>Company</w:t>
            </w:r>
            <w:r>
              <w:rPr>
                <w:rFonts w:eastAsia="Times New Roman"/>
                <w:b/>
                <w:bCs/>
                <w:sz w:val="20"/>
                <w:szCs w:val="20"/>
              </w:rPr>
              <w:br/>
              <w:t>Options</w:t>
            </w:r>
          </w:p>
        </w:tc>
        <w:tc>
          <w:tcPr>
            <w:tcW w:w="0" w:type="auto"/>
            <w:tcMar>
              <w:top w:w="0" w:type="dxa"/>
              <w:left w:w="0" w:type="dxa"/>
              <w:bottom w:w="30" w:type="dxa"/>
              <w:right w:w="0" w:type="dxa"/>
            </w:tcMar>
            <w:vAlign w:val="bottom"/>
            <w:hideMark/>
          </w:tcPr>
          <w:p w14:paraId="7DEDF838"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2D586B9D"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342535D6" w14:textId="77777777" w:rsidR="00000000" w:rsidRDefault="002F725F">
            <w:pPr>
              <w:jc w:val="center"/>
              <w:rPr>
                <w:rFonts w:eastAsia="Times New Roman"/>
                <w:b/>
                <w:bCs/>
                <w:sz w:val="20"/>
                <w:szCs w:val="20"/>
              </w:rPr>
            </w:pPr>
            <w:r>
              <w:rPr>
                <w:rFonts w:eastAsia="Times New Roman"/>
                <w:b/>
                <w:bCs/>
                <w:sz w:val="20"/>
                <w:szCs w:val="20"/>
              </w:rPr>
              <w:t>Cash payment</w:t>
            </w:r>
            <w:r>
              <w:rPr>
                <w:rFonts w:eastAsia="Times New Roman"/>
                <w:b/>
                <w:bCs/>
                <w:sz w:val="20"/>
                <w:szCs w:val="20"/>
              </w:rPr>
              <w:br/>
              <w:t xml:space="preserve">to be received </w:t>
            </w:r>
            <w:r>
              <w:rPr>
                <w:rFonts w:eastAsia="Times New Roman"/>
                <w:b/>
                <w:bCs/>
                <w:sz w:val="20"/>
                <w:szCs w:val="20"/>
              </w:rPr>
              <w:br/>
              <w:t>for Company</w:t>
            </w:r>
            <w:r>
              <w:rPr>
                <w:rFonts w:eastAsia="Times New Roman"/>
                <w:b/>
                <w:bCs/>
                <w:sz w:val="20"/>
                <w:szCs w:val="20"/>
              </w:rPr>
              <w:br/>
              <w:t>Options ($)</w:t>
            </w:r>
          </w:p>
        </w:tc>
        <w:tc>
          <w:tcPr>
            <w:tcW w:w="0" w:type="auto"/>
            <w:tcMar>
              <w:top w:w="0" w:type="dxa"/>
              <w:left w:w="0" w:type="dxa"/>
              <w:bottom w:w="30" w:type="dxa"/>
              <w:right w:w="0" w:type="dxa"/>
            </w:tcMar>
            <w:vAlign w:val="bottom"/>
            <w:hideMark/>
          </w:tcPr>
          <w:p w14:paraId="128F1761"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1680A667"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607C7FCE" w14:textId="77777777" w:rsidR="00000000" w:rsidRDefault="002F725F">
            <w:pPr>
              <w:jc w:val="center"/>
              <w:rPr>
                <w:rFonts w:eastAsia="Times New Roman"/>
                <w:b/>
                <w:bCs/>
                <w:sz w:val="20"/>
                <w:szCs w:val="20"/>
              </w:rPr>
            </w:pPr>
            <w:r>
              <w:rPr>
                <w:rFonts w:eastAsia="Times New Roman"/>
                <w:b/>
                <w:bCs/>
                <w:sz w:val="20"/>
                <w:szCs w:val="20"/>
              </w:rPr>
              <w:t>Shares</w:t>
            </w:r>
            <w:r>
              <w:rPr>
                <w:rFonts w:eastAsia="Times New Roman"/>
                <w:b/>
                <w:bCs/>
                <w:sz w:val="20"/>
                <w:szCs w:val="20"/>
              </w:rPr>
              <w:br/>
              <w:t>underlying</w:t>
            </w:r>
            <w:r>
              <w:rPr>
                <w:rFonts w:eastAsia="Times New Roman"/>
                <w:b/>
                <w:bCs/>
                <w:sz w:val="20"/>
                <w:szCs w:val="20"/>
              </w:rPr>
              <w:br/>
              <w:t>Company</w:t>
            </w:r>
            <w:r>
              <w:rPr>
                <w:rFonts w:eastAsia="Times New Roman"/>
                <w:b/>
                <w:bCs/>
                <w:sz w:val="20"/>
                <w:szCs w:val="20"/>
              </w:rPr>
              <w:br/>
              <w:t>RSUs</w:t>
            </w:r>
          </w:p>
        </w:tc>
        <w:tc>
          <w:tcPr>
            <w:tcW w:w="0" w:type="auto"/>
            <w:tcMar>
              <w:top w:w="0" w:type="dxa"/>
              <w:left w:w="0" w:type="dxa"/>
              <w:bottom w:w="30" w:type="dxa"/>
              <w:right w:w="0" w:type="dxa"/>
            </w:tcMar>
            <w:vAlign w:val="bottom"/>
            <w:hideMark/>
          </w:tcPr>
          <w:p w14:paraId="233FD921"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637991EA"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49DFB06C" w14:textId="77777777" w:rsidR="00000000" w:rsidRDefault="002F725F">
            <w:pPr>
              <w:jc w:val="center"/>
              <w:rPr>
                <w:rFonts w:eastAsia="Times New Roman"/>
                <w:b/>
                <w:bCs/>
                <w:sz w:val="20"/>
                <w:szCs w:val="20"/>
              </w:rPr>
            </w:pPr>
            <w:r>
              <w:rPr>
                <w:rFonts w:eastAsia="Times New Roman"/>
                <w:b/>
                <w:bCs/>
                <w:sz w:val="20"/>
                <w:szCs w:val="20"/>
              </w:rPr>
              <w:t>Cash payment</w:t>
            </w:r>
            <w:r>
              <w:rPr>
                <w:rFonts w:eastAsia="Times New Roman"/>
                <w:b/>
                <w:bCs/>
                <w:sz w:val="20"/>
                <w:szCs w:val="20"/>
              </w:rPr>
              <w:br/>
              <w:t>to be received</w:t>
            </w:r>
            <w:r>
              <w:rPr>
                <w:rFonts w:eastAsia="Times New Roman"/>
                <w:b/>
                <w:bCs/>
                <w:sz w:val="20"/>
                <w:szCs w:val="20"/>
              </w:rPr>
              <w:br/>
              <w:t>for Company</w:t>
            </w:r>
            <w:r>
              <w:rPr>
                <w:rFonts w:eastAsia="Times New Roman"/>
                <w:b/>
                <w:bCs/>
                <w:sz w:val="20"/>
                <w:szCs w:val="20"/>
              </w:rPr>
              <w:br/>
              <w:t>RSUs ($)</w:t>
            </w:r>
          </w:p>
        </w:tc>
        <w:tc>
          <w:tcPr>
            <w:tcW w:w="0" w:type="auto"/>
            <w:tcMar>
              <w:top w:w="0" w:type="dxa"/>
              <w:left w:w="0" w:type="dxa"/>
              <w:bottom w:w="30" w:type="dxa"/>
              <w:right w:w="0" w:type="dxa"/>
            </w:tcMar>
            <w:vAlign w:val="bottom"/>
            <w:hideMark/>
          </w:tcPr>
          <w:p w14:paraId="25800716"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3B9CA764"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03CE7D5A" w14:textId="77777777" w:rsidR="00000000" w:rsidRDefault="002F725F">
            <w:pPr>
              <w:jc w:val="center"/>
              <w:rPr>
                <w:rFonts w:eastAsia="Times New Roman"/>
                <w:b/>
                <w:bCs/>
                <w:sz w:val="20"/>
                <w:szCs w:val="20"/>
              </w:rPr>
            </w:pPr>
            <w:r>
              <w:rPr>
                <w:rFonts w:eastAsia="Times New Roman"/>
                <w:b/>
                <w:bCs/>
                <w:sz w:val="20"/>
                <w:szCs w:val="20"/>
              </w:rPr>
              <w:t>Total Cash</w:t>
            </w:r>
            <w:r>
              <w:rPr>
                <w:rFonts w:eastAsia="Times New Roman"/>
                <w:b/>
                <w:bCs/>
                <w:sz w:val="20"/>
                <w:szCs w:val="20"/>
              </w:rPr>
              <w:br/>
              <w:t>Payments ($)</w:t>
            </w:r>
          </w:p>
        </w:tc>
        <w:tc>
          <w:tcPr>
            <w:tcW w:w="0" w:type="auto"/>
            <w:tcMar>
              <w:top w:w="0" w:type="dxa"/>
              <w:left w:w="0" w:type="dxa"/>
              <w:bottom w:w="30" w:type="dxa"/>
              <w:right w:w="0" w:type="dxa"/>
            </w:tcMar>
            <w:vAlign w:val="bottom"/>
            <w:hideMark/>
          </w:tcPr>
          <w:p w14:paraId="23AB86E4" w14:textId="77777777" w:rsidR="00000000" w:rsidRDefault="002F725F">
            <w:pPr>
              <w:rPr>
                <w:rFonts w:eastAsia="Times New Roman"/>
                <w:b/>
                <w:bCs/>
                <w:sz w:val="20"/>
                <w:szCs w:val="20"/>
              </w:rPr>
            </w:pPr>
            <w:r>
              <w:rPr>
                <w:rFonts w:eastAsia="Times New Roman"/>
                <w:b/>
                <w:bCs/>
                <w:sz w:val="20"/>
                <w:szCs w:val="20"/>
              </w:rPr>
              <w:t> </w:t>
            </w:r>
          </w:p>
        </w:tc>
      </w:tr>
      <w:tr w:rsidR="00000000" w14:paraId="71598979" w14:textId="77777777">
        <w:trPr>
          <w:divId w:val="415980837"/>
        </w:trPr>
        <w:tc>
          <w:tcPr>
            <w:tcW w:w="0" w:type="auto"/>
            <w:shd w:val="clear" w:color="auto" w:fill="CCEEFF"/>
            <w:vAlign w:val="bottom"/>
            <w:hideMark/>
          </w:tcPr>
          <w:p w14:paraId="105C5F1A" w14:textId="77777777" w:rsidR="00000000" w:rsidRDefault="002F725F">
            <w:pPr>
              <w:rPr>
                <w:rFonts w:eastAsia="Times New Roman"/>
                <w:sz w:val="20"/>
                <w:szCs w:val="20"/>
              </w:rPr>
            </w:pPr>
            <w:r>
              <w:rPr>
                <w:rFonts w:eastAsia="Times New Roman"/>
                <w:sz w:val="20"/>
                <w:szCs w:val="20"/>
              </w:rPr>
              <w:t>Yue (Pierson) Pan</w:t>
            </w:r>
          </w:p>
        </w:tc>
        <w:tc>
          <w:tcPr>
            <w:tcW w:w="0" w:type="auto"/>
            <w:shd w:val="clear" w:color="auto" w:fill="CCEEFF"/>
            <w:vAlign w:val="bottom"/>
            <w:hideMark/>
          </w:tcPr>
          <w:p w14:paraId="42B927F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43FC99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E254D92"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681D97D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25780C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1F4326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03F5B2A"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69990C6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F7D104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BE727B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DECB90F"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1D8432D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3A02DE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30D42F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ECFE8E9"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5926F5E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6B589A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D6E652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F2B0CFD"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419E29D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BB8E8F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FCE11D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F9025BA"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28040D4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E7DA22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4C176D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CF938C6"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4003EAF5" w14:textId="77777777" w:rsidR="00000000" w:rsidRDefault="002F725F">
            <w:pPr>
              <w:rPr>
                <w:rFonts w:eastAsia="Times New Roman"/>
                <w:sz w:val="20"/>
                <w:szCs w:val="20"/>
              </w:rPr>
            </w:pPr>
            <w:r>
              <w:rPr>
                <w:rFonts w:eastAsia="Times New Roman"/>
                <w:sz w:val="20"/>
                <w:szCs w:val="20"/>
              </w:rPr>
              <w:t> </w:t>
            </w:r>
          </w:p>
        </w:tc>
      </w:tr>
      <w:tr w:rsidR="00000000" w14:paraId="6CC7B298" w14:textId="77777777">
        <w:trPr>
          <w:divId w:val="415980837"/>
        </w:trPr>
        <w:tc>
          <w:tcPr>
            <w:tcW w:w="800" w:type="pct"/>
            <w:shd w:val="clear" w:color="auto" w:fill="FFFFFF"/>
            <w:vAlign w:val="bottom"/>
            <w:hideMark/>
          </w:tcPr>
          <w:p w14:paraId="12FBEA4F" w14:textId="77777777" w:rsidR="00000000" w:rsidRDefault="002F725F">
            <w:pPr>
              <w:rPr>
                <w:rFonts w:eastAsia="Times New Roman"/>
                <w:sz w:val="20"/>
                <w:szCs w:val="20"/>
              </w:rPr>
            </w:pPr>
            <w:r>
              <w:rPr>
                <w:rFonts w:eastAsia="Times New Roman"/>
                <w:sz w:val="20"/>
                <w:szCs w:val="20"/>
              </w:rPr>
              <w:t>Xu Wang</w:t>
            </w:r>
          </w:p>
        </w:tc>
        <w:tc>
          <w:tcPr>
            <w:tcW w:w="50" w:type="pct"/>
            <w:shd w:val="clear" w:color="auto" w:fill="FFFFFF"/>
            <w:vAlign w:val="bottom"/>
            <w:hideMark/>
          </w:tcPr>
          <w:p w14:paraId="65589C35"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136D9059"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FFFFFF"/>
            <w:vAlign w:val="bottom"/>
            <w:hideMark/>
          </w:tcPr>
          <w:p w14:paraId="6D4759CE" w14:textId="77777777" w:rsidR="00000000" w:rsidRDefault="002F725F">
            <w:pPr>
              <w:jc w:val="right"/>
              <w:rPr>
                <w:rFonts w:eastAsia="Times New Roman"/>
                <w:sz w:val="20"/>
                <w:szCs w:val="20"/>
              </w:rPr>
            </w:pPr>
            <w:r>
              <w:rPr>
                <w:rFonts w:eastAsia="Times New Roman"/>
                <w:sz w:val="20"/>
                <w:szCs w:val="20"/>
              </w:rPr>
              <w:t>—</w:t>
            </w:r>
          </w:p>
        </w:tc>
        <w:tc>
          <w:tcPr>
            <w:tcW w:w="50" w:type="pct"/>
            <w:shd w:val="clear" w:color="auto" w:fill="FFFFFF"/>
            <w:vAlign w:val="bottom"/>
            <w:hideMark/>
          </w:tcPr>
          <w:p w14:paraId="654D2BDE"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5C98E38D"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705E7462"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FFFFFF"/>
            <w:vAlign w:val="bottom"/>
            <w:hideMark/>
          </w:tcPr>
          <w:p w14:paraId="72A3BD79" w14:textId="77777777" w:rsidR="00000000" w:rsidRDefault="002F725F">
            <w:pPr>
              <w:jc w:val="right"/>
              <w:rPr>
                <w:rFonts w:eastAsia="Times New Roman"/>
                <w:sz w:val="20"/>
                <w:szCs w:val="20"/>
              </w:rPr>
            </w:pPr>
            <w:r>
              <w:rPr>
                <w:rFonts w:eastAsia="Times New Roman"/>
                <w:sz w:val="20"/>
                <w:szCs w:val="20"/>
              </w:rPr>
              <w:t>—</w:t>
            </w:r>
          </w:p>
        </w:tc>
        <w:tc>
          <w:tcPr>
            <w:tcW w:w="50" w:type="pct"/>
            <w:shd w:val="clear" w:color="auto" w:fill="FFFFFF"/>
            <w:vAlign w:val="bottom"/>
            <w:hideMark/>
          </w:tcPr>
          <w:p w14:paraId="0EA8BE20"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7A928C24"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63173BF5"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FFFFFF"/>
            <w:vAlign w:val="bottom"/>
            <w:hideMark/>
          </w:tcPr>
          <w:p w14:paraId="0D642203" w14:textId="77777777" w:rsidR="00000000" w:rsidRDefault="002F725F">
            <w:pPr>
              <w:jc w:val="right"/>
              <w:rPr>
                <w:rFonts w:eastAsia="Times New Roman"/>
                <w:sz w:val="20"/>
                <w:szCs w:val="20"/>
              </w:rPr>
            </w:pPr>
            <w:r>
              <w:rPr>
                <w:rFonts w:eastAsia="Times New Roman"/>
                <w:sz w:val="20"/>
                <w:szCs w:val="20"/>
              </w:rPr>
              <w:t>203,464</w:t>
            </w:r>
          </w:p>
        </w:tc>
        <w:tc>
          <w:tcPr>
            <w:tcW w:w="50" w:type="pct"/>
            <w:shd w:val="clear" w:color="auto" w:fill="FFFFFF"/>
            <w:vAlign w:val="bottom"/>
            <w:hideMark/>
          </w:tcPr>
          <w:p w14:paraId="5579982B"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34CF839C"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17F8D748"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FFFFFF"/>
            <w:vAlign w:val="bottom"/>
            <w:hideMark/>
          </w:tcPr>
          <w:p w14:paraId="4067B64E" w14:textId="77777777" w:rsidR="00000000" w:rsidRDefault="002F725F">
            <w:pPr>
              <w:jc w:val="right"/>
              <w:rPr>
                <w:rFonts w:eastAsia="Times New Roman"/>
                <w:sz w:val="20"/>
                <w:szCs w:val="20"/>
              </w:rPr>
            </w:pPr>
            <w:r>
              <w:rPr>
                <w:rFonts w:eastAsia="Times New Roman"/>
                <w:sz w:val="20"/>
                <w:szCs w:val="20"/>
              </w:rPr>
              <w:t>—</w:t>
            </w:r>
          </w:p>
        </w:tc>
        <w:tc>
          <w:tcPr>
            <w:tcW w:w="50" w:type="pct"/>
            <w:shd w:val="clear" w:color="auto" w:fill="FFFFFF"/>
            <w:vAlign w:val="bottom"/>
            <w:hideMark/>
          </w:tcPr>
          <w:p w14:paraId="65C99D4F"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02A4CAC7"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0703D710"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FFFFFF"/>
            <w:vAlign w:val="bottom"/>
            <w:hideMark/>
          </w:tcPr>
          <w:p w14:paraId="395E3F15" w14:textId="77777777" w:rsidR="00000000" w:rsidRDefault="002F725F">
            <w:pPr>
              <w:jc w:val="right"/>
              <w:rPr>
                <w:rFonts w:eastAsia="Times New Roman"/>
                <w:sz w:val="20"/>
                <w:szCs w:val="20"/>
              </w:rPr>
            </w:pPr>
            <w:r>
              <w:rPr>
                <w:rFonts w:eastAsia="Times New Roman"/>
                <w:sz w:val="20"/>
                <w:szCs w:val="20"/>
              </w:rPr>
              <w:t>—</w:t>
            </w:r>
          </w:p>
        </w:tc>
        <w:tc>
          <w:tcPr>
            <w:tcW w:w="50" w:type="pct"/>
            <w:shd w:val="clear" w:color="auto" w:fill="FFFFFF"/>
            <w:vAlign w:val="bottom"/>
            <w:hideMark/>
          </w:tcPr>
          <w:p w14:paraId="6FA6D0EC"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6DA9E983"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2A70497E"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FFFFFF"/>
            <w:vAlign w:val="bottom"/>
            <w:hideMark/>
          </w:tcPr>
          <w:p w14:paraId="30C026D7" w14:textId="77777777" w:rsidR="00000000" w:rsidRDefault="002F725F">
            <w:pPr>
              <w:jc w:val="right"/>
              <w:rPr>
                <w:rFonts w:eastAsia="Times New Roman"/>
                <w:sz w:val="20"/>
                <w:szCs w:val="20"/>
              </w:rPr>
            </w:pPr>
            <w:r>
              <w:rPr>
                <w:rFonts w:eastAsia="Times New Roman"/>
                <w:sz w:val="20"/>
                <w:szCs w:val="20"/>
              </w:rPr>
              <w:t>—</w:t>
            </w:r>
          </w:p>
        </w:tc>
        <w:tc>
          <w:tcPr>
            <w:tcW w:w="50" w:type="pct"/>
            <w:shd w:val="clear" w:color="auto" w:fill="FFFFFF"/>
            <w:vAlign w:val="bottom"/>
            <w:hideMark/>
          </w:tcPr>
          <w:p w14:paraId="569EC532"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23FFE6C2"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2B4460EB"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FFFFFF"/>
            <w:vAlign w:val="bottom"/>
            <w:hideMark/>
          </w:tcPr>
          <w:p w14:paraId="7946D2F0" w14:textId="77777777" w:rsidR="00000000" w:rsidRDefault="002F725F">
            <w:pPr>
              <w:jc w:val="right"/>
              <w:rPr>
                <w:rFonts w:eastAsia="Times New Roman"/>
                <w:sz w:val="20"/>
                <w:szCs w:val="20"/>
              </w:rPr>
            </w:pPr>
            <w:r>
              <w:rPr>
                <w:rFonts w:eastAsia="Times New Roman"/>
                <w:sz w:val="20"/>
                <w:szCs w:val="20"/>
              </w:rPr>
              <w:t>—</w:t>
            </w:r>
          </w:p>
        </w:tc>
        <w:tc>
          <w:tcPr>
            <w:tcW w:w="50" w:type="pct"/>
            <w:shd w:val="clear" w:color="auto" w:fill="FFFFFF"/>
            <w:vAlign w:val="bottom"/>
            <w:hideMark/>
          </w:tcPr>
          <w:p w14:paraId="2D172A8A" w14:textId="77777777" w:rsidR="00000000" w:rsidRDefault="002F725F">
            <w:pPr>
              <w:rPr>
                <w:rFonts w:eastAsia="Times New Roman"/>
                <w:sz w:val="20"/>
                <w:szCs w:val="20"/>
              </w:rPr>
            </w:pPr>
            <w:r>
              <w:rPr>
                <w:rFonts w:eastAsia="Times New Roman"/>
                <w:sz w:val="20"/>
                <w:szCs w:val="20"/>
              </w:rPr>
              <w:t> </w:t>
            </w:r>
          </w:p>
        </w:tc>
      </w:tr>
      <w:tr w:rsidR="00000000" w14:paraId="72AB6AAF" w14:textId="77777777">
        <w:trPr>
          <w:divId w:val="415980837"/>
        </w:trPr>
        <w:tc>
          <w:tcPr>
            <w:tcW w:w="0" w:type="auto"/>
            <w:shd w:val="clear" w:color="auto" w:fill="CCEEFF"/>
            <w:vAlign w:val="bottom"/>
            <w:hideMark/>
          </w:tcPr>
          <w:p w14:paraId="441B4F7B" w14:textId="77777777" w:rsidR="00000000" w:rsidRDefault="002F725F">
            <w:pPr>
              <w:rPr>
                <w:rFonts w:eastAsia="Times New Roman"/>
                <w:sz w:val="20"/>
                <w:szCs w:val="20"/>
              </w:rPr>
            </w:pPr>
            <w:r>
              <w:rPr>
                <w:rFonts w:eastAsia="Times New Roman"/>
                <w:sz w:val="20"/>
                <w:szCs w:val="20"/>
              </w:rPr>
              <w:t>Rui (Rachel) Yu</w:t>
            </w:r>
          </w:p>
        </w:tc>
        <w:tc>
          <w:tcPr>
            <w:tcW w:w="0" w:type="auto"/>
            <w:shd w:val="clear" w:color="auto" w:fill="CCEEFF"/>
            <w:vAlign w:val="bottom"/>
            <w:hideMark/>
          </w:tcPr>
          <w:p w14:paraId="66C4E8A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B1DB5F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DD9BAA4"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14D9E22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5C4901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0D95BA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D9D5169"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6748F0C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449CEA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E896D4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9330967" w14:textId="77777777" w:rsidR="00000000" w:rsidRDefault="002F725F">
            <w:pPr>
              <w:jc w:val="right"/>
              <w:rPr>
                <w:rFonts w:eastAsia="Times New Roman"/>
                <w:sz w:val="20"/>
                <w:szCs w:val="20"/>
              </w:rPr>
            </w:pPr>
            <w:r>
              <w:rPr>
                <w:rFonts w:eastAsia="Times New Roman"/>
                <w:sz w:val="20"/>
                <w:szCs w:val="20"/>
              </w:rPr>
              <w:t>203,464</w:t>
            </w:r>
          </w:p>
        </w:tc>
        <w:tc>
          <w:tcPr>
            <w:tcW w:w="0" w:type="auto"/>
            <w:shd w:val="clear" w:color="auto" w:fill="CCEEFF"/>
            <w:vAlign w:val="bottom"/>
            <w:hideMark/>
          </w:tcPr>
          <w:p w14:paraId="05FC738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0E819D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3334DB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239BA81"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7BB4A9D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CE4D28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16CAC8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1248991"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01BE728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23D036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9B970F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A30D5E6"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1E8AC71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D03FAA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CB4590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DC7178A"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79DEC7FF" w14:textId="77777777" w:rsidR="00000000" w:rsidRDefault="002F725F">
            <w:pPr>
              <w:rPr>
                <w:rFonts w:eastAsia="Times New Roman"/>
                <w:sz w:val="20"/>
                <w:szCs w:val="20"/>
              </w:rPr>
            </w:pPr>
            <w:r>
              <w:rPr>
                <w:rFonts w:eastAsia="Times New Roman"/>
                <w:sz w:val="20"/>
                <w:szCs w:val="20"/>
              </w:rPr>
              <w:t> </w:t>
            </w:r>
          </w:p>
        </w:tc>
      </w:tr>
      <w:tr w:rsidR="00000000" w14:paraId="54E4B7B4" w14:textId="77777777">
        <w:trPr>
          <w:divId w:val="415980837"/>
        </w:trPr>
        <w:tc>
          <w:tcPr>
            <w:tcW w:w="0" w:type="auto"/>
            <w:shd w:val="clear" w:color="auto" w:fill="FFFFFF"/>
            <w:vAlign w:val="bottom"/>
            <w:hideMark/>
          </w:tcPr>
          <w:p w14:paraId="3528AEE4" w14:textId="77777777" w:rsidR="00000000" w:rsidRDefault="002F725F">
            <w:pPr>
              <w:rPr>
                <w:rFonts w:eastAsia="Times New Roman"/>
                <w:sz w:val="20"/>
                <w:szCs w:val="20"/>
              </w:rPr>
            </w:pPr>
            <w:r>
              <w:rPr>
                <w:rFonts w:eastAsia="Times New Roman"/>
                <w:sz w:val="20"/>
                <w:szCs w:val="20"/>
              </w:rPr>
              <w:t>Dr. Hui (David) Shao</w:t>
            </w:r>
          </w:p>
        </w:tc>
        <w:tc>
          <w:tcPr>
            <w:tcW w:w="0" w:type="auto"/>
            <w:shd w:val="clear" w:color="auto" w:fill="FFFFFF"/>
            <w:vAlign w:val="bottom"/>
            <w:hideMark/>
          </w:tcPr>
          <w:p w14:paraId="74CA294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A9EA1C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2B1E5A8" w14:textId="77777777" w:rsidR="00000000" w:rsidRDefault="002F725F">
            <w:pPr>
              <w:jc w:val="right"/>
              <w:rPr>
                <w:rFonts w:eastAsia="Times New Roman"/>
                <w:sz w:val="20"/>
                <w:szCs w:val="20"/>
              </w:rPr>
            </w:pPr>
            <w:r>
              <w:rPr>
                <w:rFonts w:eastAsia="Times New Roman"/>
                <w:sz w:val="20"/>
                <w:szCs w:val="20"/>
              </w:rPr>
              <w:t>313,638</w:t>
            </w:r>
          </w:p>
        </w:tc>
        <w:tc>
          <w:tcPr>
            <w:tcW w:w="0" w:type="auto"/>
            <w:shd w:val="clear" w:color="auto" w:fill="FFFFFF"/>
            <w:vAlign w:val="bottom"/>
            <w:hideMark/>
          </w:tcPr>
          <w:p w14:paraId="7DC409A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4B2A77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4CFEE6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7FAB626" w14:textId="77777777" w:rsidR="00000000" w:rsidRDefault="002F725F">
            <w:pPr>
              <w:jc w:val="right"/>
              <w:rPr>
                <w:rFonts w:eastAsia="Times New Roman"/>
                <w:sz w:val="20"/>
                <w:szCs w:val="20"/>
              </w:rPr>
            </w:pPr>
            <w:r>
              <w:rPr>
                <w:rFonts w:eastAsia="Times New Roman"/>
                <w:sz w:val="20"/>
                <w:szCs w:val="20"/>
              </w:rPr>
              <w:t>20,700</w:t>
            </w:r>
          </w:p>
        </w:tc>
        <w:tc>
          <w:tcPr>
            <w:tcW w:w="0" w:type="auto"/>
            <w:shd w:val="clear" w:color="auto" w:fill="FFFFFF"/>
            <w:vAlign w:val="bottom"/>
            <w:hideMark/>
          </w:tcPr>
          <w:p w14:paraId="582A8E8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3AA5F6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A1BD40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8A10A7F"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651C85B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241FC8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88141A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1C05425"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2A68FD4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8C9BE4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E964F3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769B025"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6C975A0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56494A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EA8B99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9E4C2A7"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480C509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B7D8FF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B08FD6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2ED355F" w14:textId="77777777" w:rsidR="00000000" w:rsidRDefault="002F725F">
            <w:pPr>
              <w:jc w:val="right"/>
              <w:rPr>
                <w:rFonts w:eastAsia="Times New Roman"/>
                <w:sz w:val="20"/>
                <w:szCs w:val="20"/>
              </w:rPr>
            </w:pPr>
            <w:r>
              <w:rPr>
                <w:rFonts w:eastAsia="Times New Roman"/>
                <w:sz w:val="20"/>
                <w:szCs w:val="20"/>
              </w:rPr>
              <w:t>20,700</w:t>
            </w:r>
          </w:p>
        </w:tc>
        <w:tc>
          <w:tcPr>
            <w:tcW w:w="0" w:type="auto"/>
            <w:shd w:val="clear" w:color="auto" w:fill="FFFFFF"/>
            <w:vAlign w:val="bottom"/>
            <w:hideMark/>
          </w:tcPr>
          <w:p w14:paraId="41257420" w14:textId="77777777" w:rsidR="00000000" w:rsidRDefault="002F725F">
            <w:pPr>
              <w:rPr>
                <w:rFonts w:eastAsia="Times New Roman"/>
                <w:sz w:val="20"/>
                <w:szCs w:val="20"/>
              </w:rPr>
            </w:pPr>
            <w:r>
              <w:rPr>
                <w:rFonts w:eastAsia="Times New Roman"/>
                <w:sz w:val="20"/>
                <w:szCs w:val="20"/>
              </w:rPr>
              <w:t> </w:t>
            </w:r>
          </w:p>
        </w:tc>
      </w:tr>
      <w:tr w:rsidR="00000000" w14:paraId="30767495" w14:textId="77777777">
        <w:trPr>
          <w:divId w:val="415980837"/>
        </w:trPr>
        <w:tc>
          <w:tcPr>
            <w:tcW w:w="0" w:type="auto"/>
            <w:shd w:val="clear" w:color="auto" w:fill="CCEEFF"/>
            <w:vAlign w:val="bottom"/>
            <w:hideMark/>
          </w:tcPr>
          <w:p w14:paraId="65686A8D" w14:textId="77777777" w:rsidR="00000000" w:rsidRDefault="002F725F">
            <w:pPr>
              <w:rPr>
                <w:rFonts w:eastAsia="Times New Roman"/>
                <w:sz w:val="20"/>
                <w:szCs w:val="20"/>
              </w:rPr>
            </w:pPr>
            <w:r>
              <w:rPr>
                <w:rFonts w:eastAsia="Times New Roman"/>
                <w:sz w:val="20"/>
                <w:szCs w:val="20"/>
              </w:rPr>
              <w:t>Jutao (Adam) Zhao</w:t>
            </w:r>
          </w:p>
        </w:tc>
        <w:tc>
          <w:tcPr>
            <w:tcW w:w="0" w:type="auto"/>
            <w:shd w:val="clear" w:color="auto" w:fill="CCEEFF"/>
            <w:vAlign w:val="bottom"/>
            <w:hideMark/>
          </w:tcPr>
          <w:p w14:paraId="71CC8E3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F78E2D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BA44779"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1856CB3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4BEEA4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B2F665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475CD55"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5652F26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72AEA1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463011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52DCAE9"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78CE3AA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AAC71E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49B94E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FAC0270"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44E6561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38143D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1144B4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29890CD"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51F7D02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AFA480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EAA342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29F5618"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75B6AAB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BBFF9B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EDB7CA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54AF6A8"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77E53D88" w14:textId="77777777" w:rsidR="00000000" w:rsidRDefault="002F725F">
            <w:pPr>
              <w:rPr>
                <w:rFonts w:eastAsia="Times New Roman"/>
                <w:sz w:val="20"/>
                <w:szCs w:val="20"/>
              </w:rPr>
            </w:pPr>
            <w:r>
              <w:rPr>
                <w:rFonts w:eastAsia="Times New Roman"/>
                <w:sz w:val="20"/>
                <w:szCs w:val="20"/>
              </w:rPr>
              <w:t> </w:t>
            </w:r>
          </w:p>
        </w:tc>
      </w:tr>
      <w:tr w:rsidR="00000000" w14:paraId="2A0CFCAE" w14:textId="77777777">
        <w:trPr>
          <w:divId w:val="415980837"/>
        </w:trPr>
        <w:tc>
          <w:tcPr>
            <w:tcW w:w="0" w:type="auto"/>
            <w:shd w:val="clear" w:color="auto" w:fill="FFFFFF"/>
            <w:vAlign w:val="bottom"/>
            <w:hideMark/>
          </w:tcPr>
          <w:p w14:paraId="4B633A71" w14:textId="77777777" w:rsidR="00000000" w:rsidRDefault="002F725F">
            <w:pPr>
              <w:rPr>
                <w:rFonts w:eastAsia="Times New Roman"/>
                <w:sz w:val="20"/>
                <w:szCs w:val="20"/>
              </w:rPr>
            </w:pPr>
            <w:r>
              <w:rPr>
                <w:rFonts w:eastAsia="Times New Roman"/>
                <w:sz w:val="20"/>
                <w:szCs w:val="20"/>
              </w:rPr>
              <w:t>Linnan (Thomas) Xue</w:t>
            </w:r>
          </w:p>
        </w:tc>
        <w:tc>
          <w:tcPr>
            <w:tcW w:w="0" w:type="auto"/>
            <w:shd w:val="clear" w:color="auto" w:fill="FFFFFF"/>
            <w:vAlign w:val="bottom"/>
            <w:hideMark/>
          </w:tcPr>
          <w:p w14:paraId="38C5D16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7FE1EE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AF535C7"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7C1CD84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9A2E6F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983D8F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22754F8"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49F394D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0A1174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F05DFB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F647E24"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4D48254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3CB453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82C790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D2BADAD"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7FB29F2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290D58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95BF8E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868887E"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4D491AB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891A32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62BC1D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7B920D0"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442CAA1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08749F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12C84D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3F1AB64"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6948D47F" w14:textId="77777777" w:rsidR="00000000" w:rsidRDefault="002F725F">
            <w:pPr>
              <w:rPr>
                <w:rFonts w:eastAsia="Times New Roman"/>
                <w:sz w:val="20"/>
                <w:szCs w:val="20"/>
              </w:rPr>
            </w:pPr>
            <w:r>
              <w:rPr>
                <w:rFonts w:eastAsia="Times New Roman"/>
                <w:sz w:val="20"/>
                <w:szCs w:val="20"/>
              </w:rPr>
              <w:t> </w:t>
            </w:r>
          </w:p>
        </w:tc>
      </w:tr>
      <w:tr w:rsidR="00000000" w14:paraId="08F195D6" w14:textId="77777777">
        <w:trPr>
          <w:divId w:val="415980837"/>
        </w:trPr>
        <w:tc>
          <w:tcPr>
            <w:tcW w:w="0" w:type="auto"/>
            <w:shd w:val="clear" w:color="auto" w:fill="CCEEFF"/>
            <w:vAlign w:val="bottom"/>
            <w:hideMark/>
          </w:tcPr>
          <w:p w14:paraId="4F46724E" w14:textId="77777777" w:rsidR="00000000" w:rsidRDefault="002F725F">
            <w:pPr>
              <w:rPr>
                <w:rFonts w:eastAsia="Times New Roman"/>
                <w:sz w:val="20"/>
                <w:szCs w:val="20"/>
              </w:rPr>
            </w:pPr>
            <w:r>
              <w:rPr>
                <w:rFonts w:eastAsia="Times New Roman"/>
                <w:sz w:val="20"/>
                <w:szCs w:val="20"/>
              </w:rPr>
              <w:t>Chunyang Shao</w:t>
            </w:r>
          </w:p>
        </w:tc>
        <w:tc>
          <w:tcPr>
            <w:tcW w:w="0" w:type="auto"/>
            <w:shd w:val="clear" w:color="auto" w:fill="CCEEFF"/>
            <w:vAlign w:val="bottom"/>
            <w:hideMark/>
          </w:tcPr>
          <w:p w14:paraId="5C9C050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879F6E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A028E9B"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3F25A61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2620C7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684DC9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2105364"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575C13C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270453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81CFD9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B3A62AD"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09E8743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5C04FD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DC45C8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11E63F5"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65EDA1B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860EE8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9AB61B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ED1B8C5"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7EAA5C5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8A582B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093C1B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F7AE478"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189B8D6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28CC95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E15D4E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69616EE"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76FAA750" w14:textId="77777777" w:rsidR="00000000" w:rsidRDefault="002F725F">
            <w:pPr>
              <w:rPr>
                <w:rFonts w:eastAsia="Times New Roman"/>
                <w:sz w:val="20"/>
                <w:szCs w:val="20"/>
              </w:rPr>
            </w:pPr>
            <w:r>
              <w:rPr>
                <w:rFonts w:eastAsia="Times New Roman"/>
                <w:sz w:val="20"/>
                <w:szCs w:val="20"/>
              </w:rPr>
              <w:t> </w:t>
            </w:r>
          </w:p>
        </w:tc>
      </w:tr>
      <w:tr w:rsidR="00000000" w14:paraId="26125B95" w14:textId="77777777">
        <w:trPr>
          <w:divId w:val="415980837"/>
        </w:trPr>
        <w:tc>
          <w:tcPr>
            <w:tcW w:w="0" w:type="auto"/>
            <w:shd w:val="clear" w:color="auto" w:fill="FFFFFF"/>
            <w:vAlign w:val="bottom"/>
            <w:hideMark/>
          </w:tcPr>
          <w:p w14:paraId="370DEA44" w14:textId="77777777" w:rsidR="00000000" w:rsidRDefault="002F725F">
            <w:pPr>
              <w:rPr>
                <w:rFonts w:eastAsia="Times New Roman"/>
                <w:sz w:val="20"/>
                <w:szCs w:val="20"/>
              </w:rPr>
            </w:pPr>
            <w:r>
              <w:rPr>
                <w:rFonts w:eastAsia="Times New Roman"/>
                <w:sz w:val="20"/>
                <w:szCs w:val="20"/>
              </w:rPr>
              <w:t>Dr. Yuan Liu</w:t>
            </w:r>
          </w:p>
        </w:tc>
        <w:tc>
          <w:tcPr>
            <w:tcW w:w="0" w:type="auto"/>
            <w:shd w:val="clear" w:color="auto" w:fill="FFFFFF"/>
            <w:vAlign w:val="bottom"/>
            <w:hideMark/>
          </w:tcPr>
          <w:p w14:paraId="2BE0FD0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157FCF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78F65A4"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333B387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1F3138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5415FD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8067242"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4A5A0C7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B9D1DC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58D22E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27FF0AD"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2140D5A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F50E8A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DF9C34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1C5639F"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2C8B82B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F23341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491853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DB02708"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49D6438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BE8B7C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9DE45A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F23BA2B"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68A9BF9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326DD2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4FE822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2D3BE01"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102CE9CF" w14:textId="77777777" w:rsidR="00000000" w:rsidRDefault="002F725F">
            <w:pPr>
              <w:rPr>
                <w:rFonts w:eastAsia="Times New Roman"/>
                <w:sz w:val="20"/>
                <w:szCs w:val="20"/>
              </w:rPr>
            </w:pPr>
            <w:r>
              <w:rPr>
                <w:rFonts w:eastAsia="Times New Roman"/>
                <w:sz w:val="20"/>
                <w:szCs w:val="20"/>
              </w:rPr>
              <w:t> </w:t>
            </w:r>
          </w:p>
        </w:tc>
      </w:tr>
      <w:tr w:rsidR="00000000" w14:paraId="12940FC0" w14:textId="77777777">
        <w:trPr>
          <w:divId w:val="415980837"/>
        </w:trPr>
        <w:tc>
          <w:tcPr>
            <w:tcW w:w="0" w:type="auto"/>
            <w:shd w:val="clear" w:color="auto" w:fill="CCEEFF"/>
            <w:vAlign w:val="bottom"/>
            <w:hideMark/>
          </w:tcPr>
          <w:p w14:paraId="29502225" w14:textId="77777777" w:rsidR="00000000" w:rsidRDefault="002F725F">
            <w:pPr>
              <w:rPr>
                <w:rFonts w:eastAsia="Times New Roman"/>
                <w:sz w:val="20"/>
                <w:szCs w:val="20"/>
              </w:rPr>
            </w:pPr>
            <w:r>
              <w:rPr>
                <w:rFonts w:eastAsia="Times New Roman"/>
                <w:sz w:val="20"/>
                <w:szCs w:val="20"/>
              </w:rPr>
              <w:t>Zhiyuan Ran</w:t>
            </w:r>
          </w:p>
        </w:tc>
        <w:tc>
          <w:tcPr>
            <w:tcW w:w="0" w:type="auto"/>
            <w:shd w:val="clear" w:color="auto" w:fill="CCEEFF"/>
            <w:vAlign w:val="bottom"/>
            <w:hideMark/>
          </w:tcPr>
          <w:p w14:paraId="023AB61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1676EB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81003DC"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3970C61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66B6E6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276C19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0EE1187"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3823470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C69A3D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BBFABC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32DB301"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4B3912A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78DF3C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BCDE1F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462EEA4"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5269D39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0E7CCD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7A9D3F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93529E7"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3795833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DD6EDC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96DCD1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462538F"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0B2C6B1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216336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8BE66D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B7BDB9C"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09A4CE89" w14:textId="77777777" w:rsidR="00000000" w:rsidRDefault="002F725F">
            <w:pPr>
              <w:rPr>
                <w:rFonts w:eastAsia="Times New Roman"/>
                <w:sz w:val="20"/>
                <w:szCs w:val="20"/>
              </w:rPr>
            </w:pPr>
            <w:r>
              <w:rPr>
                <w:rFonts w:eastAsia="Times New Roman"/>
                <w:sz w:val="20"/>
                <w:szCs w:val="20"/>
              </w:rPr>
              <w:t> </w:t>
            </w:r>
          </w:p>
        </w:tc>
      </w:tr>
      <w:tr w:rsidR="00000000" w14:paraId="22967EE7" w14:textId="77777777">
        <w:trPr>
          <w:divId w:val="415980837"/>
        </w:trPr>
        <w:tc>
          <w:tcPr>
            <w:tcW w:w="0" w:type="auto"/>
            <w:shd w:val="clear" w:color="auto" w:fill="FFFFFF"/>
            <w:vAlign w:val="bottom"/>
            <w:hideMark/>
          </w:tcPr>
          <w:p w14:paraId="552CF225" w14:textId="77777777" w:rsidR="00000000" w:rsidRDefault="002F725F">
            <w:pPr>
              <w:rPr>
                <w:rFonts w:eastAsia="Times New Roman"/>
                <w:sz w:val="20"/>
                <w:szCs w:val="20"/>
              </w:rPr>
            </w:pPr>
            <w:r>
              <w:rPr>
                <w:rFonts w:eastAsia="Times New Roman"/>
                <w:sz w:val="20"/>
                <w:szCs w:val="20"/>
              </w:rPr>
              <w:t>Dr. Honggang Teng</w:t>
            </w:r>
          </w:p>
        </w:tc>
        <w:tc>
          <w:tcPr>
            <w:tcW w:w="0" w:type="auto"/>
            <w:shd w:val="clear" w:color="auto" w:fill="FFFFFF"/>
            <w:vAlign w:val="bottom"/>
            <w:hideMark/>
          </w:tcPr>
          <w:p w14:paraId="3852548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98185C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8F5E8C1"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5CEEF63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667E44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AAE861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45BD117"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11712EE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E22368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193B41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A717DCC" w14:textId="77777777" w:rsidR="00000000" w:rsidRDefault="002F725F">
            <w:pPr>
              <w:jc w:val="right"/>
              <w:rPr>
                <w:rFonts w:eastAsia="Times New Roman"/>
                <w:sz w:val="20"/>
                <w:szCs w:val="20"/>
              </w:rPr>
            </w:pPr>
            <w:r>
              <w:rPr>
                <w:rFonts w:eastAsia="Times New Roman"/>
                <w:sz w:val="20"/>
                <w:szCs w:val="20"/>
              </w:rPr>
              <w:t>100,000</w:t>
            </w:r>
          </w:p>
        </w:tc>
        <w:tc>
          <w:tcPr>
            <w:tcW w:w="0" w:type="auto"/>
            <w:shd w:val="clear" w:color="auto" w:fill="FFFFFF"/>
            <w:vAlign w:val="bottom"/>
            <w:hideMark/>
          </w:tcPr>
          <w:p w14:paraId="4EF3DCF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C70D21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F3968F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87CC20B"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552CF29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86284F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693948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6B4E91C"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755FC59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62D0E3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9867F3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7CC105D"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6A9CAB6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767A22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DC4539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FC77BC7"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52E47CD9" w14:textId="77777777" w:rsidR="00000000" w:rsidRDefault="002F725F">
            <w:pPr>
              <w:rPr>
                <w:rFonts w:eastAsia="Times New Roman"/>
                <w:sz w:val="20"/>
                <w:szCs w:val="20"/>
              </w:rPr>
            </w:pPr>
            <w:r>
              <w:rPr>
                <w:rFonts w:eastAsia="Times New Roman"/>
                <w:sz w:val="20"/>
                <w:szCs w:val="20"/>
              </w:rPr>
              <w:t> </w:t>
            </w:r>
          </w:p>
        </w:tc>
      </w:tr>
      <w:tr w:rsidR="00000000" w14:paraId="191E321D" w14:textId="77777777">
        <w:trPr>
          <w:divId w:val="415980837"/>
        </w:trPr>
        <w:tc>
          <w:tcPr>
            <w:tcW w:w="0" w:type="auto"/>
            <w:shd w:val="clear" w:color="auto" w:fill="CCEEFF"/>
            <w:vAlign w:val="bottom"/>
            <w:hideMark/>
          </w:tcPr>
          <w:p w14:paraId="028F373E" w14:textId="77777777" w:rsidR="00000000" w:rsidRDefault="002F725F">
            <w:pPr>
              <w:rPr>
                <w:rFonts w:eastAsia="Times New Roman"/>
                <w:b/>
                <w:bCs/>
                <w:sz w:val="20"/>
                <w:szCs w:val="20"/>
              </w:rPr>
            </w:pPr>
            <w:r>
              <w:rPr>
                <w:rFonts w:eastAsia="Times New Roman"/>
                <w:b/>
                <w:bCs/>
                <w:sz w:val="20"/>
                <w:szCs w:val="20"/>
              </w:rPr>
              <w:t>Total</w:t>
            </w:r>
          </w:p>
        </w:tc>
        <w:tc>
          <w:tcPr>
            <w:tcW w:w="0" w:type="auto"/>
            <w:shd w:val="clear" w:color="auto" w:fill="CCEEFF"/>
            <w:vAlign w:val="bottom"/>
            <w:hideMark/>
          </w:tcPr>
          <w:p w14:paraId="4B46F86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CB447B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B2FD5C1" w14:textId="77777777" w:rsidR="00000000" w:rsidRDefault="002F725F">
            <w:pPr>
              <w:jc w:val="right"/>
              <w:rPr>
                <w:rFonts w:eastAsia="Times New Roman"/>
                <w:sz w:val="20"/>
                <w:szCs w:val="20"/>
              </w:rPr>
            </w:pPr>
            <w:r>
              <w:rPr>
                <w:rFonts w:eastAsia="Times New Roman"/>
                <w:sz w:val="20"/>
                <w:szCs w:val="20"/>
              </w:rPr>
              <w:t>313,638</w:t>
            </w:r>
          </w:p>
        </w:tc>
        <w:tc>
          <w:tcPr>
            <w:tcW w:w="0" w:type="auto"/>
            <w:shd w:val="clear" w:color="auto" w:fill="CCEEFF"/>
            <w:vAlign w:val="bottom"/>
            <w:hideMark/>
          </w:tcPr>
          <w:p w14:paraId="65280F4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CDED92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C3E910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74D9E4B" w14:textId="77777777" w:rsidR="00000000" w:rsidRDefault="002F725F">
            <w:pPr>
              <w:jc w:val="right"/>
              <w:rPr>
                <w:rFonts w:eastAsia="Times New Roman"/>
                <w:sz w:val="20"/>
                <w:szCs w:val="20"/>
              </w:rPr>
            </w:pPr>
            <w:r>
              <w:rPr>
                <w:rFonts w:eastAsia="Times New Roman"/>
                <w:sz w:val="20"/>
                <w:szCs w:val="20"/>
              </w:rPr>
              <w:t>20,700</w:t>
            </w:r>
          </w:p>
        </w:tc>
        <w:tc>
          <w:tcPr>
            <w:tcW w:w="0" w:type="auto"/>
            <w:shd w:val="clear" w:color="auto" w:fill="CCEEFF"/>
            <w:vAlign w:val="bottom"/>
            <w:hideMark/>
          </w:tcPr>
          <w:p w14:paraId="67BE6F4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FC09E7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B8BE54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0E737B8" w14:textId="77777777" w:rsidR="00000000" w:rsidRDefault="002F725F">
            <w:pPr>
              <w:jc w:val="right"/>
              <w:rPr>
                <w:rFonts w:eastAsia="Times New Roman"/>
                <w:sz w:val="20"/>
                <w:szCs w:val="20"/>
              </w:rPr>
            </w:pPr>
            <w:r>
              <w:rPr>
                <w:rFonts w:eastAsia="Times New Roman"/>
                <w:sz w:val="20"/>
                <w:szCs w:val="20"/>
              </w:rPr>
              <w:t>506,928</w:t>
            </w:r>
          </w:p>
        </w:tc>
        <w:tc>
          <w:tcPr>
            <w:tcW w:w="0" w:type="auto"/>
            <w:shd w:val="clear" w:color="auto" w:fill="CCEEFF"/>
            <w:vAlign w:val="bottom"/>
            <w:hideMark/>
          </w:tcPr>
          <w:p w14:paraId="71517BC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E05D3A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095E2E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12F3A1F"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7BD58E8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ACAA88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BAF9C0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B00BA36"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65F4A06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4B97F5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B56AE6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76D8D0C"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60C8C0D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09B4D9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0FBED3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BC78D7A" w14:textId="77777777" w:rsidR="00000000" w:rsidRDefault="002F725F">
            <w:pPr>
              <w:jc w:val="right"/>
              <w:rPr>
                <w:rFonts w:eastAsia="Times New Roman"/>
                <w:sz w:val="20"/>
                <w:szCs w:val="20"/>
              </w:rPr>
            </w:pPr>
            <w:r>
              <w:rPr>
                <w:rFonts w:eastAsia="Times New Roman"/>
                <w:sz w:val="20"/>
                <w:szCs w:val="20"/>
              </w:rPr>
              <w:t>20,700</w:t>
            </w:r>
          </w:p>
        </w:tc>
        <w:tc>
          <w:tcPr>
            <w:tcW w:w="0" w:type="auto"/>
            <w:shd w:val="clear" w:color="auto" w:fill="CCEEFF"/>
            <w:vAlign w:val="bottom"/>
            <w:hideMark/>
          </w:tcPr>
          <w:p w14:paraId="418B53E4" w14:textId="77777777" w:rsidR="00000000" w:rsidRDefault="002F725F">
            <w:pPr>
              <w:rPr>
                <w:rFonts w:eastAsia="Times New Roman"/>
                <w:sz w:val="20"/>
                <w:szCs w:val="20"/>
              </w:rPr>
            </w:pPr>
            <w:r>
              <w:rPr>
                <w:rFonts w:eastAsia="Times New Roman"/>
                <w:sz w:val="20"/>
                <w:szCs w:val="20"/>
              </w:rPr>
              <w:t> </w:t>
            </w:r>
          </w:p>
        </w:tc>
      </w:tr>
    </w:tbl>
    <w:p w14:paraId="367545AC" w14:textId="77777777" w:rsidR="00000000" w:rsidRDefault="002F725F">
      <w:pPr>
        <w:pStyle w:val="NormalWeb"/>
        <w:spacing w:before="0" w:beforeAutospacing="0" w:after="0" w:afterAutospacing="0"/>
        <w:divId w:val="415980837"/>
        <w:rPr>
          <w:sz w:val="20"/>
          <w:szCs w:val="20"/>
        </w:rPr>
      </w:pPr>
      <w:r>
        <w:rPr>
          <w:sz w:val="20"/>
          <w:szCs w:val="20"/>
        </w:rPr>
        <w:t> </w:t>
      </w:r>
    </w:p>
    <w:p w14:paraId="4BFEA7BB" w14:textId="77777777" w:rsidR="00000000" w:rsidRDefault="002F725F">
      <w:pPr>
        <w:pStyle w:val="NormalWeb"/>
        <w:spacing w:before="0" w:beforeAutospacing="0" w:after="0" w:afterAutospacing="0"/>
        <w:divId w:val="415980837"/>
        <w:rPr>
          <w:sz w:val="20"/>
          <w:szCs w:val="20"/>
        </w:rPr>
      </w:pPr>
      <w:r>
        <w:rPr>
          <w:sz w:val="20"/>
          <w:szCs w:val="20"/>
        </w:rPr>
        <w:t>Note:</w:t>
      </w:r>
    </w:p>
    <w:p w14:paraId="03759F62"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28A79ED2" w14:textId="77777777">
        <w:trPr>
          <w:divId w:val="415980837"/>
          <w:tblCellSpacing w:w="0" w:type="dxa"/>
        </w:trPr>
        <w:tc>
          <w:tcPr>
            <w:tcW w:w="6" w:type="dxa"/>
            <w:hideMark/>
          </w:tcPr>
          <w:p w14:paraId="52701C09" w14:textId="77777777" w:rsidR="00000000" w:rsidRDefault="002F725F">
            <w:pPr>
              <w:rPr>
                <w:sz w:val="20"/>
                <w:szCs w:val="20"/>
              </w:rPr>
            </w:pPr>
          </w:p>
        </w:tc>
        <w:tc>
          <w:tcPr>
            <w:tcW w:w="360" w:type="dxa"/>
            <w:hideMark/>
          </w:tcPr>
          <w:p w14:paraId="31F07045" w14:textId="77777777" w:rsidR="00000000" w:rsidRDefault="002F725F">
            <w:pPr>
              <w:rPr>
                <w:rFonts w:eastAsia="Times New Roman"/>
                <w:sz w:val="20"/>
                <w:szCs w:val="20"/>
              </w:rPr>
            </w:pPr>
            <w:r>
              <w:rPr>
                <w:rFonts w:eastAsia="Times New Roman"/>
                <w:sz w:val="20"/>
                <w:szCs w:val="20"/>
              </w:rPr>
              <w:t>1.</w:t>
            </w:r>
          </w:p>
        </w:tc>
        <w:tc>
          <w:tcPr>
            <w:tcW w:w="0" w:type="auto"/>
            <w:hideMark/>
          </w:tcPr>
          <w:p w14:paraId="700FC93A" w14:textId="77777777" w:rsidR="00000000" w:rsidRDefault="002F725F">
            <w:pPr>
              <w:jc w:val="both"/>
              <w:rPr>
                <w:rFonts w:eastAsia="Times New Roman"/>
                <w:sz w:val="20"/>
                <w:szCs w:val="20"/>
              </w:rPr>
            </w:pPr>
            <w:r>
              <w:rPr>
                <w:rFonts w:eastAsia="Times New Roman"/>
                <w:sz w:val="20"/>
                <w:szCs w:val="20"/>
              </w:rPr>
              <w:t>For calculation purpose in this table, we assume the Effective Time is May 8, 2026.</w:t>
            </w:r>
          </w:p>
        </w:tc>
      </w:tr>
    </w:tbl>
    <w:p w14:paraId="4184B5BB" w14:textId="77777777" w:rsidR="00000000" w:rsidRDefault="002F725F">
      <w:pPr>
        <w:pStyle w:val="NormalWeb"/>
        <w:spacing w:before="0" w:beforeAutospacing="0" w:after="0" w:afterAutospacing="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5C48FCD4" w14:textId="77777777">
        <w:trPr>
          <w:divId w:val="415980837"/>
          <w:tblCellSpacing w:w="0" w:type="dxa"/>
        </w:trPr>
        <w:tc>
          <w:tcPr>
            <w:tcW w:w="6" w:type="dxa"/>
            <w:hideMark/>
          </w:tcPr>
          <w:p w14:paraId="1B3C9FCD" w14:textId="77777777" w:rsidR="00000000" w:rsidRDefault="002F725F">
            <w:pPr>
              <w:rPr>
                <w:sz w:val="20"/>
                <w:szCs w:val="20"/>
              </w:rPr>
            </w:pPr>
          </w:p>
        </w:tc>
        <w:tc>
          <w:tcPr>
            <w:tcW w:w="360" w:type="dxa"/>
            <w:hideMark/>
          </w:tcPr>
          <w:p w14:paraId="7FCB3F47" w14:textId="77777777" w:rsidR="00000000" w:rsidRDefault="002F725F">
            <w:pPr>
              <w:rPr>
                <w:rFonts w:eastAsia="Times New Roman"/>
                <w:sz w:val="20"/>
                <w:szCs w:val="20"/>
              </w:rPr>
            </w:pPr>
            <w:r>
              <w:rPr>
                <w:rFonts w:eastAsia="Times New Roman"/>
                <w:sz w:val="20"/>
                <w:szCs w:val="20"/>
              </w:rPr>
              <w:t>2.</w:t>
            </w:r>
          </w:p>
        </w:tc>
        <w:tc>
          <w:tcPr>
            <w:tcW w:w="0" w:type="auto"/>
            <w:hideMark/>
          </w:tcPr>
          <w:p w14:paraId="334795C2" w14:textId="77777777" w:rsidR="00000000" w:rsidRDefault="002F725F">
            <w:pPr>
              <w:jc w:val="both"/>
              <w:rPr>
                <w:rFonts w:eastAsia="Times New Roman"/>
                <w:sz w:val="20"/>
                <w:szCs w:val="20"/>
              </w:rPr>
            </w:pPr>
            <w:r>
              <w:rPr>
                <w:rFonts w:eastAsia="Times New Roman"/>
                <w:sz w:val="20"/>
                <w:szCs w:val="20"/>
              </w:rPr>
              <w:t>For the avoidance of doubt, the Shares referred to herein does not include the Shares underlying Company Options and the Shares underlying Company RSUs.</w:t>
            </w:r>
          </w:p>
        </w:tc>
      </w:tr>
    </w:tbl>
    <w:p w14:paraId="77184A8C" w14:textId="77777777" w:rsidR="00000000" w:rsidRDefault="002F725F">
      <w:pPr>
        <w:pStyle w:val="NormalWeb"/>
        <w:spacing w:before="0" w:beforeAutospacing="0" w:after="0" w:afterAutospacing="0"/>
        <w:jc w:val="center"/>
        <w:divId w:val="415980837"/>
        <w:rPr>
          <w:sz w:val="20"/>
          <w:szCs w:val="20"/>
        </w:rPr>
      </w:pPr>
      <w:r>
        <w:rPr>
          <w:b/>
          <w:bCs/>
          <w:i/>
          <w:iCs/>
          <w:sz w:val="20"/>
          <w:szCs w:val="20"/>
        </w:rPr>
        <w:t> </w:t>
      </w:r>
    </w:p>
    <w:p w14:paraId="79F0CE86" w14:textId="77777777" w:rsidR="00000000" w:rsidRDefault="002F725F">
      <w:pPr>
        <w:pStyle w:val="NormalWeb"/>
        <w:spacing w:before="0" w:beforeAutospacing="0" w:after="0" w:afterAutospacing="0"/>
        <w:jc w:val="center"/>
        <w:divId w:val="1437678347"/>
        <w:rPr>
          <w:sz w:val="20"/>
          <w:szCs w:val="20"/>
        </w:rPr>
      </w:pPr>
      <w:r>
        <w:rPr>
          <w:sz w:val="20"/>
          <w:szCs w:val="20"/>
        </w:rPr>
        <w:t>6</w:t>
      </w:r>
      <w:r>
        <w:rPr>
          <w:sz w:val="20"/>
          <w:szCs w:val="20"/>
        </w:rPr>
        <w:t>8</w:t>
      </w:r>
    </w:p>
    <w:p w14:paraId="262FD9A7" w14:textId="77777777" w:rsidR="00000000" w:rsidRDefault="002F725F">
      <w:pPr>
        <w:pStyle w:val="NormalWeb"/>
        <w:spacing w:before="0" w:beforeAutospacing="0" w:after="0" w:afterAutospacing="0"/>
        <w:divId w:val="693574081"/>
        <w:rPr>
          <w:sz w:val="20"/>
          <w:szCs w:val="20"/>
        </w:rPr>
      </w:pPr>
      <w:r>
        <w:rPr>
          <w:sz w:val="20"/>
          <w:szCs w:val="20"/>
        </w:rPr>
        <w:t> </w:t>
      </w:r>
    </w:p>
    <w:p w14:paraId="14BD8F99" w14:textId="77777777" w:rsidR="00000000" w:rsidRDefault="002F725F">
      <w:pPr>
        <w:pStyle w:val="NormalWeb"/>
        <w:spacing w:before="0" w:beforeAutospacing="0" w:after="0" w:afterAutospacing="0"/>
        <w:jc w:val="center"/>
        <w:divId w:val="415980837"/>
        <w:rPr>
          <w:sz w:val="20"/>
          <w:szCs w:val="20"/>
        </w:rPr>
      </w:pPr>
      <w:r>
        <w:rPr>
          <w:b/>
          <w:bCs/>
          <w:i/>
          <w:iCs/>
          <w:sz w:val="20"/>
          <w:szCs w:val="20"/>
        </w:rPr>
        <w:lastRenderedPageBreak/>
        <w:t> </w:t>
      </w:r>
    </w:p>
    <w:p w14:paraId="473A8F56" w14:textId="77777777" w:rsidR="00000000" w:rsidRDefault="002F725F">
      <w:pPr>
        <w:pStyle w:val="NormalWeb"/>
        <w:spacing w:before="0" w:beforeAutospacing="0" w:after="0" w:afterAutospacing="0"/>
        <w:jc w:val="both"/>
        <w:divId w:val="415980837"/>
        <w:rPr>
          <w:sz w:val="20"/>
          <w:szCs w:val="20"/>
        </w:rPr>
      </w:pPr>
      <w:r>
        <w:rPr>
          <w:b/>
          <w:bCs/>
          <w:i/>
          <w:iCs/>
          <w:sz w:val="20"/>
          <w:szCs w:val="20"/>
        </w:rPr>
        <w:t>In</w:t>
      </w:r>
      <w:r>
        <w:rPr>
          <w:b/>
          <w:bCs/>
          <w:i/>
          <w:iCs/>
          <w:sz w:val="20"/>
          <w:szCs w:val="20"/>
        </w:rPr>
        <w:t>demnification; Directors’ and Officers’ Insurance</w:t>
      </w:r>
    </w:p>
    <w:p w14:paraId="2C99BD4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0FED08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See “The Merger Agreement—Indemnification; Directors’ and Officers’ Insurance” beginning on page 91.</w:t>
      </w:r>
    </w:p>
    <w:p w14:paraId="6A931B1E" w14:textId="77777777" w:rsidR="00000000" w:rsidRDefault="002F725F">
      <w:pPr>
        <w:pStyle w:val="NormalWeb"/>
        <w:spacing w:before="0" w:beforeAutospacing="0" w:after="0" w:afterAutospacing="0"/>
        <w:jc w:val="both"/>
        <w:divId w:val="415980837"/>
        <w:rPr>
          <w:sz w:val="20"/>
          <w:szCs w:val="20"/>
        </w:rPr>
      </w:pPr>
      <w:r>
        <w:rPr>
          <w:b/>
          <w:bCs/>
          <w:i/>
          <w:iCs/>
          <w:sz w:val="20"/>
          <w:szCs w:val="20"/>
        </w:rPr>
        <w:t> </w:t>
      </w:r>
    </w:p>
    <w:p w14:paraId="288437B3" w14:textId="77777777" w:rsidR="00000000" w:rsidRDefault="002F725F">
      <w:pPr>
        <w:pStyle w:val="NormalWeb"/>
        <w:spacing w:before="0" w:beforeAutospacing="0" w:after="0" w:afterAutospacing="0"/>
        <w:jc w:val="both"/>
        <w:divId w:val="415980837"/>
        <w:rPr>
          <w:sz w:val="20"/>
          <w:szCs w:val="20"/>
        </w:rPr>
      </w:pPr>
      <w:r>
        <w:rPr>
          <w:b/>
          <w:bCs/>
          <w:i/>
          <w:iCs/>
          <w:sz w:val="20"/>
          <w:szCs w:val="20"/>
        </w:rPr>
        <w:t>The Special Committee</w:t>
      </w:r>
    </w:p>
    <w:p w14:paraId="735993C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E8763F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August 28, 2025, the Board established a Special Committee of independent and disinterested directors to consider the August 2025 Proposal from the Buyer Group and to take any actions it deems appropriate to assess the fairness and viability of the prop</w:t>
      </w:r>
      <w:r>
        <w:rPr>
          <w:sz w:val="20"/>
          <w:szCs w:val="20"/>
        </w:rPr>
        <w:t>osals. The Special Committee is composed of three independent and disinterested directors: Mr. Jutao (Adam) Zhao, Mr. Linnan (Thomas) Xue, and Mr. Chunyang Shao. The Board appointed Mr. Jutao (Adam) Zhao as the chairperson of the Special Committee. Other t</w:t>
      </w:r>
      <w:r>
        <w:rPr>
          <w:sz w:val="20"/>
          <w:szCs w:val="20"/>
        </w:rPr>
        <w:t>han (a) their receipt of Board compensation in the ordinary course and the Special Committee compensation (which is not contingent on the completion of the Merger or the Special Committee’s or the Board’s recommendation and/or authorization and approval of</w:t>
      </w:r>
      <w:r>
        <w:rPr>
          <w:sz w:val="20"/>
          <w:szCs w:val="20"/>
        </w:rPr>
        <w:t xml:space="preserve"> the Merger), and (b) their indemnification and liability insurance rights under their respective indemnification agreement entered into with the Company and the Merger Agreement, none of the members of the Special Committee has a financial interest in the</w:t>
      </w:r>
      <w:r>
        <w:rPr>
          <w:sz w:val="20"/>
          <w:szCs w:val="20"/>
        </w:rPr>
        <w:t xml:space="preserve"> Merger or any of transactions contemplated thereby that is different from that of the Unaffiliated Security Holders and none of them is related to any member of the Buyer Group.</w:t>
      </w:r>
    </w:p>
    <w:p w14:paraId="3B1365A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22EBC5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Board did not place any limitations on the authority of the Special Com</w:t>
      </w:r>
      <w:r>
        <w:rPr>
          <w:sz w:val="20"/>
          <w:szCs w:val="20"/>
        </w:rPr>
        <w:t>mittee regarding its investigation and evaluation of the Merger. The Special Committee was granted, pursuant to the Special Committee charter approved and adopted by the Board, the full power and authority to, among other things, (i) evaluate, discuss, and</w:t>
      </w:r>
      <w:r>
        <w:rPr>
          <w:sz w:val="20"/>
          <w:szCs w:val="20"/>
        </w:rPr>
        <w:t xml:space="preserve"> negotiate the Proposed Transaction with full and sole authority, and report to the Board the recommendations and conclusions of the Special Committee with respect to the Proposed Transaction; (ii) consider other alternatives available to the Company, incl</w:t>
      </w:r>
      <w:r>
        <w:rPr>
          <w:sz w:val="20"/>
          <w:szCs w:val="20"/>
        </w:rPr>
        <w:t>uding but not limited to whether to remain independent or whether to solicit alternative proposals from other bidders, and if it decides to solicit alternative proposals, evaluate, discuss, and negotiate such proposals with full and sole authority, and rep</w:t>
      </w:r>
      <w:r>
        <w:rPr>
          <w:sz w:val="20"/>
          <w:szCs w:val="20"/>
        </w:rPr>
        <w:t>ort its recommendations and conclusions with respect to any alternative proposal to the Board; (iii) retain any outside legal, accounting, financial and other advisors as the Special Committee deems appropriate to assist it in carrying out its duties; (iv)</w:t>
      </w:r>
      <w:r>
        <w:rPr>
          <w:sz w:val="20"/>
          <w:szCs w:val="20"/>
        </w:rPr>
        <w:t xml:space="preserve"> conduct investigations into any matters within its scope of responsibility, including but not limited to books, records, projections, and financial statements of the Company and its subsidiaries and any documents relating to the Proposed Transaction or an</w:t>
      </w:r>
      <w:r>
        <w:rPr>
          <w:sz w:val="20"/>
          <w:szCs w:val="20"/>
        </w:rPr>
        <w:t>y alternative proposal as may be useful or helpful in the discharge of the Special Committee’s responsibilities; and (v) take any and all actions it deems necessary or appropriate, including taking defensive measures, making recommendations to shareholders</w:t>
      </w:r>
      <w:r>
        <w:rPr>
          <w:sz w:val="20"/>
          <w:szCs w:val="20"/>
        </w:rPr>
        <w:t>, and preparing and making regulatory filings and disclosures, to address the Proposed Transaction, any alternative proposal, or other available options.</w:t>
      </w:r>
    </w:p>
    <w:p w14:paraId="05FC09D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111FB1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has compensated the members of the Special Committee in exchange for their service in su</w:t>
      </w:r>
      <w:r>
        <w:rPr>
          <w:sz w:val="20"/>
          <w:szCs w:val="20"/>
        </w:rPr>
        <w:t xml:space="preserve">ch capacity. The monthly compensation is (i) US$13,334 per month prior to November 4, 2025, the date of the Original Merger Agreement, or US$10,000 per month thereafter (up to a maximum amount of US$58,335), and US$10,000 per month for April and May 2026, </w:t>
      </w:r>
      <w:r>
        <w:rPr>
          <w:sz w:val="20"/>
          <w:szCs w:val="20"/>
        </w:rPr>
        <w:t>for the chairperson of the Special Committee, and (ii) US$10,000 per month prior to November 4, 2025 or US$6,250 per month thereafter (up to a maximum amount of US$40,625), and US$6,250 per month for April and May 2026, for each of the other members of the</w:t>
      </w:r>
      <w:r>
        <w:rPr>
          <w:sz w:val="20"/>
          <w:szCs w:val="20"/>
        </w:rPr>
        <w:t xml:space="preserve"> Special Committee, respectively, the payment of which is not contingent upon the completion of the Merger or the Special Committee’s or the Board’s recommendation of the Merger.</w:t>
      </w:r>
    </w:p>
    <w:p w14:paraId="19DA3224" w14:textId="77777777" w:rsidR="00000000" w:rsidRDefault="002F725F">
      <w:pPr>
        <w:pStyle w:val="NormalWeb"/>
        <w:spacing w:before="0" w:beforeAutospacing="0" w:after="0" w:afterAutospacing="0"/>
        <w:jc w:val="both"/>
        <w:divId w:val="415980837"/>
        <w:rPr>
          <w:sz w:val="20"/>
          <w:szCs w:val="20"/>
        </w:rPr>
      </w:pPr>
      <w:r>
        <w:rPr>
          <w:b/>
          <w:bCs/>
          <w:i/>
          <w:iCs/>
          <w:sz w:val="20"/>
          <w:szCs w:val="20"/>
        </w:rPr>
        <w:t> </w:t>
      </w:r>
    </w:p>
    <w:p w14:paraId="62C25CED" w14:textId="77777777" w:rsidR="00000000" w:rsidRDefault="002F725F">
      <w:pPr>
        <w:pStyle w:val="NormalWeb"/>
        <w:spacing w:before="0" w:beforeAutospacing="0" w:after="0" w:afterAutospacing="0"/>
        <w:jc w:val="both"/>
        <w:divId w:val="415980837"/>
        <w:rPr>
          <w:sz w:val="20"/>
          <w:szCs w:val="20"/>
        </w:rPr>
      </w:pPr>
      <w:r>
        <w:rPr>
          <w:b/>
          <w:bCs/>
          <w:i/>
          <w:iCs/>
          <w:sz w:val="20"/>
          <w:szCs w:val="20"/>
        </w:rPr>
        <w:t>Position with the Surviving Company</w:t>
      </w:r>
    </w:p>
    <w:p w14:paraId="5573E5B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A413DE1" w14:textId="77777777" w:rsidR="00000000" w:rsidRDefault="002F725F">
      <w:pPr>
        <w:pStyle w:val="NormalWeb"/>
        <w:spacing w:before="0" w:beforeAutospacing="0" w:after="0" w:afterAutospacing="0"/>
        <w:ind w:firstLine="720"/>
        <w:jc w:val="both"/>
        <w:divId w:val="415980837"/>
        <w:rPr>
          <w:sz w:val="20"/>
          <w:szCs w:val="20"/>
        </w:rPr>
      </w:pPr>
      <w:r>
        <w:rPr>
          <w:sz w:val="20"/>
          <w:szCs w:val="20"/>
          <w:shd w:val="clear" w:color="auto" w:fill="FFFFFF"/>
        </w:rPr>
        <w:t>After completion of the Merger, Ms. R</w:t>
      </w:r>
      <w:r>
        <w:rPr>
          <w:sz w:val="20"/>
          <w:szCs w:val="20"/>
          <w:shd w:val="clear" w:color="auto" w:fill="FFFFFF"/>
        </w:rPr>
        <w:t>ui (Rachel) Yu expects to continue to serve as the director of the Surviving Company. It is anticipated that the executive officers of the Company will hold positions with the Surviving Company that are substantially similar to their current positions.</w:t>
      </w:r>
    </w:p>
    <w:p w14:paraId="13EFBFC0"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6F9BE883" w14:textId="77777777" w:rsidR="00000000" w:rsidRDefault="002F725F">
      <w:pPr>
        <w:pStyle w:val="NormalWeb"/>
        <w:spacing w:before="0" w:beforeAutospacing="0" w:after="0" w:afterAutospacing="0"/>
        <w:jc w:val="both"/>
        <w:divId w:val="415980837"/>
        <w:rPr>
          <w:sz w:val="20"/>
          <w:szCs w:val="20"/>
        </w:rPr>
      </w:pPr>
      <w:r>
        <w:rPr>
          <w:b/>
          <w:bCs/>
          <w:sz w:val="20"/>
          <w:szCs w:val="20"/>
        </w:rPr>
        <w:t>R</w:t>
      </w:r>
      <w:r>
        <w:rPr>
          <w:b/>
          <w:bCs/>
          <w:sz w:val="20"/>
          <w:szCs w:val="20"/>
        </w:rPr>
        <w:t xml:space="preserve">elated Party Transactions </w:t>
      </w:r>
    </w:p>
    <w:p w14:paraId="4B33D98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F2D1EA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Company has adopted an audit committee charter, which requires the audit committee to review and approve all related-party transactions as defined in Item 404 of Regulation S-K on an ongoing basis. For a description </w:t>
      </w:r>
      <w:r>
        <w:rPr>
          <w:sz w:val="20"/>
          <w:szCs w:val="20"/>
        </w:rPr>
        <w:lastRenderedPageBreak/>
        <w:t>of rela</w:t>
      </w:r>
      <w:r>
        <w:rPr>
          <w:sz w:val="20"/>
          <w:szCs w:val="20"/>
        </w:rPr>
        <w:t>ted party transactions for the fiscal years ended March 31, 2024 and 2025, see “Item 7. Major Shareholders and Related Party Transactions” included in the Company’s Annual Report.</w:t>
      </w:r>
    </w:p>
    <w:p w14:paraId="20FCF9BB"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24053C59" w14:textId="77777777" w:rsidR="00000000" w:rsidRDefault="002F725F">
      <w:pPr>
        <w:pStyle w:val="NormalWeb"/>
        <w:spacing w:before="0" w:beforeAutospacing="0" w:after="0" w:afterAutospacing="0"/>
        <w:jc w:val="both"/>
        <w:divId w:val="415980837"/>
        <w:rPr>
          <w:sz w:val="20"/>
          <w:szCs w:val="20"/>
        </w:rPr>
      </w:pPr>
      <w:r>
        <w:rPr>
          <w:b/>
          <w:bCs/>
          <w:sz w:val="20"/>
          <w:szCs w:val="20"/>
        </w:rPr>
        <w:t>Fees and Expenses</w:t>
      </w:r>
    </w:p>
    <w:p w14:paraId="77E8EBC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DA971F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Fees and expenses incurred or to be incurred by the Co</w:t>
      </w:r>
      <w:r>
        <w:rPr>
          <w:sz w:val="20"/>
          <w:szCs w:val="20"/>
        </w:rPr>
        <w:t>mpany and the Buyer Group in connection with the Merger are estimated at the date of this proxy statement and set forth in the table below. Such fees are subject to change pending completion of the Merger.</w:t>
      </w:r>
    </w:p>
    <w:p w14:paraId="2886717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8004"/>
        <w:gridCol w:w="50"/>
        <w:gridCol w:w="356"/>
        <w:gridCol w:w="900"/>
        <w:gridCol w:w="50"/>
      </w:tblGrid>
      <w:tr w:rsidR="00000000" w14:paraId="49DBC5C3" w14:textId="77777777">
        <w:trPr>
          <w:divId w:val="415980837"/>
        </w:trPr>
        <w:tc>
          <w:tcPr>
            <w:tcW w:w="0" w:type="auto"/>
            <w:tcBorders>
              <w:bottom w:val="single" w:sz="12" w:space="0" w:color="000000"/>
            </w:tcBorders>
            <w:vAlign w:val="bottom"/>
            <w:hideMark/>
          </w:tcPr>
          <w:p w14:paraId="48BACBED" w14:textId="77777777" w:rsidR="00000000" w:rsidRDefault="002F725F">
            <w:pPr>
              <w:rPr>
                <w:rFonts w:eastAsia="Times New Roman"/>
                <w:b/>
                <w:bCs/>
                <w:sz w:val="20"/>
                <w:szCs w:val="20"/>
              </w:rPr>
            </w:pPr>
            <w:r>
              <w:rPr>
                <w:rFonts w:eastAsia="Times New Roman"/>
                <w:b/>
                <w:bCs/>
                <w:sz w:val="20"/>
                <w:szCs w:val="20"/>
              </w:rPr>
              <w:t>Description</w:t>
            </w:r>
          </w:p>
        </w:tc>
        <w:tc>
          <w:tcPr>
            <w:tcW w:w="0" w:type="auto"/>
            <w:tcMar>
              <w:top w:w="0" w:type="dxa"/>
              <w:left w:w="0" w:type="dxa"/>
              <w:bottom w:w="30" w:type="dxa"/>
              <w:right w:w="0" w:type="dxa"/>
            </w:tcMar>
            <w:vAlign w:val="bottom"/>
            <w:hideMark/>
          </w:tcPr>
          <w:p w14:paraId="412E0EB3"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EF6CD6F" w14:textId="77777777" w:rsidR="00000000" w:rsidRDefault="002F725F">
            <w:pPr>
              <w:jc w:val="center"/>
              <w:rPr>
                <w:rFonts w:eastAsia="Times New Roman"/>
                <w:b/>
                <w:bCs/>
                <w:sz w:val="20"/>
                <w:szCs w:val="20"/>
              </w:rPr>
            </w:pPr>
            <w:r>
              <w:rPr>
                <w:rFonts w:eastAsia="Times New Roman"/>
                <w:b/>
                <w:bCs/>
                <w:sz w:val="20"/>
                <w:szCs w:val="20"/>
              </w:rPr>
              <w:t>Amount</w:t>
            </w:r>
            <w:r>
              <w:rPr>
                <w:rFonts w:eastAsia="Times New Roman"/>
                <w:b/>
                <w:bCs/>
                <w:sz w:val="20"/>
                <w:szCs w:val="20"/>
              </w:rPr>
              <w:br/>
              <w:t>(US$)</w:t>
            </w:r>
          </w:p>
        </w:tc>
        <w:tc>
          <w:tcPr>
            <w:tcW w:w="0" w:type="auto"/>
            <w:tcMar>
              <w:top w:w="0" w:type="dxa"/>
              <w:left w:w="0" w:type="dxa"/>
              <w:bottom w:w="30" w:type="dxa"/>
              <w:right w:w="0" w:type="dxa"/>
            </w:tcMar>
            <w:vAlign w:val="bottom"/>
            <w:hideMark/>
          </w:tcPr>
          <w:p w14:paraId="7D33DE15" w14:textId="77777777" w:rsidR="00000000" w:rsidRDefault="002F725F">
            <w:pPr>
              <w:rPr>
                <w:rFonts w:eastAsia="Times New Roman"/>
                <w:b/>
                <w:bCs/>
                <w:sz w:val="20"/>
                <w:szCs w:val="20"/>
              </w:rPr>
            </w:pPr>
            <w:r>
              <w:rPr>
                <w:rFonts w:eastAsia="Times New Roman"/>
                <w:b/>
                <w:bCs/>
                <w:sz w:val="20"/>
                <w:szCs w:val="20"/>
              </w:rPr>
              <w:t> </w:t>
            </w:r>
          </w:p>
        </w:tc>
      </w:tr>
      <w:tr w:rsidR="00000000" w14:paraId="2712233E" w14:textId="77777777">
        <w:trPr>
          <w:divId w:val="415980837"/>
        </w:trPr>
        <w:tc>
          <w:tcPr>
            <w:tcW w:w="4400" w:type="pct"/>
            <w:shd w:val="clear" w:color="auto" w:fill="CCEEFF"/>
            <w:vAlign w:val="bottom"/>
            <w:hideMark/>
          </w:tcPr>
          <w:p w14:paraId="0F3EA6AE" w14:textId="77777777" w:rsidR="00000000" w:rsidRDefault="002F725F">
            <w:pPr>
              <w:rPr>
                <w:rFonts w:eastAsia="Times New Roman"/>
                <w:sz w:val="20"/>
                <w:szCs w:val="20"/>
              </w:rPr>
            </w:pPr>
            <w:r>
              <w:rPr>
                <w:rFonts w:eastAsia="Times New Roman"/>
                <w:sz w:val="20"/>
                <w:szCs w:val="20"/>
              </w:rPr>
              <w:t>Legal fees and expenses</w:t>
            </w:r>
          </w:p>
        </w:tc>
        <w:tc>
          <w:tcPr>
            <w:tcW w:w="50" w:type="pct"/>
            <w:shd w:val="clear" w:color="auto" w:fill="CCEEFF"/>
            <w:vAlign w:val="bottom"/>
            <w:hideMark/>
          </w:tcPr>
          <w:p w14:paraId="718D16B5"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4CAD121E" w14:textId="77777777" w:rsidR="00000000" w:rsidRDefault="002F725F">
            <w:pPr>
              <w:rPr>
                <w:rFonts w:eastAsia="Times New Roman"/>
                <w:sz w:val="20"/>
                <w:szCs w:val="20"/>
              </w:rPr>
            </w:pPr>
            <w:r>
              <w:rPr>
                <w:rFonts w:eastAsia="Times New Roman"/>
                <w:sz w:val="20"/>
                <w:szCs w:val="20"/>
              </w:rPr>
              <w:t>US$</w:t>
            </w:r>
          </w:p>
        </w:tc>
        <w:tc>
          <w:tcPr>
            <w:tcW w:w="450" w:type="pct"/>
            <w:shd w:val="clear" w:color="auto" w:fill="CCEEFF"/>
            <w:vAlign w:val="bottom"/>
            <w:hideMark/>
          </w:tcPr>
          <w:p w14:paraId="269CE630" w14:textId="77777777" w:rsidR="00000000" w:rsidRDefault="002F725F">
            <w:pPr>
              <w:jc w:val="right"/>
              <w:rPr>
                <w:rFonts w:eastAsia="Times New Roman"/>
                <w:sz w:val="20"/>
                <w:szCs w:val="20"/>
              </w:rPr>
            </w:pPr>
            <w:r>
              <w:rPr>
                <w:rFonts w:eastAsia="Times New Roman"/>
                <w:sz w:val="20"/>
                <w:szCs w:val="20"/>
              </w:rPr>
              <w:t> </w:t>
            </w:r>
          </w:p>
        </w:tc>
        <w:tc>
          <w:tcPr>
            <w:tcW w:w="50" w:type="pct"/>
            <w:shd w:val="clear" w:color="auto" w:fill="CCEEFF"/>
            <w:vAlign w:val="bottom"/>
            <w:hideMark/>
          </w:tcPr>
          <w:p w14:paraId="6C377861" w14:textId="77777777" w:rsidR="00000000" w:rsidRDefault="002F725F">
            <w:pPr>
              <w:rPr>
                <w:rFonts w:eastAsia="Times New Roman"/>
                <w:sz w:val="20"/>
                <w:szCs w:val="20"/>
              </w:rPr>
            </w:pPr>
            <w:r>
              <w:rPr>
                <w:rFonts w:eastAsia="Times New Roman"/>
                <w:sz w:val="20"/>
                <w:szCs w:val="20"/>
              </w:rPr>
              <w:t> </w:t>
            </w:r>
          </w:p>
        </w:tc>
      </w:tr>
      <w:tr w:rsidR="00000000" w14:paraId="7C6A035F" w14:textId="77777777">
        <w:trPr>
          <w:divId w:val="415980837"/>
        </w:trPr>
        <w:tc>
          <w:tcPr>
            <w:tcW w:w="0" w:type="auto"/>
            <w:shd w:val="clear" w:color="auto" w:fill="FFFFFF"/>
            <w:vAlign w:val="bottom"/>
            <w:hideMark/>
          </w:tcPr>
          <w:p w14:paraId="7DDEBAB1" w14:textId="77777777" w:rsidR="00000000" w:rsidRDefault="002F725F">
            <w:pPr>
              <w:rPr>
                <w:rFonts w:eastAsia="Times New Roman"/>
                <w:sz w:val="20"/>
                <w:szCs w:val="20"/>
              </w:rPr>
            </w:pPr>
            <w:r>
              <w:rPr>
                <w:rFonts w:eastAsia="Times New Roman"/>
                <w:sz w:val="20"/>
                <w:szCs w:val="20"/>
              </w:rPr>
              <w:t>Financial advisory fees and expenses</w:t>
            </w:r>
          </w:p>
        </w:tc>
        <w:tc>
          <w:tcPr>
            <w:tcW w:w="0" w:type="auto"/>
            <w:shd w:val="clear" w:color="auto" w:fill="FFFFFF"/>
            <w:vAlign w:val="bottom"/>
            <w:hideMark/>
          </w:tcPr>
          <w:p w14:paraId="64AD08D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D3919B6" w14:textId="77777777" w:rsidR="00000000" w:rsidRDefault="002F725F">
            <w:pPr>
              <w:rPr>
                <w:rFonts w:eastAsia="Times New Roman"/>
                <w:sz w:val="20"/>
                <w:szCs w:val="20"/>
              </w:rPr>
            </w:pPr>
            <w:r>
              <w:rPr>
                <w:rFonts w:eastAsia="Times New Roman"/>
                <w:sz w:val="20"/>
                <w:szCs w:val="20"/>
              </w:rPr>
              <w:t>US$</w:t>
            </w:r>
          </w:p>
        </w:tc>
        <w:tc>
          <w:tcPr>
            <w:tcW w:w="0" w:type="auto"/>
            <w:shd w:val="clear" w:color="auto" w:fill="FFFFFF"/>
            <w:vAlign w:val="bottom"/>
            <w:hideMark/>
          </w:tcPr>
          <w:p w14:paraId="729C53C0" w14:textId="77777777" w:rsidR="00000000" w:rsidRDefault="002F725F">
            <w:pPr>
              <w:jc w:val="right"/>
              <w:rPr>
                <w:rFonts w:eastAsia="Times New Roman"/>
                <w:sz w:val="20"/>
                <w:szCs w:val="20"/>
              </w:rPr>
            </w:pPr>
            <w:r>
              <w:rPr>
                <w:rFonts w:eastAsia="Times New Roman"/>
                <w:sz w:val="20"/>
                <w:szCs w:val="20"/>
              </w:rPr>
              <w:t>700,000.00</w:t>
            </w:r>
          </w:p>
        </w:tc>
        <w:tc>
          <w:tcPr>
            <w:tcW w:w="0" w:type="auto"/>
            <w:shd w:val="clear" w:color="auto" w:fill="FFFFFF"/>
            <w:vAlign w:val="bottom"/>
            <w:hideMark/>
          </w:tcPr>
          <w:p w14:paraId="7245D785" w14:textId="77777777" w:rsidR="00000000" w:rsidRDefault="002F725F">
            <w:pPr>
              <w:rPr>
                <w:rFonts w:eastAsia="Times New Roman"/>
                <w:sz w:val="20"/>
                <w:szCs w:val="20"/>
              </w:rPr>
            </w:pPr>
            <w:r>
              <w:rPr>
                <w:rFonts w:eastAsia="Times New Roman"/>
                <w:sz w:val="20"/>
                <w:szCs w:val="20"/>
              </w:rPr>
              <w:t> </w:t>
            </w:r>
          </w:p>
        </w:tc>
      </w:tr>
      <w:tr w:rsidR="00000000" w14:paraId="4A6493D8" w14:textId="77777777">
        <w:trPr>
          <w:divId w:val="415980837"/>
        </w:trPr>
        <w:tc>
          <w:tcPr>
            <w:tcW w:w="0" w:type="auto"/>
            <w:shd w:val="clear" w:color="auto" w:fill="CCEEFF"/>
            <w:vAlign w:val="bottom"/>
            <w:hideMark/>
          </w:tcPr>
          <w:p w14:paraId="0A104FAC" w14:textId="77777777" w:rsidR="00000000" w:rsidRDefault="002F725F">
            <w:pPr>
              <w:rPr>
                <w:rFonts w:eastAsia="Times New Roman"/>
                <w:sz w:val="20"/>
                <w:szCs w:val="20"/>
              </w:rPr>
            </w:pPr>
            <w:r>
              <w:rPr>
                <w:rFonts w:eastAsia="Times New Roman"/>
                <w:sz w:val="20"/>
                <w:szCs w:val="20"/>
              </w:rPr>
              <w:t>Filing fees</w:t>
            </w:r>
          </w:p>
        </w:tc>
        <w:tc>
          <w:tcPr>
            <w:tcW w:w="0" w:type="auto"/>
            <w:shd w:val="clear" w:color="auto" w:fill="CCEEFF"/>
            <w:vAlign w:val="bottom"/>
            <w:hideMark/>
          </w:tcPr>
          <w:p w14:paraId="2ECD2C3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025EC56" w14:textId="77777777" w:rsidR="00000000" w:rsidRDefault="002F725F">
            <w:pPr>
              <w:rPr>
                <w:rFonts w:eastAsia="Times New Roman"/>
                <w:sz w:val="20"/>
                <w:szCs w:val="20"/>
              </w:rPr>
            </w:pPr>
            <w:r>
              <w:rPr>
                <w:rFonts w:eastAsia="Times New Roman"/>
                <w:sz w:val="20"/>
                <w:szCs w:val="20"/>
              </w:rPr>
              <w:t>US$</w:t>
            </w:r>
          </w:p>
        </w:tc>
        <w:tc>
          <w:tcPr>
            <w:tcW w:w="0" w:type="auto"/>
            <w:shd w:val="clear" w:color="auto" w:fill="CCEEFF"/>
            <w:vAlign w:val="bottom"/>
            <w:hideMark/>
          </w:tcPr>
          <w:p w14:paraId="19E8551E" w14:textId="77777777" w:rsidR="00000000" w:rsidRDefault="002F725F">
            <w:pPr>
              <w:jc w:val="right"/>
              <w:rPr>
                <w:rFonts w:eastAsia="Times New Roman"/>
                <w:sz w:val="20"/>
                <w:szCs w:val="20"/>
              </w:rPr>
            </w:pPr>
            <w:r>
              <w:rPr>
                <w:rFonts w:eastAsia="Times New Roman"/>
                <w:sz w:val="20"/>
                <w:szCs w:val="20"/>
              </w:rPr>
              <w:t>2,389.42</w:t>
            </w:r>
          </w:p>
        </w:tc>
        <w:tc>
          <w:tcPr>
            <w:tcW w:w="0" w:type="auto"/>
            <w:shd w:val="clear" w:color="auto" w:fill="CCEEFF"/>
            <w:vAlign w:val="bottom"/>
            <w:hideMark/>
          </w:tcPr>
          <w:p w14:paraId="01162A62" w14:textId="77777777" w:rsidR="00000000" w:rsidRDefault="002F725F">
            <w:pPr>
              <w:rPr>
                <w:rFonts w:eastAsia="Times New Roman"/>
                <w:sz w:val="20"/>
                <w:szCs w:val="20"/>
              </w:rPr>
            </w:pPr>
            <w:r>
              <w:rPr>
                <w:rFonts w:eastAsia="Times New Roman"/>
                <w:sz w:val="20"/>
                <w:szCs w:val="20"/>
              </w:rPr>
              <w:t> </w:t>
            </w:r>
          </w:p>
        </w:tc>
      </w:tr>
      <w:tr w:rsidR="00000000" w14:paraId="4AAD3ADF" w14:textId="77777777">
        <w:trPr>
          <w:divId w:val="415980837"/>
        </w:trPr>
        <w:tc>
          <w:tcPr>
            <w:tcW w:w="0" w:type="auto"/>
            <w:shd w:val="clear" w:color="auto" w:fill="FFFFFF"/>
            <w:vAlign w:val="bottom"/>
            <w:hideMark/>
          </w:tcPr>
          <w:p w14:paraId="0F889FB0" w14:textId="77777777" w:rsidR="00000000" w:rsidRDefault="002F725F">
            <w:pPr>
              <w:rPr>
                <w:rFonts w:eastAsia="Times New Roman"/>
                <w:sz w:val="20"/>
                <w:szCs w:val="20"/>
              </w:rPr>
            </w:pPr>
            <w:r>
              <w:rPr>
                <w:rFonts w:eastAsia="Times New Roman"/>
                <w:sz w:val="20"/>
                <w:szCs w:val="20"/>
              </w:rPr>
              <w:t>Special Committee compensation</w:t>
            </w:r>
          </w:p>
        </w:tc>
        <w:tc>
          <w:tcPr>
            <w:tcW w:w="0" w:type="auto"/>
            <w:shd w:val="clear" w:color="auto" w:fill="FFFFFF"/>
            <w:vAlign w:val="bottom"/>
            <w:hideMark/>
          </w:tcPr>
          <w:p w14:paraId="0762D63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5BFD291" w14:textId="77777777" w:rsidR="00000000" w:rsidRDefault="002F725F">
            <w:pPr>
              <w:rPr>
                <w:rFonts w:eastAsia="Times New Roman"/>
                <w:sz w:val="20"/>
                <w:szCs w:val="20"/>
              </w:rPr>
            </w:pPr>
            <w:r>
              <w:rPr>
                <w:rFonts w:eastAsia="Times New Roman"/>
                <w:sz w:val="20"/>
                <w:szCs w:val="20"/>
              </w:rPr>
              <w:t>US$</w:t>
            </w:r>
          </w:p>
        </w:tc>
        <w:tc>
          <w:tcPr>
            <w:tcW w:w="0" w:type="auto"/>
            <w:shd w:val="clear" w:color="auto" w:fill="FFFFFF"/>
            <w:vAlign w:val="bottom"/>
            <w:hideMark/>
          </w:tcPr>
          <w:p w14:paraId="5AFDEA6D" w14:textId="77777777" w:rsidR="00000000" w:rsidRDefault="002F725F">
            <w:pPr>
              <w:jc w:val="right"/>
              <w:rPr>
                <w:rFonts w:eastAsia="Times New Roman"/>
                <w:sz w:val="20"/>
                <w:szCs w:val="20"/>
              </w:rPr>
            </w:pPr>
            <w:r>
              <w:rPr>
                <w:rFonts w:eastAsia="Times New Roman"/>
                <w:sz w:val="20"/>
                <w:szCs w:val="20"/>
              </w:rPr>
              <w:t>184,585.00</w:t>
            </w:r>
          </w:p>
        </w:tc>
        <w:tc>
          <w:tcPr>
            <w:tcW w:w="0" w:type="auto"/>
            <w:shd w:val="clear" w:color="auto" w:fill="FFFFFF"/>
            <w:vAlign w:val="bottom"/>
            <w:hideMark/>
          </w:tcPr>
          <w:p w14:paraId="5A174B36" w14:textId="77777777" w:rsidR="00000000" w:rsidRDefault="002F725F">
            <w:pPr>
              <w:rPr>
                <w:rFonts w:eastAsia="Times New Roman"/>
                <w:sz w:val="20"/>
                <w:szCs w:val="20"/>
              </w:rPr>
            </w:pPr>
            <w:r>
              <w:rPr>
                <w:rFonts w:eastAsia="Times New Roman"/>
                <w:sz w:val="20"/>
                <w:szCs w:val="20"/>
              </w:rPr>
              <w:t> </w:t>
            </w:r>
          </w:p>
        </w:tc>
      </w:tr>
      <w:tr w:rsidR="00000000" w14:paraId="6B292923" w14:textId="77777777">
        <w:trPr>
          <w:divId w:val="415980837"/>
        </w:trPr>
        <w:tc>
          <w:tcPr>
            <w:tcW w:w="0" w:type="auto"/>
            <w:shd w:val="clear" w:color="auto" w:fill="CCEEFF"/>
            <w:tcMar>
              <w:top w:w="0" w:type="dxa"/>
              <w:left w:w="0" w:type="dxa"/>
              <w:bottom w:w="30" w:type="dxa"/>
              <w:right w:w="0" w:type="dxa"/>
            </w:tcMar>
            <w:vAlign w:val="bottom"/>
            <w:hideMark/>
          </w:tcPr>
          <w:p w14:paraId="72B85832" w14:textId="77777777" w:rsidR="00000000" w:rsidRDefault="002F725F">
            <w:pPr>
              <w:rPr>
                <w:rFonts w:eastAsia="Times New Roman"/>
                <w:sz w:val="20"/>
                <w:szCs w:val="20"/>
              </w:rPr>
            </w:pPr>
            <w:r>
              <w:rPr>
                <w:rFonts w:eastAsia="Times New Roman"/>
                <w:sz w:val="20"/>
                <w:szCs w:val="20"/>
              </w:rPr>
              <w:t>Miscellaneous (e.g., printer and mailing costs)</w:t>
            </w:r>
          </w:p>
        </w:tc>
        <w:tc>
          <w:tcPr>
            <w:tcW w:w="0" w:type="auto"/>
            <w:shd w:val="clear" w:color="auto" w:fill="CCEEFF"/>
            <w:tcMar>
              <w:top w:w="0" w:type="dxa"/>
              <w:left w:w="0" w:type="dxa"/>
              <w:bottom w:w="30" w:type="dxa"/>
              <w:right w:w="0" w:type="dxa"/>
            </w:tcMar>
            <w:vAlign w:val="bottom"/>
            <w:hideMark/>
          </w:tcPr>
          <w:p w14:paraId="251C788B"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CCEEFF"/>
            <w:vAlign w:val="bottom"/>
            <w:hideMark/>
          </w:tcPr>
          <w:p w14:paraId="50492212" w14:textId="77777777" w:rsidR="00000000" w:rsidRDefault="002F725F">
            <w:pPr>
              <w:rPr>
                <w:rFonts w:eastAsia="Times New Roman"/>
                <w:sz w:val="20"/>
                <w:szCs w:val="20"/>
              </w:rPr>
            </w:pPr>
            <w:r>
              <w:rPr>
                <w:rFonts w:eastAsia="Times New Roman"/>
                <w:sz w:val="20"/>
                <w:szCs w:val="20"/>
              </w:rPr>
              <w:t>US$</w:t>
            </w:r>
          </w:p>
        </w:tc>
        <w:tc>
          <w:tcPr>
            <w:tcW w:w="0" w:type="auto"/>
            <w:tcBorders>
              <w:bottom w:val="single" w:sz="12" w:space="0" w:color="000000"/>
            </w:tcBorders>
            <w:shd w:val="clear" w:color="auto" w:fill="CCEEFF"/>
            <w:vAlign w:val="bottom"/>
            <w:hideMark/>
          </w:tcPr>
          <w:p w14:paraId="20ACE183" w14:textId="77777777" w:rsidR="00000000" w:rsidRDefault="002F725F">
            <w:pPr>
              <w:jc w:val="right"/>
              <w:rPr>
                <w:rFonts w:eastAsia="Times New Roman"/>
                <w:sz w:val="20"/>
                <w:szCs w:val="20"/>
              </w:rPr>
            </w:pPr>
            <w:r>
              <w:rPr>
                <w:rFonts w:eastAsia="Times New Roman"/>
                <w:sz w:val="20"/>
                <w:szCs w:val="20"/>
              </w:rPr>
              <w:t>30,000.00</w:t>
            </w:r>
          </w:p>
        </w:tc>
        <w:tc>
          <w:tcPr>
            <w:tcW w:w="0" w:type="auto"/>
            <w:shd w:val="clear" w:color="auto" w:fill="CCEEFF"/>
            <w:tcMar>
              <w:top w:w="0" w:type="dxa"/>
              <w:left w:w="0" w:type="dxa"/>
              <w:bottom w:w="30" w:type="dxa"/>
              <w:right w:w="0" w:type="dxa"/>
            </w:tcMar>
            <w:vAlign w:val="bottom"/>
            <w:hideMark/>
          </w:tcPr>
          <w:p w14:paraId="23541152" w14:textId="77777777" w:rsidR="00000000" w:rsidRDefault="002F725F">
            <w:pPr>
              <w:rPr>
                <w:rFonts w:eastAsia="Times New Roman"/>
                <w:sz w:val="20"/>
                <w:szCs w:val="20"/>
              </w:rPr>
            </w:pPr>
            <w:r>
              <w:rPr>
                <w:rFonts w:eastAsia="Times New Roman"/>
                <w:sz w:val="20"/>
                <w:szCs w:val="20"/>
              </w:rPr>
              <w:t> </w:t>
            </w:r>
          </w:p>
        </w:tc>
      </w:tr>
      <w:tr w:rsidR="00000000" w14:paraId="0AEFDDD1" w14:textId="77777777">
        <w:trPr>
          <w:divId w:val="415980837"/>
        </w:trPr>
        <w:tc>
          <w:tcPr>
            <w:tcW w:w="0" w:type="auto"/>
            <w:shd w:val="clear" w:color="auto" w:fill="FFFFFF"/>
            <w:tcMar>
              <w:top w:w="0" w:type="dxa"/>
              <w:left w:w="0" w:type="dxa"/>
              <w:bottom w:w="30" w:type="dxa"/>
              <w:right w:w="0" w:type="dxa"/>
            </w:tcMar>
            <w:vAlign w:val="bottom"/>
            <w:hideMark/>
          </w:tcPr>
          <w:p w14:paraId="251C2651" w14:textId="77777777" w:rsidR="00000000" w:rsidRDefault="002F725F">
            <w:pPr>
              <w:rPr>
                <w:rFonts w:eastAsia="Times New Roman"/>
                <w:sz w:val="20"/>
                <w:szCs w:val="20"/>
              </w:rPr>
            </w:pPr>
            <w:r>
              <w:rPr>
                <w:rFonts w:eastAsia="Times New Roman"/>
                <w:sz w:val="20"/>
                <w:szCs w:val="20"/>
              </w:rPr>
              <w:t>Total</w:t>
            </w:r>
          </w:p>
        </w:tc>
        <w:tc>
          <w:tcPr>
            <w:tcW w:w="0" w:type="auto"/>
            <w:shd w:val="clear" w:color="auto" w:fill="FFFFFF"/>
            <w:tcMar>
              <w:top w:w="0" w:type="dxa"/>
              <w:left w:w="0" w:type="dxa"/>
              <w:bottom w:w="30" w:type="dxa"/>
              <w:right w:w="0" w:type="dxa"/>
            </w:tcMar>
            <w:vAlign w:val="bottom"/>
            <w:hideMark/>
          </w:tcPr>
          <w:p w14:paraId="43F6BBFB"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12" w:space="0" w:color="000000"/>
            </w:tcBorders>
            <w:shd w:val="clear" w:color="auto" w:fill="FFFFFF"/>
            <w:vAlign w:val="bottom"/>
            <w:hideMark/>
          </w:tcPr>
          <w:p w14:paraId="6B965BC1" w14:textId="77777777" w:rsidR="00000000" w:rsidRDefault="002F725F">
            <w:pPr>
              <w:rPr>
                <w:rFonts w:eastAsia="Times New Roman"/>
                <w:sz w:val="20"/>
                <w:szCs w:val="20"/>
              </w:rPr>
            </w:pPr>
            <w:r>
              <w:rPr>
                <w:rFonts w:eastAsia="Times New Roman"/>
                <w:sz w:val="20"/>
                <w:szCs w:val="20"/>
              </w:rPr>
              <w:t>US$</w:t>
            </w:r>
          </w:p>
        </w:tc>
        <w:tc>
          <w:tcPr>
            <w:tcW w:w="0" w:type="auto"/>
            <w:tcBorders>
              <w:bottom w:val="single" w:sz="12" w:space="0" w:color="000000"/>
            </w:tcBorders>
            <w:shd w:val="clear" w:color="auto" w:fill="FFFFFF"/>
            <w:vAlign w:val="bottom"/>
            <w:hideMark/>
          </w:tcPr>
          <w:p w14:paraId="024AF793"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tcMar>
              <w:top w:w="0" w:type="dxa"/>
              <w:left w:w="0" w:type="dxa"/>
              <w:bottom w:w="30" w:type="dxa"/>
              <w:right w:w="0" w:type="dxa"/>
            </w:tcMar>
            <w:vAlign w:val="bottom"/>
            <w:hideMark/>
          </w:tcPr>
          <w:p w14:paraId="11086AA4" w14:textId="77777777" w:rsidR="00000000" w:rsidRDefault="002F725F">
            <w:pPr>
              <w:rPr>
                <w:rFonts w:eastAsia="Times New Roman"/>
                <w:sz w:val="20"/>
                <w:szCs w:val="20"/>
              </w:rPr>
            </w:pPr>
            <w:r>
              <w:rPr>
                <w:rFonts w:eastAsia="Times New Roman"/>
                <w:sz w:val="20"/>
                <w:szCs w:val="20"/>
              </w:rPr>
              <w:t> </w:t>
            </w:r>
          </w:p>
        </w:tc>
      </w:tr>
    </w:tbl>
    <w:p w14:paraId="2F1D42F0"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09DCAE1" w14:textId="77777777" w:rsidR="00000000" w:rsidRDefault="002F725F">
      <w:pPr>
        <w:pStyle w:val="NormalWeb"/>
        <w:spacing w:before="0" w:beforeAutospacing="0" w:after="0" w:afterAutospacing="0"/>
        <w:jc w:val="center"/>
        <w:divId w:val="780145883"/>
        <w:rPr>
          <w:sz w:val="20"/>
          <w:szCs w:val="20"/>
        </w:rPr>
      </w:pPr>
      <w:r>
        <w:rPr>
          <w:sz w:val="20"/>
          <w:szCs w:val="20"/>
        </w:rPr>
        <w:t>6</w:t>
      </w:r>
      <w:r>
        <w:rPr>
          <w:sz w:val="20"/>
          <w:szCs w:val="20"/>
        </w:rPr>
        <w:t>9</w:t>
      </w:r>
    </w:p>
    <w:p w14:paraId="107CDD7A" w14:textId="77777777" w:rsidR="00000000" w:rsidRDefault="002F725F">
      <w:pPr>
        <w:pStyle w:val="NormalWeb"/>
        <w:spacing w:before="0" w:beforeAutospacing="0" w:after="0" w:afterAutospacing="0"/>
        <w:divId w:val="453326969"/>
        <w:rPr>
          <w:sz w:val="20"/>
          <w:szCs w:val="20"/>
        </w:rPr>
      </w:pPr>
      <w:r>
        <w:rPr>
          <w:sz w:val="20"/>
          <w:szCs w:val="20"/>
        </w:rPr>
        <w:t> </w:t>
      </w:r>
    </w:p>
    <w:p w14:paraId="21494C97"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40C0A5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These expenses will not reduce the merger consideration to be received by the Company’</w:t>
      </w:r>
      <w:r>
        <w:rPr>
          <w:sz w:val="20"/>
          <w:szCs w:val="20"/>
        </w:rPr>
        <w:t>s shareholders. If the Merger is completed, the party incurring any costs and expenses in connection with the Merger and the Merger Agreement will pay those costs and expenses.</w:t>
      </w:r>
    </w:p>
    <w:p w14:paraId="2CF531AD"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557F88AC" w14:textId="77777777" w:rsidR="00000000" w:rsidRDefault="002F725F">
      <w:pPr>
        <w:pStyle w:val="NormalWeb"/>
        <w:spacing w:before="0" w:beforeAutospacing="0" w:after="0" w:afterAutospacing="0"/>
        <w:jc w:val="both"/>
        <w:divId w:val="415980837"/>
        <w:rPr>
          <w:sz w:val="20"/>
          <w:szCs w:val="20"/>
        </w:rPr>
      </w:pPr>
      <w:r>
        <w:rPr>
          <w:b/>
          <w:bCs/>
          <w:sz w:val="20"/>
          <w:szCs w:val="20"/>
        </w:rPr>
        <w:t>Voting by the Buyer Group at the Extraordinary General Meeting</w:t>
      </w:r>
    </w:p>
    <w:p w14:paraId="18AB0B9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4E9A42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Pursuant to </w:t>
      </w:r>
      <w:r>
        <w:rPr>
          <w:sz w:val="20"/>
          <w:szCs w:val="20"/>
        </w:rPr>
        <w:t>the Support Agreement, the Rollover Shareholders have agreed to vote all of the Shares they beneficially own in favor of the authorization and approval of the Merger Agreement, the Plan of Merger and the consummation of the Transactions at the extraordinar</w:t>
      </w:r>
      <w:r>
        <w:rPr>
          <w:sz w:val="20"/>
          <w:szCs w:val="20"/>
        </w:rPr>
        <w:t>y general meeting of the Company. As of the Share Record Date, we expect that the Rollover Shareholders will beneficially own, in the aggregate, 21,988,169 Shares, which collectively represent approximately 53.35% of the voting power of the total issued an</w:t>
      </w:r>
      <w:r>
        <w:rPr>
          <w:sz w:val="20"/>
          <w:szCs w:val="20"/>
        </w:rPr>
        <w:t>d outstanding Shares.</w:t>
      </w:r>
    </w:p>
    <w:p w14:paraId="424A903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18C0638" w14:textId="77777777" w:rsidR="00000000" w:rsidRDefault="002F725F">
      <w:pPr>
        <w:pStyle w:val="NormalWeb"/>
        <w:spacing w:before="0" w:beforeAutospacing="0" w:after="0" w:afterAutospacing="0"/>
        <w:jc w:val="both"/>
        <w:divId w:val="415980837"/>
        <w:rPr>
          <w:sz w:val="20"/>
          <w:szCs w:val="20"/>
        </w:rPr>
      </w:pPr>
      <w:r>
        <w:rPr>
          <w:b/>
          <w:bCs/>
          <w:sz w:val="20"/>
          <w:szCs w:val="20"/>
        </w:rPr>
        <w:t>Litigation Related to the Merger</w:t>
      </w:r>
    </w:p>
    <w:p w14:paraId="33D7639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913879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As of the date of this proxy statement, we are not aware of any lawsuit that challenges the Merger, the Merger Agreement or the Transactions.</w:t>
      </w:r>
    </w:p>
    <w:p w14:paraId="2D469F5A"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095C0934" w14:textId="77777777" w:rsidR="00000000" w:rsidRDefault="002F725F">
      <w:pPr>
        <w:pStyle w:val="NormalWeb"/>
        <w:spacing w:before="0" w:beforeAutospacing="0" w:after="0" w:afterAutospacing="0"/>
        <w:jc w:val="both"/>
        <w:divId w:val="415980837"/>
        <w:rPr>
          <w:sz w:val="20"/>
          <w:szCs w:val="20"/>
        </w:rPr>
      </w:pPr>
      <w:r>
        <w:rPr>
          <w:b/>
          <w:bCs/>
          <w:sz w:val="20"/>
          <w:szCs w:val="20"/>
        </w:rPr>
        <w:t>Accounting Treatment of the Merger</w:t>
      </w:r>
    </w:p>
    <w:p w14:paraId="2AD9CAA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03F924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Merger is expected to be accounted for as a business combination by Parent in accordance with Accounting Standards Codification 805 “Business Combinations”, initially at the fair value of the Company as of the date </w:t>
      </w:r>
      <w:r>
        <w:rPr>
          <w:sz w:val="20"/>
          <w:szCs w:val="20"/>
        </w:rPr>
        <w:t>of the closing of the Merger, which is the date of the acquisition.</w:t>
      </w:r>
    </w:p>
    <w:p w14:paraId="21DB7713"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7B73E01A" w14:textId="77777777" w:rsidR="00000000" w:rsidRDefault="002F725F">
      <w:pPr>
        <w:pStyle w:val="NormalWeb"/>
        <w:spacing w:before="0" w:beforeAutospacing="0" w:after="0" w:afterAutospacing="0"/>
        <w:jc w:val="both"/>
        <w:divId w:val="415980837"/>
        <w:rPr>
          <w:sz w:val="20"/>
          <w:szCs w:val="20"/>
        </w:rPr>
      </w:pPr>
      <w:r>
        <w:rPr>
          <w:b/>
          <w:bCs/>
          <w:sz w:val="20"/>
          <w:szCs w:val="20"/>
        </w:rPr>
        <w:t>Regulatory Matters</w:t>
      </w:r>
    </w:p>
    <w:p w14:paraId="2769499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D3A1C2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does not believe that any material federal or state regulatory approvals, filings or notices are required in connection with effecting the Merger other t</w:t>
      </w:r>
      <w:r>
        <w:rPr>
          <w:sz w:val="20"/>
          <w:szCs w:val="20"/>
        </w:rPr>
        <w:t xml:space="preserve">han (a) the approvals, filings or notices required under the federal securities laws and applicable rules and regulations of OTC Pink, and (b) the filing of the Plan of Merger (and supporting documentation as specified in the Cayman Islands Companies Act) </w:t>
      </w:r>
      <w:r>
        <w:rPr>
          <w:sz w:val="20"/>
          <w:szCs w:val="20"/>
        </w:rPr>
        <w:t xml:space="preserve">and the filing of the Variation of Share Capital and the Adoption of Amended M&amp;A with the Cayman Registrar and, in the event the Merger becomes effective, a copy of the Certificate of Merger being given to the shareholders and creditors of the Company and </w:t>
      </w:r>
      <w:r>
        <w:rPr>
          <w:sz w:val="20"/>
          <w:szCs w:val="20"/>
        </w:rPr>
        <w:t xml:space="preserve">Merger Sub as at the time of the filing of the Plan of Merger and notice of the Merger being published in the Cayman Islands </w:t>
      </w:r>
      <w:r>
        <w:rPr>
          <w:sz w:val="20"/>
          <w:szCs w:val="20"/>
        </w:rPr>
        <w:lastRenderedPageBreak/>
        <w:t>Government Gazette. See “The Merger Agreement—Conditions to the Merger” beginning on page 93 for additional information.</w:t>
      </w:r>
    </w:p>
    <w:p w14:paraId="0955B66B"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3843E297" w14:textId="77777777" w:rsidR="00000000" w:rsidRDefault="002F725F">
      <w:pPr>
        <w:pStyle w:val="NormalWeb"/>
        <w:spacing w:before="0" w:beforeAutospacing="0" w:after="0" w:afterAutospacing="0"/>
        <w:jc w:val="both"/>
        <w:divId w:val="415980837"/>
        <w:rPr>
          <w:sz w:val="20"/>
          <w:szCs w:val="20"/>
        </w:rPr>
      </w:pPr>
      <w:r>
        <w:rPr>
          <w:b/>
          <w:bCs/>
          <w:sz w:val="20"/>
          <w:szCs w:val="20"/>
        </w:rPr>
        <w:t>Dissente</w:t>
      </w:r>
      <w:r>
        <w:rPr>
          <w:b/>
          <w:bCs/>
          <w:sz w:val="20"/>
          <w:szCs w:val="20"/>
        </w:rPr>
        <w:t>rs’ Rights</w:t>
      </w:r>
    </w:p>
    <w:p w14:paraId="1F588BC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2F731B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Registered shareholders who have validly exercised and have not effectively withdrawn or lost their rights to dissent will have the right to receive payment of the fair value of their Shares in accordance with Section 238 of the Cayman Islands</w:t>
      </w:r>
      <w:r>
        <w:rPr>
          <w:sz w:val="20"/>
          <w:szCs w:val="20"/>
        </w:rPr>
        <w:t xml:space="preserve"> Companies Act and subject to Section 239 of the Cayman Islands Companies Act, if the Merger is consummated, but only if they deliver to the Company, before the vote to authorize and approve the Merger is taken at the extraordinary general meeting, a writt</w:t>
      </w:r>
      <w:r>
        <w:rPr>
          <w:sz w:val="20"/>
          <w:szCs w:val="20"/>
        </w:rPr>
        <w:t>en objection to the Merger and subsequently comply with all procedures and requirements of Section 238 of the Cayman Islands Companies Act for the exercise of dissenters’ rights, a copy of which is attached as Annex D to this proxy statement. The fair valu</w:t>
      </w:r>
      <w:r>
        <w:rPr>
          <w:sz w:val="20"/>
          <w:szCs w:val="20"/>
        </w:rPr>
        <w:t>e of their Shares as determined under the Cayman Islands Companies Act could be more than, the same as, or less than the merger consideration they would receive pursuant to the Merger Agreement if they do not exercise dissenters’ rights with respect to the</w:t>
      </w:r>
      <w:r>
        <w:rPr>
          <w:sz w:val="20"/>
          <w:szCs w:val="20"/>
        </w:rPr>
        <w:t>ir Shares. If you do not fully and precisely satisfy the procedural requirements of the Cayman Islands Companies Act, you will lose your right to dissent (as described under the section entitled “Dissenters’ Rights” on page 98). This proxy statement is not</w:t>
      </w:r>
      <w:r>
        <w:rPr>
          <w:sz w:val="20"/>
          <w:szCs w:val="20"/>
        </w:rPr>
        <w:t xml:space="preserve"> to be construed or taken as legal advice on Cayman Islands law. Registered shareholders who wish to exercise any rights under Section 238 of the Cayman Islands Companies Act, or otherwise, should obtain their own copy of the complete Cayman Islands Compan</w:t>
      </w:r>
      <w:r>
        <w:rPr>
          <w:sz w:val="20"/>
          <w:szCs w:val="20"/>
        </w:rPr>
        <w:t>ies Act and seek legal advice from a law firm authorized to practice Cayman Islands law without delay.</w:t>
      </w:r>
    </w:p>
    <w:p w14:paraId="003B7DA6"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054FEAF4" w14:textId="77777777" w:rsidR="00000000" w:rsidRDefault="002F725F">
      <w:pPr>
        <w:pStyle w:val="NormalWeb"/>
        <w:spacing w:before="0" w:beforeAutospacing="0" w:after="0" w:afterAutospacing="0"/>
        <w:jc w:val="both"/>
        <w:divId w:val="415980837"/>
        <w:rPr>
          <w:sz w:val="20"/>
          <w:szCs w:val="20"/>
        </w:rPr>
      </w:pPr>
      <w:r>
        <w:rPr>
          <w:b/>
          <w:bCs/>
          <w:sz w:val="20"/>
          <w:szCs w:val="20"/>
        </w:rPr>
        <w:t xml:space="preserve">U.S. Federal Income Tax Consequences </w:t>
      </w:r>
    </w:p>
    <w:p w14:paraId="65F5351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B034A4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following is a discussion of U.S. federal income tax consequences to U.S. Holders (as defined below) that e</w:t>
      </w:r>
      <w:r>
        <w:rPr>
          <w:sz w:val="20"/>
          <w:szCs w:val="20"/>
        </w:rPr>
        <w:t>xchange Shares for cash pursuant to the Merger Agreement or as a result of the exercise of dissenters’ rights. This discussion is based on the U.S. Internal Revenue Code of 1986, as amended (the “Code”), final and temporary U.S. Treasury Regulations promul</w:t>
      </w:r>
      <w:r>
        <w:rPr>
          <w:sz w:val="20"/>
          <w:szCs w:val="20"/>
        </w:rPr>
        <w:t>gated thereunder, the income tax treaty between the United States and the PRC (the “Treaty”), administrative pronouncements, and judicial decisions as of the date of this proxy statement, all of which are subject to change, possibly on a retroactive basis,</w:t>
      </w:r>
      <w:r>
        <w:rPr>
          <w:sz w:val="20"/>
          <w:szCs w:val="20"/>
        </w:rPr>
        <w:t xml:space="preserve"> and to differing interpretation, which may result in tax consequences different from those described below. This discussion is not binding on the U.S. Internal Revenue Service (the “IRS”), and the IRS or a court in the event of an IRS dispute may challeng</w:t>
      </w:r>
      <w:r>
        <w:rPr>
          <w:sz w:val="20"/>
          <w:szCs w:val="20"/>
        </w:rPr>
        <w:t>e any of the conclusions set forth below.</w:t>
      </w:r>
    </w:p>
    <w:p w14:paraId="1846387A"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8F16541" w14:textId="77777777" w:rsidR="00000000" w:rsidRDefault="002F725F">
      <w:pPr>
        <w:pStyle w:val="NormalWeb"/>
        <w:spacing w:before="0" w:beforeAutospacing="0" w:after="0" w:afterAutospacing="0"/>
        <w:jc w:val="center"/>
        <w:divId w:val="372996002"/>
        <w:rPr>
          <w:sz w:val="20"/>
          <w:szCs w:val="20"/>
        </w:rPr>
      </w:pPr>
      <w:r>
        <w:rPr>
          <w:sz w:val="20"/>
          <w:szCs w:val="20"/>
        </w:rPr>
        <w:t>7</w:t>
      </w:r>
      <w:r>
        <w:rPr>
          <w:sz w:val="20"/>
          <w:szCs w:val="20"/>
        </w:rPr>
        <w:t>0</w:t>
      </w:r>
    </w:p>
    <w:p w14:paraId="3FC64CA6" w14:textId="77777777" w:rsidR="00000000" w:rsidRDefault="002F725F">
      <w:pPr>
        <w:pStyle w:val="NormalWeb"/>
        <w:spacing w:before="0" w:beforeAutospacing="0" w:after="0" w:afterAutospacing="0"/>
        <w:divId w:val="681005796"/>
        <w:rPr>
          <w:sz w:val="20"/>
          <w:szCs w:val="20"/>
        </w:rPr>
      </w:pPr>
      <w:r>
        <w:rPr>
          <w:sz w:val="20"/>
          <w:szCs w:val="20"/>
        </w:rPr>
        <w:t> </w:t>
      </w:r>
    </w:p>
    <w:p w14:paraId="35775492"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3DF43DD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This discussion does not address any U.S. federal estate, gift, or other non-income tax, Medicare contribution tax or any state, local, or non-U.S. tax consequences of the Merger. This discussion is a summ</w:t>
      </w:r>
      <w:r>
        <w:rPr>
          <w:sz w:val="20"/>
          <w:szCs w:val="20"/>
        </w:rPr>
        <w:t>ary for general information purposes only and does not consider all aspects of U.S. federal income taxation that may be relevant to all taxpayers or to particular holders of the Shares in light of their individual investment circumstances or to certain typ</w:t>
      </w:r>
      <w:r>
        <w:rPr>
          <w:sz w:val="20"/>
          <w:szCs w:val="20"/>
        </w:rPr>
        <w:t>es of holders of the Shares subject to special tax rules, including (i) holders that are banks, financial institutions, or insurance companies, regulated investment companies, mutual funds, or real estate investment trusts, brokers or dealers in securities</w:t>
      </w:r>
      <w:r>
        <w:rPr>
          <w:sz w:val="20"/>
          <w:szCs w:val="20"/>
        </w:rPr>
        <w:t xml:space="preserve"> or currencies or traders in securities that elect to apply a mark-to-market accounting method, or tax-exempt organizations, (ii) holders that own Shares as part of a straddle, hedge, constructive sale, conversion transaction, or other integrated investmen</w:t>
      </w:r>
      <w:r>
        <w:rPr>
          <w:sz w:val="20"/>
          <w:szCs w:val="20"/>
        </w:rPr>
        <w:t xml:space="preserve">t, (iii) holders that acquired Shares in connection with the exercise of Company Options or Company RSUs or otherwise as compensation for services, (iv) holders that have a “functional currency” other than the U.S. dollar, (v) retirement plans, individual </w:t>
      </w:r>
      <w:r>
        <w:rPr>
          <w:sz w:val="20"/>
          <w:szCs w:val="20"/>
        </w:rPr>
        <w:t>retirement accounts, or other tax-deferred accounts, (vi) U.S. expatriates, (vii) holders that are subject to alternative minimum tax, (viii) holders that actually or constructively own 10% or more of our Shares (by vote or value), (ix) the Buyer Group, (x</w:t>
      </w:r>
      <w:r>
        <w:rPr>
          <w:sz w:val="20"/>
          <w:szCs w:val="20"/>
        </w:rPr>
        <w:t>) S corporations, (xi) partnerships or other entities classified as partnerships for U.S. federal income tax purposes, or (xii) holders that dissent from the Merger. This discussion assumes that Shares are held as “capital assets” (generally, property held</w:t>
      </w:r>
      <w:r>
        <w:rPr>
          <w:sz w:val="20"/>
          <w:szCs w:val="20"/>
        </w:rPr>
        <w:t xml:space="preserve"> for investment) under the Code.</w:t>
      </w:r>
    </w:p>
    <w:p w14:paraId="5DF4D13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40B3E11"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As used herein, a “U.S. Holder” is any beneficial owner of Shares that is (i) an individual citizen or resident of the United States for U.S. federal income tax purposes, (ii) a corporation (or other entity treated as a c</w:t>
      </w:r>
      <w:r>
        <w:rPr>
          <w:sz w:val="20"/>
          <w:szCs w:val="20"/>
        </w:rPr>
        <w:t>orporation for U.S. federal income tax purposes) created or organized under the laws of the United States, any state thereof, or the District of Columbia, (iii) an estate the income of which is subject to U.S. federal income taxation regardless of its sour</w:t>
      </w:r>
      <w:r>
        <w:rPr>
          <w:sz w:val="20"/>
          <w:szCs w:val="20"/>
        </w:rPr>
        <w:t xml:space="preserve">ce or (iv) a trust which (a) is subject to the primary jurisdiction of a court within the United States and for which one or more U.S. persons have authority to control all substantial decisions, or (b) has a valid election in effect under applicable U.S. </w:t>
      </w:r>
      <w:r>
        <w:rPr>
          <w:sz w:val="20"/>
          <w:szCs w:val="20"/>
        </w:rPr>
        <w:t>Treasury Regulations to be treated as a U.S. person for U.S. federal income tax purposes.</w:t>
      </w:r>
    </w:p>
    <w:p w14:paraId="0E58DB2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1DC643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If a partnership (including any entity classified as a partnership for U.S. federal income tax purposes) is a beneficial owner of Shares, the U.S. federal income ta</w:t>
      </w:r>
      <w:r>
        <w:rPr>
          <w:sz w:val="20"/>
          <w:szCs w:val="20"/>
        </w:rPr>
        <w:t>x treatment of a partner in the partnership generally will depend on the status of the partner and the activities of the partnership. A U.S. Holder that is a partner of a partnership holding Shares is urged to consult its own tax advisor.</w:t>
      </w:r>
    </w:p>
    <w:p w14:paraId="7EFDBE9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7867A0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ALL U.S. HOLDERS OF SHARES SHOULD CONSULT THEIR TAX ADVISORS REGARDING THE SPECIFIC TAX CONSEQUENCES OF THE MERGER IN LIGHT OF THEIR PARTICULAR SITUATIONS, INCLUDING THE APPLICABILITY AND EFFECT OF U.S. FEDERAL, STATE, LOCAL, NON-U.S. AND OTHER LAWS.</w:t>
      </w:r>
    </w:p>
    <w:p w14:paraId="2D0566F2" w14:textId="77777777" w:rsidR="00000000" w:rsidRDefault="002F725F">
      <w:pPr>
        <w:pStyle w:val="NormalWeb"/>
        <w:spacing w:before="0" w:beforeAutospacing="0" w:after="0" w:afterAutospacing="0"/>
        <w:jc w:val="both"/>
        <w:divId w:val="415980837"/>
        <w:rPr>
          <w:sz w:val="20"/>
          <w:szCs w:val="20"/>
        </w:rPr>
      </w:pPr>
      <w:r>
        <w:rPr>
          <w:b/>
          <w:bCs/>
          <w:i/>
          <w:iCs/>
          <w:sz w:val="20"/>
          <w:szCs w:val="20"/>
        </w:rPr>
        <w:t> </w:t>
      </w:r>
    </w:p>
    <w:p w14:paraId="434B0F0E" w14:textId="77777777" w:rsidR="00000000" w:rsidRDefault="002F725F">
      <w:pPr>
        <w:pStyle w:val="NormalWeb"/>
        <w:spacing w:before="0" w:beforeAutospacing="0" w:after="0" w:afterAutospacing="0"/>
        <w:jc w:val="both"/>
        <w:divId w:val="415980837"/>
        <w:rPr>
          <w:sz w:val="20"/>
          <w:szCs w:val="20"/>
        </w:rPr>
      </w:pPr>
      <w:r>
        <w:rPr>
          <w:b/>
          <w:bCs/>
          <w:i/>
          <w:iCs/>
          <w:sz w:val="20"/>
          <w:szCs w:val="20"/>
        </w:rPr>
        <w:t>Con</w:t>
      </w:r>
      <w:r>
        <w:rPr>
          <w:b/>
          <w:bCs/>
          <w:i/>
          <w:iCs/>
          <w:sz w:val="20"/>
          <w:szCs w:val="20"/>
        </w:rPr>
        <w:t>sequences of the Merger Generally</w:t>
      </w:r>
    </w:p>
    <w:p w14:paraId="318D6E5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9CDF84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receipt of cash by a U.S. Holder in exchange for Shares pursuant to the Merger will be a taxable transaction for U.S. federal income tax purposes. In general, subject to the “passive foreign investment company,” or “</w:t>
      </w:r>
      <w:r>
        <w:rPr>
          <w:sz w:val="20"/>
          <w:szCs w:val="20"/>
        </w:rPr>
        <w:t xml:space="preserve">PFIC,” discussion below, a U.S. Holder who receives cash in exchange for Shares pursuant to the Merger will recognize gain or loss in an amount equal to the difference, if any, between (1) the amount of cash received and (2) the U.S. Holder’s adjusted tax </w:t>
      </w:r>
      <w:r>
        <w:rPr>
          <w:sz w:val="20"/>
          <w:szCs w:val="20"/>
        </w:rPr>
        <w:t>basis in those Shares. If a U.S. Holder acquired different blocks of Shares at different times and different prices, that holder generally must determine its adjusted tax basis and holding period separately with respect to each block of Shares. The deducti</w:t>
      </w:r>
      <w:r>
        <w:rPr>
          <w:sz w:val="20"/>
          <w:szCs w:val="20"/>
        </w:rPr>
        <w:t>bility of capital losses is subject to limitations. Subject to the PFIC rules discussed below, capital gain recognized by a non-corporate U.S. Holder is generally eligible for the preferential long-term capital gains rate if such individual U.S. Holder’s h</w:t>
      </w:r>
      <w:r>
        <w:rPr>
          <w:sz w:val="20"/>
          <w:szCs w:val="20"/>
        </w:rPr>
        <w:t>olding period in its Shares exchanged in the Merger is greater than one year as of the effective date of the Merger.</w:t>
      </w:r>
    </w:p>
    <w:p w14:paraId="0DBAE0B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54B77F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Any capital gain or loss will generally be U.S.-source gain or loss for U.S. foreign tax credit purposes. In the event that we are deemed</w:t>
      </w:r>
      <w:r>
        <w:rPr>
          <w:sz w:val="20"/>
          <w:szCs w:val="20"/>
        </w:rPr>
        <w:t xml:space="preserve"> to be a PRC resident enterprise under PRC tax law, and gain from the disposition of the Shares would be subject to tax in the PRC, as described in “Special Factors—PRC Income Tax Consequences,” a U.S. Holder that is eligible for the benefits of the Treaty</w:t>
      </w:r>
      <w:r>
        <w:rPr>
          <w:sz w:val="20"/>
          <w:szCs w:val="20"/>
        </w:rPr>
        <w:t xml:space="preserve"> may elect to treat such gain as PRC-source gain for U.S. foreign tax credit purposes. U.S. Holders should consult their tax advisors regarding the tax considerations if a foreign tax is imposed on a disposition of Shares, including the availability of the</w:t>
      </w:r>
      <w:r>
        <w:rPr>
          <w:sz w:val="20"/>
          <w:szCs w:val="20"/>
        </w:rPr>
        <w:t xml:space="preserve"> foreign tax credit under their particular circumstances.</w:t>
      </w:r>
    </w:p>
    <w:p w14:paraId="4B451983" w14:textId="77777777" w:rsidR="00000000" w:rsidRDefault="002F725F">
      <w:pPr>
        <w:pStyle w:val="NormalWeb"/>
        <w:spacing w:before="0" w:beforeAutospacing="0" w:after="0" w:afterAutospacing="0"/>
        <w:jc w:val="center"/>
        <w:divId w:val="415980837"/>
        <w:rPr>
          <w:sz w:val="20"/>
          <w:szCs w:val="20"/>
        </w:rPr>
      </w:pPr>
      <w:r>
        <w:rPr>
          <w:b/>
          <w:bCs/>
          <w:i/>
          <w:iCs/>
          <w:sz w:val="20"/>
          <w:szCs w:val="20"/>
        </w:rPr>
        <w:t> </w:t>
      </w:r>
    </w:p>
    <w:p w14:paraId="34F0A2F0" w14:textId="77777777" w:rsidR="00000000" w:rsidRDefault="002F725F">
      <w:pPr>
        <w:pStyle w:val="NormalWeb"/>
        <w:spacing w:before="0" w:beforeAutospacing="0" w:after="0" w:afterAutospacing="0"/>
        <w:jc w:val="center"/>
        <w:divId w:val="112600695"/>
        <w:rPr>
          <w:sz w:val="20"/>
          <w:szCs w:val="20"/>
        </w:rPr>
      </w:pPr>
      <w:r>
        <w:rPr>
          <w:sz w:val="20"/>
          <w:szCs w:val="20"/>
        </w:rPr>
        <w:t>7</w:t>
      </w:r>
      <w:r>
        <w:rPr>
          <w:sz w:val="20"/>
          <w:szCs w:val="20"/>
        </w:rPr>
        <w:t>1</w:t>
      </w:r>
    </w:p>
    <w:p w14:paraId="0EA79DB1" w14:textId="77777777" w:rsidR="00000000" w:rsidRDefault="002F725F">
      <w:pPr>
        <w:pStyle w:val="NormalWeb"/>
        <w:spacing w:before="0" w:beforeAutospacing="0" w:after="0" w:afterAutospacing="0"/>
        <w:divId w:val="787968062"/>
        <w:rPr>
          <w:sz w:val="20"/>
          <w:szCs w:val="20"/>
        </w:rPr>
      </w:pPr>
      <w:r>
        <w:rPr>
          <w:sz w:val="20"/>
          <w:szCs w:val="20"/>
        </w:rPr>
        <w:t> </w:t>
      </w:r>
    </w:p>
    <w:p w14:paraId="4F59543C" w14:textId="77777777" w:rsidR="00000000" w:rsidRDefault="002F725F">
      <w:pPr>
        <w:pStyle w:val="NormalWeb"/>
        <w:spacing w:before="0" w:beforeAutospacing="0" w:after="0" w:afterAutospacing="0"/>
        <w:jc w:val="center"/>
        <w:divId w:val="415980837"/>
        <w:rPr>
          <w:sz w:val="20"/>
          <w:szCs w:val="20"/>
        </w:rPr>
      </w:pPr>
      <w:r>
        <w:rPr>
          <w:b/>
          <w:bCs/>
          <w:i/>
          <w:iCs/>
          <w:sz w:val="20"/>
          <w:szCs w:val="20"/>
        </w:rPr>
        <w:t> </w:t>
      </w:r>
    </w:p>
    <w:p w14:paraId="31015FD5" w14:textId="77777777" w:rsidR="00000000" w:rsidRDefault="002F725F">
      <w:pPr>
        <w:pStyle w:val="NormalWeb"/>
        <w:spacing w:before="0" w:beforeAutospacing="0" w:after="0" w:afterAutospacing="0"/>
        <w:jc w:val="both"/>
        <w:divId w:val="415980837"/>
        <w:rPr>
          <w:sz w:val="20"/>
          <w:szCs w:val="20"/>
        </w:rPr>
      </w:pPr>
      <w:r>
        <w:rPr>
          <w:b/>
          <w:bCs/>
          <w:i/>
          <w:iCs/>
          <w:sz w:val="20"/>
          <w:szCs w:val="20"/>
        </w:rPr>
        <w:t>Passive Foreign Investment Company Rules</w:t>
      </w:r>
    </w:p>
    <w:p w14:paraId="1CC646A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D9100B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 non-U.S. corporation, such as the Company, will be classified as a PFIC for U.S. federal income tax purposes for any taxable year, if either (i)</w:t>
      </w:r>
      <w:r>
        <w:rPr>
          <w:sz w:val="20"/>
          <w:szCs w:val="20"/>
        </w:rPr>
        <w:t xml:space="preserve"> 75% or more of its gross income for such year consists of certain types of “passive” income or (ii) 50% or more of the value of its assets (based on an average of the quarterly values of the assets) during such year is attributable to assets that produce </w:t>
      </w:r>
      <w:r>
        <w:rPr>
          <w:sz w:val="20"/>
          <w:szCs w:val="20"/>
        </w:rPr>
        <w:t>or are held for the production of passive income (the “asset test”). A separate determination must be made after the close of each taxable year as to whether a non-United States corporation is a PFIC for that year. Passive income generally includes dividen</w:t>
      </w:r>
      <w:r>
        <w:rPr>
          <w:sz w:val="20"/>
          <w:szCs w:val="20"/>
        </w:rPr>
        <w:t>ds, interest, royalties, rents, annuities, net gains from the sale or exchange of property producing such income and net foreign currency gains. For this purpose, cash and assets readily convertible into cash are categorized as passive assets and the Compa</w:t>
      </w:r>
      <w:r>
        <w:rPr>
          <w:sz w:val="20"/>
          <w:szCs w:val="20"/>
        </w:rPr>
        <w:t xml:space="preserve">ny’s unbooked intangibles associated with active business activity are taken into account as non-passive assets. We will be </w:t>
      </w:r>
      <w:r>
        <w:rPr>
          <w:sz w:val="20"/>
          <w:szCs w:val="20"/>
        </w:rPr>
        <w:lastRenderedPageBreak/>
        <w:t>treated as owning our proportionate share of the assets and earning our proportionate share of the income of any other corporation i</w:t>
      </w:r>
      <w:r>
        <w:rPr>
          <w:sz w:val="20"/>
          <w:szCs w:val="20"/>
        </w:rPr>
        <w:t>n which we own, directly or indirectly, at least 25% (by value) of the stock.</w:t>
      </w:r>
    </w:p>
    <w:p w14:paraId="3ED5E92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F5DD07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If we were classified as a PFIC for any taxable year during which a U.S. Holder held our ordinary shares, the PFIC tax rules discussed generally will apply to such U.S. Holder </w:t>
      </w:r>
      <w:r>
        <w:rPr>
          <w:sz w:val="20"/>
          <w:szCs w:val="20"/>
        </w:rPr>
        <w:t>for such taxable year and, unless the U.S. Holder makes certain elections, will apply in future years even if we ceased to be a PFIC.</w:t>
      </w:r>
    </w:p>
    <w:p w14:paraId="3D1221A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BA273C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As explained in the Company’s Annual Report at “Item 10. Additional Information—E. Taxation—United States Federal Income</w:t>
      </w:r>
      <w:r>
        <w:rPr>
          <w:sz w:val="20"/>
          <w:szCs w:val="20"/>
        </w:rPr>
        <w:t xml:space="preserve"> Tax Considerations—Passive Foreign Investment Company”, the Company do not believe we were a PFIC in the taxable year ended March 31, 2025. However, the determination of whether we will be or become a PFIC in the future will depend upon the composition of</w:t>
      </w:r>
      <w:r>
        <w:rPr>
          <w:sz w:val="20"/>
          <w:szCs w:val="20"/>
        </w:rPr>
        <w:t xml:space="preserve"> our income and assets and the value of our assets from time to time, including, in particular the value of our unbooked intangibles (which may depend upon the market value of the Shares from time to time, which may be volatile). Among other factors, if ma</w:t>
      </w:r>
      <w:r>
        <w:rPr>
          <w:sz w:val="20"/>
          <w:szCs w:val="20"/>
        </w:rPr>
        <w:t>rket capitalization is less than anticipated or subsequently declines, the Company may be classified as a PFIC for the current or future taxable years. It is also possible that the IRS may challenge our classification or valuation of our unbooked intangibl</w:t>
      </w:r>
      <w:r>
        <w:rPr>
          <w:sz w:val="20"/>
          <w:szCs w:val="20"/>
        </w:rPr>
        <w:t>es or determine that such assets should not be included in the determination of whether we are classified as a PFIC, which may result in the Company being, or becoming classified as, a PFIC for the current or one or more future taxable years.</w:t>
      </w:r>
    </w:p>
    <w:p w14:paraId="2241D27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234329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If we were </w:t>
      </w:r>
      <w:r>
        <w:rPr>
          <w:sz w:val="20"/>
          <w:szCs w:val="20"/>
        </w:rPr>
        <w:t>a PFIC for any taxable year during which a U.S. Holder held the Shares, such U.S. Holder will generally be subject to special tax rules on (i) any excess distribution that we make to the U.S. Holder (which generally means any distribution paid during a tax</w:t>
      </w:r>
      <w:r>
        <w:rPr>
          <w:sz w:val="20"/>
          <w:szCs w:val="20"/>
        </w:rPr>
        <w:t>able year to a U.S. Holder that is greater than 125 percent of the average annual distributions paid in the three preceding taxable years or, if shorter, the U.S. Holder’s holding period for the Shares), and (ii) any gain realized on the sale or other disp</w:t>
      </w:r>
      <w:r>
        <w:rPr>
          <w:sz w:val="20"/>
          <w:szCs w:val="20"/>
        </w:rPr>
        <w:t>osition of Shares. Under these PFIC rules:</w:t>
      </w:r>
    </w:p>
    <w:p w14:paraId="378695E4" w14:textId="77777777" w:rsidR="00000000" w:rsidRDefault="002F725F">
      <w:pPr>
        <w:pStyle w:val="NormalWeb"/>
        <w:spacing w:before="0" w:beforeAutospacing="0" w:after="0" w:afterAutospacing="0"/>
        <w:ind w:left="144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1677AD1" w14:textId="77777777">
        <w:trPr>
          <w:divId w:val="415980837"/>
          <w:tblCellSpacing w:w="0" w:type="dxa"/>
        </w:trPr>
        <w:tc>
          <w:tcPr>
            <w:tcW w:w="720" w:type="dxa"/>
            <w:hideMark/>
          </w:tcPr>
          <w:p w14:paraId="41311209" w14:textId="77777777" w:rsidR="00000000" w:rsidRDefault="002F725F">
            <w:pPr>
              <w:rPr>
                <w:sz w:val="20"/>
                <w:szCs w:val="20"/>
              </w:rPr>
            </w:pPr>
          </w:p>
        </w:tc>
        <w:tc>
          <w:tcPr>
            <w:tcW w:w="360" w:type="dxa"/>
            <w:hideMark/>
          </w:tcPr>
          <w:p w14:paraId="128DC4AE" w14:textId="77777777" w:rsidR="00000000" w:rsidRDefault="002F725F">
            <w:pPr>
              <w:rPr>
                <w:rFonts w:eastAsia="Times New Roman"/>
                <w:sz w:val="20"/>
                <w:szCs w:val="20"/>
              </w:rPr>
            </w:pPr>
            <w:r>
              <w:rPr>
                <w:rFonts w:eastAsia="Times New Roman"/>
                <w:sz w:val="20"/>
                <w:szCs w:val="20"/>
              </w:rPr>
              <w:t>●</w:t>
            </w:r>
          </w:p>
        </w:tc>
        <w:tc>
          <w:tcPr>
            <w:tcW w:w="0" w:type="auto"/>
            <w:hideMark/>
          </w:tcPr>
          <w:p w14:paraId="63BEFFC8" w14:textId="77777777" w:rsidR="00000000" w:rsidRDefault="002F725F">
            <w:pPr>
              <w:jc w:val="both"/>
              <w:rPr>
                <w:rFonts w:eastAsia="Times New Roman"/>
                <w:sz w:val="20"/>
                <w:szCs w:val="20"/>
              </w:rPr>
            </w:pPr>
            <w:r>
              <w:rPr>
                <w:rFonts w:eastAsia="Times New Roman"/>
                <w:sz w:val="20"/>
                <w:szCs w:val="20"/>
              </w:rPr>
              <w:t>such excess distribution and/or gain will be allocated ratably over the U.S. Holder’s holding period for the Shares;</w:t>
            </w:r>
          </w:p>
        </w:tc>
      </w:tr>
    </w:tbl>
    <w:p w14:paraId="69DF71A0"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41B8DF0" w14:textId="77777777">
        <w:trPr>
          <w:divId w:val="415980837"/>
          <w:tblCellSpacing w:w="0" w:type="dxa"/>
        </w:trPr>
        <w:tc>
          <w:tcPr>
            <w:tcW w:w="720" w:type="dxa"/>
            <w:hideMark/>
          </w:tcPr>
          <w:p w14:paraId="3C16EED4" w14:textId="77777777" w:rsidR="00000000" w:rsidRDefault="002F725F">
            <w:pPr>
              <w:rPr>
                <w:sz w:val="20"/>
                <w:szCs w:val="20"/>
              </w:rPr>
            </w:pPr>
          </w:p>
        </w:tc>
        <w:tc>
          <w:tcPr>
            <w:tcW w:w="360" w:type="dxa"/>
            <w:hideMark/>
          </w:tcPr>
          <w:p w14:paraId="56D4FD7A" w14:textId="77777777" w:rsidR="00000000" w:rsidRDefault="002F725F">
            <w:pPr>
              <w:rPr>
                <w:rFonts w:eastAsia="Times New Roman"/>
                <w:sz w:val="20"/>
                <w:szCs w:val="20"/>
              </w:rPr>
            </w:pPr>
            <w:r>
              <w:rPr>
                <w:rFonts w:eastAsia="Times New Roman"/>
                <w:sz w:val="20"/>
                <w:szCs w:val="20"/>
              </w:rPr>
              <w:t>●</w:t>
            </w:r>
          </w:p>
        </w:tc>
        <w:tc>
          <w:tcPr>
            <w:tcW w:w="0" w:type="auto"/>
            <w:hideMark/>
          </w:tcPr>
          <w:p w14:paraId="440D0F95" w14:textId="77777777" w:rsidR="00000000" w:rsidRDefault="002F725F">
            <w:pPr>
              <w:jc w:val="both"/>
              <w:rPr>
                <w:rFonts w:eastAsia="Times New Roman"/>
                <w:sz w:val="20"/>
                <w:szCs w:val="20"/>
              </w:rPr>
            </w:pPr>
            <w:r>
              <w:rPr>
                <w:rFonts w:eastAsia="Times New Roman"/>
                <w:sz w:val="20"/>
                <w:szCs w:val="20"/>
              </w:rPr>
              <w:t>such amounts allocated to the current taxable year and any taxable years in such holder’s holding period prior to the first taxable year in which we are classified as a PFIC (a “pre-PFIC year”) will be taxable as ordinary income;</w:t>
            </w:r>
          </w:p>
        </w:tc>
      </w:tr>
    </w:tbl>
    <w:p w14:paraId="7020FC9D" w14:textId="77777777" w:rsidR="00000000" w:rsidRDefault="002F725F">
      <w:pPr>
        <w:pStyle w:val="NormalWeb"/>
        <w:spacing w:before="0" w:beforeAutospacing="0" w:after="0" w:afterAutospacing="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E862241" w14:textId="77777777">
        <w:trPr>
          <w:divId w:val="415980837"/>
          <w:tblCellSpacing w:w="0" w:type="dxa"/>
        </w:trPr>
        <w:tc>
          <w:tcPr>
            <w:tcW w:w="720" w:type="dxa"/>
            <w:hideMark/>
          </w:tcPr>
          <w:p w14:paraId="3C87F75D" w14:textId="77777777" w:rsidR="00000000" w:rsidRDefault="002F725F">
            <w:pPr>
              <w:rPr>
                <w:sz w:val="20"/>
                <w:szCs w:val="20"/>
              </w:rPr>
            </w:pPr>
          </w:p>
        </w:tc>
        <w:tc>
          <w:tcPr>
            <w:tcW w:w="360" w:type="dxa"/>
            <w:hideMark/>
          </w:tcPr>
          <w:p w14:paraId="47298D04" w14:textId="77777777" w:rsidR="00000000" w:rsidRDefault="002F725F">
            <w:pPr>
              <w:rPr>
                <w:rFonts w:eastAsia="Times New Roman"/>
                <w:sz w:val="20"/>
                <w:szCs w:val="20"/>
              </w:rPr>
            </w:pPr>
            <w:r>
              <w:rPr>
                <w:rFonts w:eastAsia="Times New Roman"/>
                <w:sz w:val="20"/>
                <w:szCs w:val="20"/>
              </w:rPr>
              <w:t>●</w:t>
            </w:r>
          </w:p>
        </w:tc>
        <w:tc>
          <w:tcPr>
            <w:tcW w:w="0" w:type="auto"/>
            <w:hideMark/>
          </w:tcPr>
          <w:p w14:paraId="2013B151" w14:textId="77777777" w:rsidR="00000000" w:rsidRDefault="002F725F">
            <w:pPr>
              <w:jc w:val="both"/>
              <w:rPr>
                <w:rFonts w:eastAsia="Times New Roman"/>
                <w:sz w:val="20"/>
                <w:szCs w:val="20"/>
              </w:rPr>
            </w:pPr>
            <w:r>
              <w:rPr>
                <w:rFonts w:eastAsia="Times New Roman"/>
                <w:sz w:val="20"/>
                <w:szCs w:val="20"/>
              </w:rPr>
              <w:t>amounts allocated to</w:t>
            </w:r>
            <w:r>
              <w:rPr>
                <w:rFonts w:eastAsia="Times New Roman"/>
                <w:sz w:val="20"/>
                <w:szCs w:val="20"/>
              </w:rPr>
              <w:t xml:space="preserve"> each prior taxable year, other than a pre-PFIC year, will be subject to tax at the highest tax rate in effect for individuals or corporations, as appropriate, for that year, and;</w:t>
            </w:r>
          </w:p>
        </w:tc>
      </w:tr>
    </w:tbl>
    <w:p w14:paraId="6ADCE96F" w14:textId="77777777" w:rsidR="00000000" w:rsidRDefault="002F725F">
      <w:pPr>
        <w:pStyle w:val="NormalWeb"/>
        <w:spacing w:before="0" w:beforeAutospacing="0" w:after="0" w:afterAutospacing="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5677FCF" w14:textId="77777777">
        <w:trPr>
          <w:divId w:val="415980837"/>
          <w:tblCellSpacing w:w="0" w:type="dxa"/>
        </w:trPr>
        <w:tc>
          <w:tcPr>
            <w:tcW w:w="720" w:type="dxa"/>
            <w:hideMark/>
          </w:tcPr>
          <w:p w14:paraId="37F42EA7" w14:textId="77777777" w:rsidR="00000000" w:rsidRDefault="002F725F">
            <w:pPr>
              <w:rPr>
                <w:sz w:val="20"/>
                <w:szCs w:val="20"/>
              </w:rPr>
            </w:pPr>
          </w:p>
        </w:tc>
        <w:tc>
          <w:tcPr>
            <w:tcW w:w="360" w:type="dxa"/>
            <w:hideMark/>
          </w:tcPr>
          <w:p w14:paraId="2DAE82BA" w14:textId="77777777" w:rsidR="00000000" w:rsidRDefault="002F725F">
            <w:pPr>
              <w:rPr>
                <w:rFonts w:eastAsia="Times New Roman"/>
                <w:sz w:val="20"/>
                <w:szCs w:val="20"/>
              </w:rPr>
            </w:pPr>
            <w:r>
              <w:rPr>
                <w:rFonts w:eastAsia="Times New Roman"/>
                <w:sz w:val="20"/>
                <w:szCs w:val="20"/>
              </w:rPr>
              <w:t>●</w:t>
            </w:r>
          </w:p>
        </w:tc>
        <w:tc>
          <w:tcPr>
            <w:tcW w:w="0" w:type="auto"/>
            <w:hideMark/>
          </w:tcPr>
          <w:p w14:paraId="1AD9ED0B" w14:textId="77777777" w:rsidR="00000000" w:rsidRDefault="002F725F">
            <w:pPr>
              <w:jc w:val="both"/>
              <w:rPr>
                <w:rFonts w:eastAsia="Times New Roman"/>
                <w:sz w:val="20"/>
                <w:szCs w:val="20"/>
              </w:rPr>
            </w:pPr>
            <w:r>
              <w:rPr>
                <w:rFonts w:eastAsia="Times New Roman"/>
                <w:sz w:val="20"/>
                <w:szCs w:val="20"/>
              </w:rPr>
              <w:t>will be increased by an additional tax equal to interest on the result</w:t>
            </w:r>
            <w:r>
              <w:rPr>
                <w:rFonts w:eastAsia="Times New Roman"/>
                <w:sz w:val="20"/>
                <w:szCs w:val="20"/>
              </w:rPr>
              <w:t>ing tax deemed deferred with respect to such other taxable year (an “interest charge”).</w:t>
            </w:r>
          </w:p>
        </w:tc>
      </w:tr>
    </w:tbl>
    <w:p w14:paraId="5E9F069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5CD636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If we were a PFIC for any </w:t>
      </w:r>
      <w:r>
        <w:rPr>
          <w:sz w:val="20"/>
          <w:szCs w:val="20"/>
        </w:rPr>
        <w:t>taxable year during which a U.S. Holder held the Shares and any of our non-U.S. subsidiaries were also PFICs, such holder will be treated as having owned a proportionate amount (by value) of the shares of such non-U.S. subsidiary classified as a PFIC for p</w:t>
      </w:r>
      <w:r>
        <w:rPr>
          <w:sz w:val="20"/>
          <w:szCs w:val="20"/>
        </w:rPr>
        <w:t>urposes of the application of these rules.</w:t>
      </w:r>
    </w:p>
    <w:p w14:paraId="036BC40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84D322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 U.S. Holder who made a mark-to-market election, as described in the Company’s Annual Report at “Item 10. Additional Information—E. Taxation—United States Federal Income Tax Considerations—Passive Foreign Inves</w:t>
      </w:r>
      <w:r>
        <w:rPr>
          <w:sz w:val="20"/>
          <w:szCs w:val="20"/>
        </w:rPr>
        <w:t>tment Company”, for such holder’s taxable years prior to the taxable year in which the Merger is closed should be able to avoid any interest charge for those years.</w:t>
      </w:r>
    </w:p>
    <w:p w14:paraId="248A505F"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93A218E" w14:textId="77777777" w:rsidR="00000000" w:rsidRDefault="002F725F">
      <w:pPr>
        <w:pStyle w:val="NormalWeb"/>
        <w:spacing w:before="0" w:beforeAutospacing="0" w:after="0" w:afterAutospacing="0"/>
        <w:jc w:val="center"/>
        <w:divId w:val="1539587898"/>
        <w:rPr>
          <w:sz w:val="20"/>
          <w:szCs w:val="20"/>
        </w:rPr>
      </w:pPr>
      <w:r>
        <w:rPr>
          <w:sz w:val="20"/>
          <w:szCs w:val="20"/>
        </w:rPr>
        <w:t>7</w:t>
      </w:r>
      <w:r>
        <w:rPr>
          <w:sz w:val="20"/>
          <w:szCs w:val="20"/>
        </w:rPr>
        <w:t>2</w:t>
      </w:r>
    </w:p>
    <w:p w14:paraId="762624A4" w14:textId="77777777" w:rsidR="00000000" w:rsidRDefault="002F725F">
      <w:pPr>
        <w:pStyle w:val="NormalWeb"/>
        <w:spacing w:before="0" w:beforeAutospacing="0" w:after="0" w:afterAutospacing="0"/>
        <w:divId w:val="1029333783"/>
        <w:rPr>
          <w:sz w:val="20"/>
          <w:szCs w:val="20"/>
        </w:rPr>
      </w:pPr>
      <w:r>
        <w:rPr>
          <w:sz w:val="20"/>
          <w:szCs w:val="20"/>
        </w:rPr>
        <w:t> </w:t>
      </w:r>
    </w:p>
    <w:p w14:paraId="3058A289"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3603E7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If a U.S. Holder owns the Shares during any taxable year that we are a PFIC, the h</w:t>
      </w:r>
      <w:r>
        <w:rPr>
          <w:sz w:val="20"/>
          <w:szCs w:val="20"/>
        </w:rPr>
        <w:t xml:space="preserve">older must generally file an annual report containing such information as the United States Treasury Department may require. Each U.S. Holder should consult its tax advisors regarding the U.S. federal income tax consequences of owning and disposing of the </w:t>
      </w:r>
      <w:r>
        <w:rPr>
          <w:sz w:val="20"/>
          <w:szCs w:val="20"/>
        </w:rPr>
        <w:t>Shares.</w:t>
      </w:r>
    </w:p>
    <w:p w14:paraId="2E48DC6E" w14:textId="77777777" w:rsidR="00000000" w:rsidRDefault="002F725F">
      <w:pPr>
        <w:pStyle w:val="NormalWeb"/>
        <w:spacing w:before="0" w:beforeAutospacing="0" w:after="0" w:afterAutospacing="0"/>
        <w:jc w:val="both"/>
        <w:divId w:val="415980837"/>
        <w:rPr>
          <w:sz w:val="20"/>
          <w:szCs w:val="20"/>
        </w:rPr>
      </w:pPr>
      <w:r>
        <w:rPr>
          <w:b/>
          <w:bCs/>
          <w:i/>
          <w:iCs/>
          <w:sz w:val="20"/>
          <w:szCs w:val="20"/>
        </w:rPr>
        <w:lastRenderedPageBreak/>
        <w:t> </w:t>
      </w:r>
    </w:p>
    <w:p w14:paraId="3C3D3E34" w14:textId="77777777" w:rsidR="00000000" w:rsidRDefault="002F725F">
      <w:pPr>
        <w:pStyle w:val="NormalWeb"/>
        <w:spacing w:before="0" w:beforeAutospacing="0" w:after="0" w:afterAutospacing="0"/>
        <w:jc w:val="both"/>
        <w:divId w:val="415980837"/>
        <w:rPr>
          <w:sz w:val="20"/>
          <w:szCs w:val="20"/>
        </w:rPr>
      </w:pPr>
      <w:r>
        <w:rPr>
          <w:b/>
          <w:bCs/>
          <w:i/>
          <w:iCs/>
          <w:sz w:val="20"/>
          <w:szCs w:val="20"/>
        </w:rPr>
        <w:t>Information Reporting and Backup Withholding</w:t>
      </w:r>
    </w:p>
    <w:p w14:paraId="14882D5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740B51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Payments of cash in exchange for Shares that are made within the United States or through certain U.S.-related financial intermediaries generally are subject to information reporting, and may be subj</w:t>
      </w:r>
      <w:r>
        <w:rPr>
          <w:sz w:val="20"/>
          <w:szCs w:val="20"/>
        </w:rPr>
        <w:t>ect to backup withholding, unless (i) the U.S. Holder is a corporation or other exempt recipient or (ii) in the case of backup withholding, the U.S. Holder provides a correct taxpayer identification number and certifies that it is not subject to backup wit</w:t>
      </w:r>
      <w:r>
        <w:rPr>
          <w:sz w:val="20"/>
          <w:szCs w:val="20"/>
        </w:rPr>
        <w:t xml:space="preserve">hholding. The amount of any backup withholding from a payment to a U.S. Holder will be allowed as a credit against the holder’s U.S. federal income tax liability and may entitle it to a refund, provided that the required information is timely furnished to </w:t>
      </w:r>
      <w:r>
        <w:rPr>
          <w:sz w:val="20"/>
          <w:szCs w:val="20"/>
        </w:rPr>
        <w:t>the IRS.</w:t>
      </w:r>
    </w:p>
    <w:p w14:paraId="186FA2E0"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0DC8205A" w14:textId="77777777" w:rsidR="00000000" w:rsidRDefault="002F725F">
      <w:pPr>
        <w:pStyle w:val="NormalWeb"/>
        <w:spacing w:before="0" w:beforeAutospacing="0" w:after="0" w:afterAutospacing="0"/>
        <w:jc w:val="both"/>
        <w:divId w:val="415980837"/>
        <w:rPr>
          <w:sz w:val="20"/>
          <w:szCs w:val="20"/>
        </w:rPr>
      </w:pPr>
      <w:r>
        <w:rPr>
          <w:b/>
          <w:bCs/>
          <w:sz w:val="20"/>
          <w:szCs w:val="20"/>
        </w:rPr>
        <w:t>PRC Income Tax Consequences</w:t>
      </w:r>
    </w:p>
    <w:p w14:paraId="518DE04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AE1FDD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Under the EIT Law, which took effect on January 1, 2008 and was most recently amended on December 29, 2018, enterprises established outside of the PRC whose “de facto management bodies” are located in the PRC are co</w:t>
      </w:r>
      <w:r>
        <w:rPr>
          <w:sz w:val="20"/>
          <w:szCs w:val="20"/>
        </w:rPr>
        <w:t>nsidered “resident enterprises,” and thus will generally be subject to the enterprise income tax at the rate of 25% on their global income. On December 6, 2007, the State Council adopted the Regulation on the Implementation of Enterprise Income Tax Law, as</w:t>
      </w:r>
      <w:r>
        <w:rPr>
          <w:sz w:val="20"/>
          <w:szCs w:val="20"/>
        </w:rPr>
        <w:t xml:space="preserve"> amended on April 23, 2019, which defines the “de facto management body” as an establishment that has substantial and overall management and control over the business, personnel, accounts and assets of an enterprise. The State Administration of Taxation is</w:t>
      </w:r>
      <w:r>
        <w:rPr>
          <w:sz w:val="20"/>
          <w:szCs w:val="20"/>
        </w:rPr>
        <w:t xml:space="preserve">sued the Notice Regarding the Determination of Chinese-Controlled Offshore Incorporated Enterprises as PRC Tax Resident Enterprises on the Basis of De Facto Management Bodies (“Circular 82”) on April 22, 2009, and as amended on December 29, 2017. Circular </w:t>
      </w:r>
      <w:r>
        <w:rPr>
          <w:sz w:val="20"/>
          <w:szCs w:val="20"/>
        </w:rPr>
        <w:t xml:space="preserve">82 provides certain specific criteria for determining whether the “de facto management body” of a PRC-controlled offshore incorporated enterprise is located in China. Although Circular 82 only applies to offshore enterprises controlled by PRC enterprises, </w:t>
      </w:r>
      <w:r>
        <w:rPr>
          <w:sz w:val="20"/>
          <w:szCs w:val="20"/>
        </w:rPr>
        <w:t>not those controlled by foreign enterprises or individuals, the determining criteria set forth in Circular 82 may reflect the general position on how the “de facto management body” test should be applied in determining the tax resident status of offshore e</w:t>
      </w:r>
      <w:r>
        <w:rPr>
          <w:sz w:val="20"/>
          <w:szCs w:val="20"/>
        </w:rPr>
        <w:t>nterprises, regardless of whether they are controlled by PRC enterprises. Under the EIT Law and its implementation regulations, the PRC income tax at the rate of 10% is applicable to any gain recognized on receipt of consideration by a “non-resident enterp</w:t>
      </w:r>
      <w:r>
        <w:rPr>
          <w:sz w:val="20"/>
          <w:szCs w:val="20"/>
        </w:rPr>
        <w:t>rise” from transfer of its equity in a PRC resident enterprise, provided that the “non-resident enterprise” does not have a de facto management body in the PRC and also (a) does not have an establishment or place of business in the PRC or (b) has an establ</w:t>
      </w:r>
      <w:r>
        <w:rPr>
          <w:sz w:val="20"/>
          <w:szCs w:val="20"/>
        </w:rPr>
        <w:t>ishment or place of business in the PRC, but the relevant income is not effectively connected with the establishment or place of business, to the extent such gain is derived from sources within the PRC. Under the Individual Income Tax Law, an individual by</w:t>
      </w:r>
      <w:r>
        <w:rPr>
          <w:sz w:val="20"/>
          <w:szCs w:val="20"/>
        </w:rPr>
        <w:t xml:space="preserve"> disposing a capital asset in China is subject to PRC individual income tax at the rate of 20%. Reduction of or relief from these taxes may be available under applicable Income Tax Treaties with China.</w:t>
      </w:r>
    </w:p>
    <w:p w14:paraId="5AD469E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1F0080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does not believe it is a resident enterprise defined and regulated by the aforesaid regulations or that the gain recognized on the receipt of consideration for your Share should otherwise be subject to PRC income tax to holders of such Shares t</w:t>
      </w:r>
      <w:r>
        <w:rPr>
          <w:sz w:val="20"/>
          <w:szCs w:val="20"/>
        </w:rPr>
        <w:t>hat are not PRC residents, however, as there has not been a definitive determination of the Company’s status by the PRC tax authorities, the Company cannot confirm whether it would be considered a PRC resident enterprise under the EIT Law or whether the ga</w:t>
      </w:r>
      <w:r>
        <w:rPr>
          <w:sz w:val="20"/>
          <w:szCs w:val="20"/>
        </w:rPr>
        <w:t>in recognized on the receipt of consideration for Shares would otherwise be subject to PRC tax to holders of such Shares that are not PRC tax residents.</w:t>
      </w:r>
    </w:p>
    <w:p w14:paraId="1071D6F5"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A502E9F" w14:textId="77777777" w:rsidR="00000000" w:rsidRDefault="002F725F">
      <w:pPr>
        <w:pStyle w:val="NormalWeb"/>
        <w:spacing w:before="0" w:beforeAutospacing="0" w:after="0" w:afterAutospacing="0"/>
        <w:jc w:val="center"/>
        <w:divId w:val="4288418"/>
        <w:rPr>
          <w:sz w:val="20"/>
          <w:szCs w:val="20"/>
        </w:rPr>
      </w:pPr>
      <w:r>
        <w:rPr>
          <w:sz w:val="20"/>
          <w:szCs w:val="20"/>
        </w:rPr>
        <w:t>7</w:t>
      </w:r>
      <w:r>
        <w:rPr>
          <w:sz w:val="20"/>
          <w:szCs w:val="20"/>
        </w:rPr>
        <w:t>3</w:t>
      </w:r>
    </w:p>
    <w:p w14:paraId="71197DBF" w14:textId="77777777" w:rsidR="00000000" w:rsidRDefault="002F725F">
      <w:pPr>
        <w:pStyle w:val="NormalWeb"/>
        <w:spacing w:before="0" w:beforeAutospacing="0" w:after="0" w:afterAutospacing="0"/>
        <w:divId w:val="1329942097"/>
        <w:rPr>
          <w:sz w:val="20"/>
          <w:szCs w:val="20"/>
        </w:rPr>
      </w:pPr>
      <w:r>
        <w:rPr>
          <w:sz w:val="20"/>
          <w:szCs w:val="20"/>
        </w:rPr>
        <w:t> </w:t>
      </w:r>
    </w:p>
    <w:p w14:paraId="79FA0F7B"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0930CEB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In addition, under the Bulletin on Certain Issues Relating to Indirect Transfer of Assets by N</w:t>
      </w:r>
      <w:r>
        <w:rPr>
          <w:sz w:val="20"/>
          <w:szCs w:val="20"/>
        </w:rPr>
        <w:t>on-resident Enterprises (“Bulletin 7”) issued by the State Administration of Taxation, which became effective on February 3, 2015, and the Bulletin on the Source of Deduction of Income Tax for Non-resident Enterprises (“Bulletin 37”) issued by the State Ad</w:t>
      </w:r>
      <w:r>
        <w:rPr>
          <w:sz w:val="20"/>
          <w:szCs w:val="20"/>
        </w:rPr>
        <w:t>ministration of Taxation, which became effective on December 1, 2017, if a non-resident enterprise transfers PRC taxable assets indirectly by disposing of equity interests in an overseas holding company directly or indirectly holding such PRC taxable asset</w:t>
      </w:r>
      <w:r>
        <w:rPr>
          <w:sz w:val="20"/>
          <w:szCs w:val="20"/>
        </w:rPr>
        <w:t xml:space="preserve">s without any reasonable commercial purpose, the non-resident enterprise may be subject to a 10% PRC income tax on the gain from such equity transfer, unless (i) the non-resident enterprise </w:t>
      </w:r>
      <w:r>
        <w:rPr>
          <w:sz w:val="20"/>
          <w:szCs w:val="20"/>
        </w:rPr>
        <w:lastRenderedPageBreak/>
        <w:t>derives income from the indirect transfer of PRC taxable assets by</w:t>
      </w:r>
      <w:r>
        <w:rPr>
          <w:sz w:val="20"/>
          <w:szCs w:val="20"/>
        </w:rPr>
        <w:t xml:space="preserve"> acquiring and selling shares of an overseas listed company which holds such PRC taxable assets on a public market or (ii) where there is an indirect transfer of PRC taxable assets, but if the non-resident enterprise had directly held and disposed of such </w:t>
      </w:r>
      <w:r>
        <w:rPr>
          <w:sz w:val="20"/>
          <w:szCs w:val="20"/>
        </w:rPr>
        <w:t xml:space="preserve">PRC taxable assets, the income from the transfer would have been exempted from PRC enterprise income tax under an applicable tax treaty or arrangement. According to Bulletin 7, where a non-resident enterprise indirectly holds and transfers equity of a PRC </w:t>
      </w:r>
      <w:r>
        <w:rPr>
          <w:sz w:val="20"/>
          <w:szCs w:val="20"/>
        </w:rPr>
        <w:t>resident enterprise held through an offshore holding company, a list of factors set out by Bulletin 7 should be taken into consideration to assess whether the transfer arrangement would be deemed as having a reasonable commercial purpose, including: whethe</w:t>
      </w:r>
      <w:r>
        <w:rPr>
          <w:sz w:val="20"/>
          <w:szCs w:val="20"/>
        </w:rPr>
        <w:t>r the main value of the equity interest of the relevant offshore enterprise derives from PRC taxable assets; whether the assets of the relevant offshore enterprise mainly consists of direct or indirect investment in China or if its income mainly derives fr</w:t>
      </w:r>
      <w:r>
        <w:rPr>
          <w:sz w:val="20"/>
          <w:szCs w:val="20"/>
        </w:rPr>
        <w:t>om China; whether the offshore enterprise and its subsidiaries directly or indirectly holding PRC taxable assets have real commercial nature which is evidenced by their actual function and risk exposure; the duration of existence of the shareholders, busin</w:t>
      </w:r>
      <w:r>
        <w:rPr>
          <w:sz w:val="20"/>
          <w:szCs w:val="20"/>
        </w:rPr>
        <w:t>ess model and organizational structure of an overseas enterprise; the income tax payable abroad due to the indirect transfer of PRC taxable assets; the replicability of the transaction by direct transfer of PRC taxable assets; and the tax situation of such</w:t>
      </w:r>
      <w:r>
        <w:rPr>
          <w:sz w:val="20"/>
          <w:szCs w:val="20"/>
        </w:rPr>
        <w:t xml:space="preserve"> indirect transfer and applicable tax treaties or similar arrangements. Where non-resident enterprises indirectly transfer PRC resident enterprises’ equity and avoid obligations to pay enterprise income tax through arrangement without a reasonable commerci</w:t>
      </w:r>
      <w:r>
        <w:rPr>
          <w:sz w:val="20"/>
          <w:szCs w:val="20"/>
        </w:rPr>
        <w:t xml:space="preserve">al purpose, PRC taxation authorities have the power to redefine and deem the transaction as a direct transfer of PRC resident enterprises’ equity and impose a 10% income tax on the gain from such offshore share transfer. Pursuant to Bulletin 37, where the </w:t>
      </w:r>
      <w:r>
        <w:rPr>
          <w:sz w:val="20"/>
          <w:szCs w:val="20"/>
        </w:rPr>
        <w:t>party responsible to withhold such income tax did not or was unable to withhold, and non-resident enterprises receiving such income failed to declare and pay the sufficient taxes that should have been withheld to the relevant tax authority, both the transf</w:t>
      </w:r>
      <w:r>
        <w:rPr>
          <w:sz w:val="20"/>
          <w:szCs w:val="20"/>
        </w:rPr>
        <w:t>eror and the transferee may be subject to penalties under PRC tax laws. Bulletin 37 or Bulletin 7 may be determined by the PRC tax authorities to be applicable to the Merger where non-PRC resident corporate shareholders were involved, if the Merger is dete</w:t>
      </w:r>
      <w:r>
        <w:rPr>
          <w:sz w:val="20"/>
          <w:szCs w:val="20"/>
        </w:rPr>
        <w:t>rmined by the PRC tax authorities to lack reasonable commercial purpose. The Company does not believe that the Merger is without reasonable commercial purpose for purposes of Bulletin 37 and Bulletin 7, and, as a result, the Company (as purchaser and withh</w:t>
      </w:r>
      <w:r>
        <w:rPr>
          <w:sz w:val="20"/>
          <w:szCs w:val="20"/>
        </w:rPr>
        <w:t>olding agent) will not withhold any PRC tax (under Bulletin 7 and Bulletin 37) from the merger consideration to be paid to holders of Shares. However, if PRC tax authorities were to invoke Bulletin 37 or Bulletin 7 and impose tax on the receipt of consider</w:t>
      </w:r>
      <w:r>
        <w:rPr>
          <w:sz w:val="20"/>
          <w:szCs w:val="20"/>
        </w:rPr>
        <w:t>ation for Shares, then any gain recognized on the receipt of consideration for such Shares pursuant to the Merger by the Company’s non-PRC-resident shareholders could be treated as PRC-source income and thus be subject to PRC income tax at a rate of 10% (s</w:t>
      </w:r>
      <w:r>
        <w:rPr>
          <w:sz w:val="20"/>
          <w:szCs w:val="20"/>
        </w:rPr>
        <w:t>ubject to applicable treaty relief).</w:t>
      </w:r>
    </w:p>
    <w:p w14:paraId="3076B452"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4F07AF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You should consult your own tax advisor for a full understanding of the tax consequences of the Merger to you, including any PRC tax consequences.</w:t>
      </w:r>
    </w:p>
    <w:p w14:paraId="28AA3305"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2473FFC4" w14:textId="77777777" w:rsidR="00000000" w:rsidRDefault="002F725F">
      <w:pPr>
        <w:pStyle w:val="NormalWeb"/>
        <w:spacing w:before="0" w:beforeAutospacing="0" w:after="0" w:afterAutospacing="0"/>
        <w:jc w:val="both"/>
        <w:divId w:val="415980837"/>
        <w:rPr>
          <w:sz w:val="20"/>
          <w:szCs w:val="20"/>
        </w:rPr>
      </w:pPr>
      <w:r>
        <w:rPr>
          <w:b/>
          <w:bCs/>
          <w:sz w:val="20"/>
          <w:szCs w:val="20"/>
        </w:rPr>
        <w:t>Cayman Islands Tax Consequences</w:t>
      </w:r>
    </w:p>
    <w:p w14:paraId="1127B77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BB6A2C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Cayman Islands currently has n</w:t>
      </w:r>
      <w:r>
        <w:rPr>
          <w:sz w:val="20"/>
          <w:szCs w:val="20"/>
        </w:rPr>
        <w:t>o form of income, corporate or capital gains tax and no estate duty, inheritance tax, gift tax or withholding tax upon the Company or its shareholders. No taxes, fees or charges will be payable (either by direct assessment or withholding) to the government</w:t>
      </w:r>
      <w:r>
        <w:rPr>
          <w:sz w:val="20"/>
          <w:szCs w:val="20"/>
        </w:rPr>
        <w:t xml:space="preserve"> or other taxing authority in the Cayman Islands under the laws of the Cayman Islands in respect of the Merger or the receipt of cash for the Shares under the terms of the Merger Agreement. This is subject to the qualification that (i) Cayman Islands stamp</w:t>
      </w:r>
      <w:r>
        <w:rPr>
          <w:sz w:val="20"/>
          <w:szCs w:val="20"/>
        </w:rPr>
        <w:t xml:space="preserve"> duty may be payable if any original transaction documents are brought into or executed in or produced before a court in the Cayman Islands (for example, for enforcement); (ii) registration fees will be payable to the Cayman Registrar to register the Plan </w:t>
      </w:r>
      <w:r>
        <w:rPr>
          <w:sz w:val="20"/>
          <w:szCs w:val="20"/>
        </w:rPr>
        <w:t>of Merger and to file the Variation of Share Capital and the Adoption of Amended M&amp;A; and (iii) fees will be payable to the Cayman Islands Government Gazette Office to publish the notice of the Merger in the Cayman Islands Government Gazette.</w:t>
      </w:r>
    </w:p>
    <w:p w14:paraId="688F95D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7753CDD" w14:textId="77777777" w:rsidR="00000000" w:rsidRDefault="002F725F">
      <w:pPr>
        <w:pStyle w:val="NormalWeb"/>
        <w:spacing w:before="0" w:beforeAutospacing="0" w:after="0" w:afterAutospacing="0"/>
        <w:jc w:val="center"/>
        <w:divId w:val="647324315"/>
        <w:rPr>
          <w:sz w:val="20"/>
          <w:szCs w:val="20"/>
        </w:rPr>
      </w:pPr>
      <w:r>
        <w:rPr>
          <w:sz w:val="20"/>
          <w:szCs w:val="20"/>
        </w:rPr>
        <w:t>7</w:t>
      </w:r>
      <w:r>
        <w:rPr>
          <w:sz w:val="20"/>
          <w:szCs w:val="20"/>
        </w:rPr>
        <w:t>4</w:t>
      </w:r>
    </w:p>
    <w:p w14:paraId="17ACD49C" w14:textId="77777777" w:rsidR="00000000" w:rsidRDefault="002F725F">
      <w:pPr>
        <w:pStyle w:val="NormalWeb"/>
        <w:spacing w:before="0" w:beforeAutospacing="0" w:after="0" w:afterAutospacing="0"/>
        <w:divId w:val="1749690062"/>
        <w:rPr>
          <w:sz w:val="20"/>
          <w:szCs w:val="20"/>
        </w:rPr>
      </w:pPr>
      <w:r>
        <w:rPr>
          <w:sz w:val="20"/>
          <w:szCs w:val="20"/>
        </w:rPr>
        <w:t> </w:t>
      </w:r>
    </w:p>
    <w:p w14:paraId="5C6534D8"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31A929F2" w14:textId="77777777" w:rsidR="00000000" w:rsidRDefault="002F725F">
      <w:pPr>
        <w:pStyle w:val="NormalWeb"/>
        <w:spacing w:before="0" w:beforeAutospacing="0" w:after="0" w:afterAutospacing="0"/>
        <w:jc w:val="center"/>
        <w:divId w:val="415980837"/>
        <w:rPr>
          <w:sz w:val="20"/>
          <w:szCs w:val="20"/>
        </w:rPr>
      </w:pPr>
      <w:bookmarkStart w:id="23" w:name="gfpea028961701ex99-a1.htmk_004"/>
      <w:bookmarkEnd w:id="23"/>
      <w:r>
        <w:rPr>
          <w:b/>
          <w:bCs/>
          <w:sz w:val="20"/>
          <w:szCs w:val="20"/>
        </w:rPr>
        <w:t>MARK</w:t>
      </w:r>
      <w:r>
        <w:rPr>
          <w:b/>
          <w:bCs/>
          <w:sz w:val="20"/>
          <w:szCs w:val="20"/>
        </w:rPr>
        <w:t>ET PRICE OF THE COMPANY’S SHARES, DIVIDENDS AND OTHER MATTERS</w:t>
      </w:r>
    </w:p>
    <w:p w14:paraId="41BAFCD5"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3D826201" w14:textId="77777777" w:rsidR="00000000" w:rsidRDefault="002F725F">
      <w:pPr>
        <w:pStyle w:val="NormalWeb"/>
        <w:spacing w:before="0" w:beforeAutospacing="0" w:after="0" w:afterAutospacing="0"/>
        <w:jc w:val="both"/>
        <w:divId w:val="415980837"/>
        <w:rPr>
          <w:sz w:val="20"/>
          <w:szCs w:val="20"/>
        </w:rPr>
      </w:pPr>
      <w:r>
        <w:rPr>
          <w:b/>
          <w:bCs/>
          <w:sz w:val="20"/>
          <w:szCs w:val="20"/>
        </w:rPr>
        <w:t>Market Price of the Shares</w:t>
      </w:r>
    </w:p>
    <w:p w14:paraId="4DF6860C"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p w14:paraId="0581515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following table sets forth the high and low trading prices for the Shares on NASDAQ under the symbol “YS” for the period from March 17, 2023 until May 27, 2024</w:t>
      </w:r>
      <w:r>
        <w:rPr>
          <w:sz w:val="20"/>
          <w:szCs w:val="20"/>
        </w:rPr>
        <w:t xml:space="preserve"> and under the symbol “LSB” for the period from May 28, 2024 until September 19, 2025 and on OTC Pink under the symbol “LSBCF” for the period from September 22, 2025 until the date of this proxy statement:</w:t>
      </w:r>
    </w:p>
    <w:p w14:paraId="4D1ABF1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7113"/>
        <w:gridCol w:w="93"/>
        <w:gridCol w:w="94"/>
        <w:gridCol w:w="842"/>
        <w:gridCol w:w="94"/>
        <w:gridCol w:w="94"/>
        <w:gridCol w:w="94"/>
        <w:gridCol w:w="842"/>
        <w:gridCol w:w="94"/>
      </w:tblGrid>
      <w:tr w:rsidR="00000000" w14:paraId="67482B5B" w14:textId="77777777">
        <w:trPr>
          <w:divId w:val="415980837"/>
        </w:trPr>
        <w:tc>
          <w:tcPr>
            <w:tcW w:w="0" w:type="auto"/>
            <w:vAlign w:val="bottom"/>
            <w:hideMark/>
          </w:tcPr>
          <w:p w14:paraId="16229813" w14:textId="77777777" w:rsidR="00000000" w:rsidRDefault="002F725F">
            <w:pPr>
              <w:jc w:val="both"/>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4830D0E4" w14:textId="77777777" w:rsidR="00000000" w:rsidRDefault="002F725F">
            <w:pPr>
              <w:rPr>
                <w:rFonts w:eastAsia="Times New Roman"/>
                <w:b/>
                <w:bCs/>
                <w:sz w:val="20"/>
                <w:szCs w:val="20"/>
              </w:rPr>
            </w:pPr>
            <w:r>
              <w:rPr>
                <w:rFonts w:eastAsia="Times New Roman"/>
                <w:b/>
                <w:bCs/>
                <w:sz w:val="20"/>
                <w:szCs w:val="20"/>
              </w:rPr>
              <w:t> </w:t>
            </w:r>
          </w:p>
        </w:tc>
        <w:tc>
          <w:tcPr>
            <w:tcW w:w="0" w:type="auto"/>
            <w:gridSpan w:val="6"/>
            <w:tcBorders>
              <w:bottom w:val="single" w:sz="12" w:space="0" w:color="000000"/>
            </w:tcBorders>
            <w:vAlign w:val="bottom"/>
            <w:hideMark/>
          </w:tcPr>
          <w:p w14:paraId="13CA9951" w14:textId="77777777" w:rsidR="00000000" w:rsidRDefault="002F725F">
            <w:pPr>
              <w:jc w:val="center"/>
              <w:rPr>
                <w:rFonts w:eastAsia="Times New Roman"/>
                <w:b/>
                <w:bCs/>
                <w:sz w:val="20"/>
                <w:szCs w:val="20"/>
              </w:rPr>
            </w:pPr>
            <w:r>
              <w:rPr>
                <w:rFonts w:eastAsia="Times New Roman"/>
                <w:b/>
                <w:bCs/>
                <w:sz w:val="20"/>
                <w:szCs w:val="20"/>
              </w:rPr>
              <w:t>Trading Price</w:t>
            </w:r>
            <w:r>
              <w:rPr>
                <w:rFonts w:eastAsia="Times New Roman"/>
                <w:b/>
                <w:bCs/>
                <w:sz w:val="20"/>
                <w:szCs w:val="20"/>
                <w:vertAlign w:val="superscript"/>
              </w:rPr>
              <w:t>(1)</w:t>
            </w:r>
            <w:r>
              <w:rPr>
                <w:rFonts w:eastAsia="Times New Roman"/>
                <w:b/>
                <w:bCs/>
                <w:sz w:val="20"/>
                <w:szCs w:val="20"/>
              </w:rPr>
              <w:br/>
              <w:t>(US$)</w:t>
            </w:r>
          </w:p>
        </w:tc>
        <w:tc>
          <w:tcPr>
            <w:tcW w:w="0" w:type="auto"/>
            <w:tcMar>
              <w:top w:w="0" w:type="dxa"/>
              <w:left w:w="0" w:type="dxa"/>
              <w:bottom w:w="30" w:type="dxa"/>
              <w:right w:w="0" w:type="dxa"/>
            </w:tcMar>
            <w:vAlign w:val="bottom"/>
            <w:hideMark/>
          </w:tcPr>
          <w:p w14:paraId="5E686DC6" w14:textId="77777777" w:rsidR="00000000" w:rsidRDefault="002F725F">
            <w:pPr>
              <w:rPr>
                <w:rFonts w:eastAsia="Times New Roman"/>
                <w:b/>
                <w:bCs/>
                <w:sz w:val="20"/>
                <w:szCs w:val="20"/>
              </w:rPr>
            </w:pPr>
            <w:r>
              <w:rPr>
                <w:rFonts w:eastAsia="Times New Roman"/>
                <w:b/>
                <w:bCs/>
                <w:sz w:val="20"/>
                <w:szCs w:val="20"/>
              </w:rPr>
              <w:t> </w:t>
            </w:r>
          </w:p>
        </w:tc>
      </w:tr>
      <w:tr w:rsidR="00000000" w14:paraId="4D8EECDA" w14:textId="77777777">
        <w:trPr>
          <w:divId w:val="415980837"/>
        </w:trPr>
        <w:tc>
          <w:tcPr>
            <w:tcW w:w="0" w:type="auto"/>
            <w:vAlign w:val="bottom"/>
            <w:hideMark/>
          </w:tcPr>
          <w:p w14:paraId="56B42783" w14:textId="77777777" w:rsidR="00000000" w:rsidRDefault="002F725F">
            <w:pPr>
              <w:jc w:val="both"/>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585CA42E"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75135F82" w14:textId="77777777" w:rsidR="00000000" w:rsidRDefault="002F725F">
            <w:pPr>
              <w:jc w:val="center"/>
              <w:rPr>
                <w:rFonts w:eastAsia="Times New Roman"/>
                <w:b/>
                <w:bCs/>
                <w:sz w:val="20"/>
                <w:szCs w:val="20"/>
              </w:rPr>
            </w:pPr>
            <w:r>
              <w:rPr>
                <w:rFonts w:eastAsia="Times New Roman"/>
                <w:b/>
                <w:bCs/>
                <w:sz w:val="20"/>
                <w:szCs w:val="20"/>
              </w:rPr>
              <w:t>High</w:t>
            </w:r>
          </w:p>
        </w:tc>
        <w:tc>
          <w:tcPr>
            <w:tcW w:w="0" w:type="auto"/>
            <w:tcMar>
              <w:top w:w="0" w:type="dxa"/>
              <w:left w:w="0" w:type="dxa"/>
              <w:bottom w:w="30" w:type="dxa"/>
              <w:right w:w="0" w:type="dxa"/>
            </w:tcMar>
            <w:vAlign w:val="bottom"/>
            <w:hideMark/>
          </w:tcPr>
          <w:p w14:paraId="03440686"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63BB05BD"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8D8134F" w14:textId="77777777" w:rsidR="00000000" w:rsidRDefault="002F725F">
            <w:pPr>
              <w:jc w:val="center"/>
              <w:rPr>
                <w:rFonts w:eastAsia="Times New Roman"/>
                <w:b/>
                <w:bCs/>
                <w:sz w:val="20"/>
                <w:szCs w:val="20"/>
              </w:rPr>
            </w:pPr>
            <w:r>
              <w:rPr>
                <w:rFonts w:eastAsia="Times New Roman"/>
                <w:b/>
                <w:bCs/>
                <w:sz w:val="20"/>
                <w:szCs w:val="20"/>
              </w:rPr>
              <w:t>Low</w:t>
            </w:r>
          </w:p>
        </w:tc>
        <w:tc>
          <w:tcPr>
            <w:tcW w:w="0" w:type="auto"/>
            <w:tcMar>
              <w:top w:w="0" w:type="dxa"/>
              <w:left w:w="0" w:type="dxa"/>
              <w:bottom w:w="30" w:type="dxa"/>
              <w:right w:w="0" w:type="dxa"/>
            </w:tcMar>
            <w:vAlign w:val="bottom"/>
            <w:hideMark/>
          </w:tcPr>
          <w:p w14:paraId="34697A8B" w14:textId="77777777" w:rsidR="00000000" w:rsidRDefault="002F725F">
            <w:pPr>
              <w:rPr>
                <w:rFonts w:eastAsia="Times New Roman"/>
                <w:b/>
                <w:bCs/>
                <w:sz w:val="20"/>
                <w:szCs w:val="20"/>
              </w:rPr>
            </w:pPr>
            <w:r>
              <w:rPr>
                <w:rFonts w:eastAsia="Times New Roman"/>
                <w:b/>
                <w:bCs/>
                <w:sz w:val="20"/>
                <w:szCs w:val="20"/>
              </w:rPr>
              <w:t> </w:t>
            </w:r>
          </w:p>
        </w:tc>
      </w:tr>
      <w:tr w:rsidR="00000000" w14:paraId="6F3569FB" w14:textId="77777777">
        <w:trPr>
          <w:divId w:val="415980837"/>
        </w:trPr>
        <w:tc>
          <w:tcPr>
            <w:tcW w:w="0" w:type="auto"/>
            <w:vAlign w:val="bottom"/>
            <w:hideMark/>
          </w:tcPr>
          <w:p w14:paraId="7F215689" w14:textId="77777777" w:rsidR="00000000" w:rsidRDefault="002F725F">
            <w:pPr>
              <w:jc w:val="both"/>
              <w:rPr>
                <w:rFonts w:eastAsia="Times New Roman"/>
                <w:sz w:val="20"/>
                <w:szCs w:val="20"/>
              </w:rPr>
            </w:pPr>
            <w:r>
              <w:rPr>
                <w:rFonts w:eastAsia="Times New Roman"/>
                <w:sz w:val="20"/>
                <w:szCs w:val="20"/>
              </w:rPr>
              <w:t>2023</w:t>
            </w:r>
          </w:p>
        </w:tc>
        <w:tc>
          <w:tcPr>
            <w:tcW w:w="0" w:type="auto"/>
            <w:vAlign w:val="bottom"/>
            <w:hideMark/>
          </w:tcPr>
          <w:p w14:paraId="3D01C2D3"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079BF8A4" w14:textId="77777777" w:rsidR="00000000" w:rsidRDefault="002F725F">
            <w:pPr>
              <w:jc w:val="right"/>
              <w:rPr>
                <w:rFonts w:eastAsia="Times New Roman"/>
                <w:sz w:val="20"/>
                <w:szCs w:val="20"/>
              </w:rPr>
            </w:pPr>
            <w:r>
              <w:rPr>
                <w:rFonts w:eastAsia="Times New Roman"/>
                <w:sz w:val="20"/>
                <w:szCs w:val="20"/>
              </w:rPr>
              <w:t> </w:t>
            </w:r>
          </w:p>
        </w:tc>
        <w:tc>
          <w:tcPr>
            <w:tcW w:w="0" w:type="auto"/>
            <w:vAlign w:val="bottom"/>
            <w:hideMark/>
          </w:tcPr>
          <w:p w14:paraId="059E52D8"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25DCE2D7"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25F718B1" w14:textId="77777777" w:rsidR="00000000" w:rsidRDefault="002F725F">
            <w:pPr>
              <w:jc w:val="right"/>
              <w:rPr>
                <w:rFonts w:eastAsia="Times New Roman"/>
                <w:sz w:val="20"/>
                <w:szCs w:val="20"/>
              </w:rPr>
            </w:pPr>
            <w:r>
              <w:rPr>
                <w:rFonts w:eastAsia="Times New Roman"/>
                <w:sz w:val="20"/>
                <w:szCs w:val="20"/>
              </w:rPr>
              <w:t> </w:t>
            </w:r>
          </w:p>
        </w:tc>
        <w:tc>
          <w:tcPr>
            <w:tcW w:w="0" w:type="auto"/>
            <w:vAlign w:val="bottom"/>
            <w:hideMark/>
          </w:tcPr>
          <w:p w14:paraId="137AF5D3" w14:textId="77777777" w:rsidR="00000000" w:rsidRDefault="002F725F">
            <w:pPr>
              <w:rPr>
                <w:rFonts w:eastAsia="Times New Roman"/>
                <w:sz w:val="20"/>
                <w:szCs w:val="20"/>
              </w:rPr>
            </w:pPr>
            <w:r>
              <w:rPr>
                <w:rFonts w:eastAsia="Times New Roman"/>
                <w:sz w:val="20"/>
                <w:szCs w:val="20"/>
              </w:rPr>
              <w:t> </w:t>
            </w:r>
          </w:p>
        </w:tc>
      </w:tr>
      <w:tr w:rsidR="00000000" w14:paraId="219C53F8" w14:textId="77777777">
        <w:trPr>
          <w:divId w:val="415980837"/>
        </w:trPr>
        <w:tc>
          <w:tcPr>
            <w:tcW w:w="3800" w:type="pct"/>
            <w:shd w:val="clear" w:color="auto" w:fill="CCEEFF"/>
            <w:tcMar>
              <w:top w:w="0" w:type="dxa"/>
              <w:left w:w="720" w:type="dxa"/>
              <w:bottom w:w="0" w:type="dxa"/>
              <w:right w:w="0" w:type="dxa"/>
            </w:tcMar>
            <w:vAlign w:val="bottom"/>
            <w:hideMark/>
          </w:tcPr>
          <w:p w14:paraId="6F2FA337" w14:textId="77777777" w:rsidR="00000000" w:rsidRDefault="002F725F">
            <w:pPr>
              <w:jc w:val="both"/>
              <w:rPr>
                <w:rFonts w:eastAsia="Times New Roman"/>
                <w:sz w:val="20"/>
                <w:szCs w:val="20"/>
              </w:rPr>
            </w:pPr>
            <w:r>
              <w:rPr>
                <w:rFonts w:eastAsia="Times New Roman"/>
                <w:sz w:val="20"/>
                <w:szCs w:val="20"/>
              </w:rPr>
              <w:t xml:space="preserve">First Quarter (from March 17, 2023 to March 31, 2023) </w:t>
            </w:r>
          </w:p>
        </w:tc>
        <w:tc>
          <w:tcPr>
            <w:tcW w:w="50" w:type="pct"/>
            <w:shd w:val="clear" w:color="auto" w:fill="CCEEFF"/>
            <w:vAlign w:val="bottom"/>
            <w:hideMark/>
          </w:tcPr>
          <w:p w14:paraId="11955784"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294B1109"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CCEEFF"/>
            <w:vAlign w:val="bottom"/>
            <w:hideMark/>
          </w:tcPr>
          <w:p w14:paraId="3FD954F2" w14:textId="77777777" w:rsidR="00000000" w:rsidRDefault="002F725F">
            <w:pPr>
              <w:jc w:val="right"/>
              <w:rPr>
                <w:rFonts w:eastAsia="Times New Roman"/>
                <w:sz w:val="20"/>
                <w:szCs w:val="20"/>
              </w:rPr>
            </w:pPr>
            <w:r>
              <w:rPr>
                <w:rFonts w:eastAsia="Times New Roman"/>
                <w:sz w:val="20"/>
                <w:szCs w:val="20"/>
              </w:rPr>
              <w:t>129.30</w:t>
            </w:r>
          </w:p>
        </w:tc>
        <w:tc>
          <w:tcPr>
            <w:tcW w:w="50" w:type="pct"/>
            <w:shd w:val="clear" w:color="auto" w:fill="CCEEFF"/>
            <w:vAlign w:val="bottom"/>
            <w:hideMark/>
          </w:tcPr>
          <w:p w14:paraId="0F9C971E"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055E0D27"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042B4DF0"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CCEEFF"/>
            <w:vAlign w:val="bottom"/>
            <w:hideMark/>
          </w:tcPr>
          <w:p w14:paraId="0C59AF95" w14:textId="77777777" w:rsidR="00000000" w:rsidRDefault="002F725F">
            <w:pPr>
              <w:jc w:val="right"/>
              <w:rPr>
                <w:rFonts w:eastAsia="Times New Roman"/>
                <w:sz w:val="20"/>
                <w:szCs w:val="20"/>
              </w:rPr>
            </w:pPr>
            <w:r>
              <w:rPr>
                <w:rFonts w:eastAsia="Times New Roman"/>
                <w:sz w:val="20"/>
                <w:szCs w:val="20"/>
              </w:rPr>
              <w:t>14.40</w:t>
            </w:r>
          </w:p>
        </w:tc>
        <w:tc>
          <w:tcPr>
            <w:tcW w:w="50" w:type="pct"/>
            <w:shd w:val="clear" w:color="auto" w:fill="CCEEFF"/>
            <w:vAlign w:val="bottom"/>
            <w:hideMark/>
          </w:tcPr>
          <w:p w14:paraId="67B18DDD" w14:textId="77777777" w:rsidR="00000000" w:rsidRDefault="002F725F">
            <w:pPr>
              <w:rPr>
                <w:rFonts w:eastAsia="Times New Roman"/>
                <w:sz w:val="20"/>
                <w:szCs w:val="20"/>
              </w:rPr>
            </w:pPr>
            <w:r>
              <w:rPr>
                <w:rFonts w:eastAsia="Times New Roman"/>
                <w:sz w:val="20"/>
                <w:szCs w:val="20"/>
              </w:rPr>
              <w:t> </w:t>
            </w:r>
          </w:p>
        </w:tc>
      </w:tr>
      <w:tr w:rsidR="00000000" w14:paraId="15DFE6B6" w14:textId="77777777">
        <w:trPr>
          <w:divId w:val="415980837"/>
        </w:trPr>
        <w:tc>
          <w:tcPr>
            <w:tcW w:w="0" w:type="auto"/>
            <w:shd w:val="clear" w:color="auto" w:fill="FFFFFF"/>
            <w:tcMar>
              <w:top w:w="0" w:type="dxa"/>
              <w:left w:w="720" w:type="dxa"/>
              <w:bottom w:w="0" w:type="dxa"/>
              <w:right w:w="0" w:type="dxa"/>
            </w:tcMar>
            <w:vAlign w:val="bottom"/>
            <w:hideMark/>
          </w:tcPr>
          <w:p w14:paraId="054E0E2A" w14:textId="77777777" w:rsidR="00000000" w:rsidRDefault="002F725F">
            <w:pPr>
              <w:jc w:val="both"/>
              <w:rPr>
                <w:rFonts w:eastAsia="Times New Roman"/>
                <w:sz w:val="20"/>
                <w:szCs w:val="20"/>
              </w:rPr>
            </w:pPr>
            <w:r>
              <w:rPr>
                <w:rFonts w:eastAsia="Times New Roman"/>
                <w:sz w:val="20"/>
                <w:szCs w:val="20"/>
              </w:rPr>
              <w:t xml:space="preserve">Second Quarter </w:t>
            </w:r>
          </w:p>
        </w:tc>
        <w:tc>
          <w:tcPr>
            <w:tcW w:w="0" w:type="auto"/>
            <w:shd w:val="clear" w:color="auto" w:fill="FFFFFF"/>
            <w:vAlign w:val="bottom"/>
            <w:hideMark/>
          </w:tcPr>
          <w:p w14:paraId="1E82162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F98DF8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6C37C68" w14:textId="77777777" w:rsidR="00000000" w:rsidRDefault="002F725F">
            <w:pPr>
              <w:jc w:val="right"/>
              <w:rPr>
                <w:rFonts w:eastAsia="Times New Roman"/>
                <w:sz w:val="20"/>
                <w:szCs w:val="20"/>
              </w:rPr>
            </w:pPr>
            <w:r>
              <w:rPr>
                <w:rFonts w:eastAsia="Times New Roman"/>
                <w:sz w:val="20"/>
                <w:szCs w:val="20"/>
              </w:rPr>
              <w:t>23.70</w:t>
            </w:r>
          </w:p>
        </w:tc>
        <w:tc>
          <w:tcPr>
            <w:tcW w:w="0" w:type="auto"/>
            <w:shd w:val="clear" w:color="auto" w:fill="FFFFFF"/>
            <w:vAlign w:val="bottom"/>
            <w:hideMark/>
          </w:tcPr>
          <w:p w14:paraId="3488772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24EDC3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6622E4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F96119E" w14:textId="77777777" w:rsidR="00000000" w:rsidRDefault="002F725F">
            <w:pPr>
              <w:jc w:val="right"/>
              <w:rPr>
                <w:rFonts w:eastAsia="Times New Roman"/>
                <w:sz w:val="20"/>
                <w:szCs w:val="20"/>
              </w:rPr>
            </w:pPr>
            <w:r>
              <w:rPr>
                <w:rFonts w:eastAsia="Times New Roman"/>
                <w:sz w:val="20"/>
                <w:szCs w:val="20"/>
              </w:rPr>
              <w:t>11.20</w:t>
            </w:r>
          </w:p>
        </w:tc>
        <w:tc>
          <w:tcPr>
            <w:tcW w:w="0" w:type="auto"/>
            <w:shd w:val="clear" w:color="auto" w:fill="FFFFFF"/>
            <w:vAlign w:val="bottom"/>
            <w:hideMark/>
          </w:tcPr>
          <w:p w14:paraId="0B2E9A3E" w14:textId="77777777" w:rsidR="00000000" w:rsidRDefault="002F725F">
            <w:pPr>
              <w:rPr>
                <w:rFonts w:eastAsia="Times New Roman"/>
                <w:sz w:val="20"/>
                <w:szCs w:val="20"/>
              </w:rPr>
            </w:pPr>
            <w:r>
              <w:rPr>
                <w:rFonts w:eastAsia="Times New Roman"/>
                <w:sz w:val="20"/>
                <w:szCs w:val="20"/>
              </w:rPr>
              <w:t> </w:t>
            </w:r>
          </w:p>
        </w:tc>
      </w:tr>
      <w:tr w:rsidR="00000000" w14:paraId="31D3E0FC" w14:textId="77777777">
        <w:trPr>
          <w:divId w:val="415980837"/>
        </w:trPr>
        <w:tc>
          <w:tcPr>
            <w:tcW w:w="0" w:type="auto"/>
            <w:shd w:val="clear" w:color="auto" w:fill="CCEEFF"/>
            <w:tcMar>
              <w:top w:w="0" w:type="dxa"/>
              <w:left w:w="720" w:type="dxa"/>
              <w:bottom w:w="0" w:type="dxa"/>
              <w:right w:w="0" w:type="dxa"/>
            </w:tcMar>
            <w:vAlign w:val="bottom"/>
            <w:hideMark/>
          </w:tcPr>
          <w:p w14:paraId="49A291B5" w14:textId="77777777" w:rsidR="00000000" w:rsidRDefault="002F725F">
            <w:pPr>
              <w:jc w:val="both"/>
              <w:rPr>
                <w:rFonts w:eastAsia="Times New Roman"/>
                <w:sz w:val="20"/>
                <w:szCs w:val="20"/>
              </w:rPr>
            </w:pPr>
            <w:r>
              <w:rPr>
                <w:rFonts w:eastAsia="Times New Roman"/>
                <w:sz w:val="20"/>
                <w:szCs w:val="20"/>
              </w:rPr>
              <w:t xml:space="preserve">Third Quarter </w:t>
            </w:r>
          </w:p>
        </w:tc>
        <w:tc>
          <w:tcPr>
            <w:tcW w:w="0" w:type="auto"/>
            <w:shd w:val="clear" w:color="auto" w:fill="CCEEFF"/>
            <w:vAlign w:val="bottom"/>
            <w:hideMark/>
          </w:tcPr>
          <w:p w14:paraId="7CBCB26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E16127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FCEECF1" w14:textId="77777777" w:rsidR="00000000" w:rsidRDefault="002F725F">
            <w:pPr>
              <w:jc w:val="right"/>
              <w:rPr>
                <w:rFonts w:eastAsia="Times New Roman"/>
                <w:sz w:val="20"/>
                <w:szCs w:val="20"/>
              </w:rPr>
            </w:pPr>
            <w:r>
              <w:rPr>
                <w:rFonts w:eastAsia="Times New Roman"/>
                <w:sz w:val="20"/>
                <w:szCs w:val="20"/>
              </w:rPr>
              <w:t>15.00</w:t>
            </w:r>
          </w:p>
        </w:tc>
        <w:tc>
          <w:tcPr>
            <w:tcW w:w="0" w:type="auto"/>
            <w:shd w:val="clear" w:color="auto" w:fill="CCEEFF"/>
            <w:vAlign w:val="bottom"/>
            <w:hideMark/>
          </w:tcPr>
          <w:p w14:paraId="2064BCA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3A744F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30D84D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8ADB5B2" w14:textId="77777777" w:rsidR="00000000" w:rsidRDefault="002F725F">
            <w:pPr>
              <w:jc w:val="right"/>
              <w:rPr>
                <w:rFonts w:eastAsia="Times New Roman"/>
                <w:sz w:val="20"/>
                <w:szCs w:val="20"/>
              </w:rPr>
            </w:pPr>
            <w:r>
              <w:rPr>
                <w:rFonts w:eastAsia="Times New Roman"/>
                <w:sz w:val="20"/>
                <w:szCs w:val="20"/>
              </w:rPr>
              <w:t>7.50</w:t>
            </w:r>
          </w:p>
        </w:tc>
        <w:tc>
          <w:tcPr>
            <w:tcW w:w="0" w:type="auto"/>
            <w:shd w:val="clear" w:color="auto" w:fill="CCEEFF"/>
            <w:vAlign w:val="bottom"/>
            <w:hideMark/>
          </w:tcPr>
          <w:p w14:paraId="4B205118" w14:textId="77777777" w:rsidR="00000000" w:rsidRDefault="002F725F">
            <w:pPr>
              <w:rPr>
                <w:rFonts w:eastAsia="Times New Roman"/>
                <w:sz w:val="20"/>
                <w:szCs w:val="20"/>
              </w:rPr>
            </w:pPr>
            <w:r>
              <w:rPr>
                <w:rFonts w:eastAsia="Times New Roman"/>
                <w:sz w:val="20"/>
                <w:szCs w:val="20"/>
              </w:rPr>
              <w:t> </w:t>
            </w:r>
          </w:p>
        </w:tc>
      </w:tr>
      <w:tr w:rsidR="00000000" w14:paraId="36BCBE7F" w14:textId="77777777">
        <w:trPr>
          <w:divId w:val="415980837"/>
        </w:trPr>
        <w:tc>
          <w:tcPr>
            <w:tcW w:w="0" w:type="auto"/>
            <w:shd w:val="clear" w:color="auto" w:fill="FFFFFF"/>
            <w:tcMar>
              <w:top w:w="0" w:type="dxa"/>
              <w:left w:w="720" w:type="dxa"/>
              <w:bottom w:w="0" w:type="dxa"/>
              <w:right w:w="0" w:type="dxa"/>
            </w:tcMar>
            <w:vAlign w:val="bottom"/>
            <w:hideMark/>
          </w:tcPr>
          <w:p w14:paraId="286AE02A" w14:textId="77777777" w:rsidR="00000000" w:rsidRDefault="002F725F">
            <w:pPr>
              <w:jc w:val="both"/>
              <w:rPr>
                <w:rFonts w:eastAsia="Times New Roman"/>
                <w:sz w:val="20"/>
                <w:szCs w:val="20"/>
              </w:rPr>
            </w:pPr>
            <w:r>
              <w:rPr>
                <w:rFonts w:eastAsia="Times New Roman"/>
                <w:sz w:val="20"/>
                <w:szCs w:val="20"/>
              </w:rPr>
              <w:t xml:space="preserve">Fourth Quarter </w:t>
            </w:r>
          </w:p>
        </w:tc>
        <w:tc>
          <w:tcPr>
            <w:tcW w:w="0" w:type="auto"/>
            <w:shd w:val="clear" w:color="auto" w:fill="FFFFFF"/>
            <w:vAlign w:val="bottom"/>
            <w:hideMark/>
          </w:tcPr>
          <w:p w14:paraId="2726831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B7F454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C905775" w14:textId="77777777" w:rsidR="00000000" w:rsidRDefault="002F725F">
            <w:pPr>
              <w:jc w:val="right"/>
              <w:rPr>
                <w:rFonts w:eastAsia="Times New Roman"/>
                <w:sz w:val="20"/>
                <w:szCs w:val="20"/>
              </w:rPr>
            </w:pPr>
            <w:r>
              <w:rPr>
                <w:rFonts w:eastAsia="Times New Roman"/>
                <w:sz w:val="20"/>
                <w:szCs w:val="20"/>
              </w:rPr>
              <w:t>8.70</w:t>
            </w:r>
          </w:p>
        </w:tc>
        <w:tc>
          <w:tcPr>
            <w:tcW w:w="0" w:type="auto"/>
            <w:shd w:val="clear" w:color="auto" w:fill="FFFFFF"/>
            <w:vAlign w:val="bottom"/>
            <w:hideMark/>
          </w:tcPr>
          <w:p w14:paraId="3877E79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AFD502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2F87AA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1871397" w14:textId="77777777" w:rsidR="00000000" w:rsidRDefault="002F725F">
            <w:pPr>
              <w:jc w:val="right"/>
              <w:rPr>
                <w:rFonts w:eastAsia="Times New Roman"/>
                <w:sz w:val="20"/>
                <w:szCs w:val="20"/>
              </w:rPr>
            </w:pPr>
            <w:r>
              <w:rPr>
                <w:rFonts w:eastAsia="Times New Roman"/>
                <w:sz w:val="20"/>
                <w:szCs w:val="20"/>
              </w:rPr>
              <w:t>3.80</w:t>
            </w:r>
          </w:p>
        </w:tc>
        <w:tc>
          <w:tcPr>
            <w:tcW w:w="0" w:type="auto"/>
            <w:shd w:val="clear" w:color="auto" w:fill="FFFFFF"/>
            <w:vAlign w:val="bottom"/>
            <w:hideMark/>
          </w:tcPr>
          <w:p w14:paraId="16077268" w14:textId="77777777" w:rsidR="00000000" w:rsidRDefault="002F725F">
            <w:pPr>
              <w:rPr>
                <w:rFonts w:eastAsia="Times New Roman"/>
                <w:sz w:val="20"/>
                <w:szCs w:val="20"/>
              </w:rPr>
            </w:pPr>
            <w:r>
              <w:rPr>
                <w:rFonts w:eastAsia="Times New Roman"/>
                <w:sz w:val="20"/>
                <w:szCs w:val="20"/>
              </w:rPr>
              <w:t> </w:t>
            </w:r>
          </w:p>
        </w:tc>
      </w:tr>
      <w:tr w:rsidR="00000000" w14:paraId="0B9F7724" w14:textId="77777777">
        <w:trPr>
          <w:divId w:val="415980837"/>
        </w:trPr>
        <w:tc>
          <w:tcPr>
            <w:tcW w:w="0" w:type="auto"/>
            <w:shd w:val="clear" w:color="auto" w:fill="CCEEFF"/>
            <w:vAlign w:val="bottom"/>
            <w:hideMark/>
          </w:tcPr>
          <w:p w14:paraId="01E4E941" w14:textId="77777777" w:rsidR="00000000" w:rsidRDefault="002F725F">
            <w:pPr>
              <w:jc w:val="both"/>
              <w:rPr>
                <w:rFonts w:eastAsia="Times New Roman"/>
                <w:sz w:val="20"/>
                <w:szCs w:val="20"/>
              </w:rPr>
            </w:pPr>
            <w:r>
              <w:rPr>
                <w:rFonts w:eastAsia="Times New Roman"/>
                <w:sz w:val="20"/>
                <w:szCs w:val="20"/>
              </w:rPr>
              <w:t>2024</w:t>
            </w:r>
          </w:p>
        </w:tc>
        <w:tc>
          <w:tcPr>
            <w:tcW w:w="0" w:type="auto"/>
            <w:shd w:val="clear" w:color="auto" w:fill="CCEEFF"/>
            <w:vAlign w:val="bottom"/>
            <w:hideMark/>
          </w:tcPr>
          <w:p w14:paraId="45D5114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A054A4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8007DEF"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25EC0D5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BC9BD4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56FC08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B3A1CF7"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1F75F75D" w14:textId="77777777" w:rsidR="00000000" w:rsidRDefault="002F725F">
            <w:pPr>
              <w:rPr>
                <w:rFonts w:eastAsia="Times New Roman"/>
                <w:sz w:val="20"/>
                <w:szCs w:val="20"/>
              </w:rPr>
            </w:pPr>
            <w:r>
              <w:rPr>
                <w:rFonts w:eastAsia="Times New Roman"/>
                <w:sz w:val="20"/>
                <w:szCs w:val="20"/>
              </w:rPr>
              <w:t> </w:t>
            </w:r>
          </w:p>
        </w:tc>
      </w:tr>
      <w:tr w:rsidR="00000000" w14:paraId="65E9A85A" w14:textId="77777777">
        <w:trPr>
          <w:divId w:val="415980837"/>
        </w:trPr>
        <w:tc>
          <w:tcPr>
            <w:tcW w:w="0" w:type="auto"/>
            <w:shd w:val="clear" w:color="auto" w:fill="FFFFFF"/>
            <w:tcMar>
              <w:top w:w="0" w:type="dxa"/>
              <w:left w:w="720" w:type="dxa"/>
              <w:bottom w:w="0" w:type="dxa"/>
              <w:right w:w="0" w:type="dxa"/>
            </w:tcMar>
            <w:vAlign w:val="bottom"/>
            <w:hideMark/>
          </w:tcPr>
          <w:p w14:paraId="7FAA5712" w14:textId="77777777" w:rsidR="00000000" w:rsidRDefault="002F725F">
            <w:pPr>
              <w:jc w:val="both"/>
              <w:rPr>
                <w:rFonts w:eastAsia="Times New Roman"/>
                <w:sz w:val="20"/>
                <w:szCs w:val="20"/>
              </w:rPr>
            </w:pPr>
            <w:r>
              <w:rPr>
                <w:rFonts w:eastAsia="Times New Roman"/>
                <w:sz w:val="20"/>
                <w:szCs w:val="20"/>
              </w:rPr>
              <w:t xml:space="preserve">First Quarter </w:t>
            </w:r>
          </w:p>
        </w:tc>
        <w:tc>
          <w:tcPr>
            <w:tcW w:w="0" w:type="auto"/>
            <w:shd w:val="clear" w:color="auto" w:fill="FFFFFF"/>
            <w:vAlign w:val="bottom"/>
            <w:hideMark/>
          </w:tcPr>
          <w:p w14:paraId="44DB5A2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E1F6E4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6D766C7" w14:textId="77777777" w:rsidR="00000000" w:rsidRDefault="002F725F">
            <w:pPr>
              <w:jc w:val="right"/>
              <w:rPr>
                <w:rFonts w:eastAsia="Times New Roman"/>
                <w:sz w:val="20"/>
                <w:szCs w:val="20"/>
              </w:rPr>
            </w:pPr>
            <w:r>
              <w:rPr>
                <w:rFonts w:eastAsia="Times New Roman"/>
                <w:sz w:val="20"/>
                <w:szCs w:val="20"/>
              </w:rPr>
              <w:t>8.20</w:t>
            </w:r>
          </w:p>
        </w:tc>
        <w:tc>
          <w:tcPr>
            <w:tcW w:w="0" w:type="auto"/>
            <w:shd w:val="clear" w:color="auto" w:fill="FFFFFF"/>
            <w:vAlign w:val="bottom"/>
            <w:hideMark/>
          </w:tcPr>
          <w:p w14:paraId="108E9BD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9FE304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78EAFB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7F8DC58" w14:textId="77777777" w:rsidR="00000000" w:rsidRDefault="002F725F">
            <w:pPr>
              <w:jc w:val="right"/>
              <w:rPr>
                <w:rFonts w:eastAsia="Times New Roman"/>
                <w:sz w:val="20"/>
                <w:szCs w:val="20"/>
              </w:rPr>
            </w:pPr>
            <w:r>
              <w:rPr>
                <w:rFonts w:eastAsia="Times New Roman"/>
                <w:sz w:val="20"/>
                <w:szCs w:val="20"/>
              </w:rPr>
              <w:t>3.50</w:t>
            </w:r>
          </w:p>
        </w:tc>
        <w:tc>
          <w:tcPr>
            <w:tcW w:w="0" w:type="auto"/>
            <w:shd w:val="clear" w:color="auto" w:fill="FFFFFF"/>
            <w:vAlign w:val="bottom"/>
            <w:hideMark/>
          </w:tcPr>
          <w:p w14:paraId="212A1162" w14:textId="77777777" w:rsidR="00000000" w:rsidRDefault="002F725F">
            <w:pPr>
              <w:rPr>
                <w:rFonts w:eastAsia="Times New Roman"/>
                <w:sz w:val="20"/>
                <w:szCs w:val="20"/>
              </w:rPr>
            </w:pPr>
            <w:r>
              <w:rPr>
                <w:rFonts w:eastAsia="Times New Roman"/>
                <w:sz w:val="20"/>
                <w:szCs w:val="20"/>
              </w:rPr>
              <w:t> </w:t>
            </w:r>
          </w:p>
        </w:tc>
      </w:tr>
      <w:tr w:rsidR="00000000" w14:paraId="520F052E" w14:textId="77777777">
        <w:trPr>
          <w:divId w:val="415980837"/>
        </w:trPr>
        <w:tc>
          <w:tcPr>
            <w:tcW w:w="0" w:type="auto"/>
            <w:shd w:val="clear" w:color="auto" w:fill="CCEEFF"/>
            <w:tcMar>
              <w:top w:w="0" w:type="dxa"/>
              <w:left w:w="720" w:type="dxa"/>
              <w:bottom w:w="0" w:type="dxa"/>
              <w:right w:w="0" w:type="dxa"/>
            </w:tcMar>
            <w:vAlign w:val="bottom"/>
            <w:hideMark/>
          </w:tcPr>
          <w:p w14:paraId="4FEC7709" w14:textId="77777777" w:rsidR="00000000" w:rsidRDefault="002F725F">
            <w:pPr>
              <w:jc w:val="both"/>
              <w:rPr>
                <w:rFonts w:eastAsia="Times New Roman"/>
                <w:sz w:val="20"/>
                <w:szCs w:val="20"/>
              </w:rPr>
            </w:pPr>
            <w:r>
              <w:rPr>
                <w:rFonts w:eastAsia="Times New Roman"/>
                <w:sz w:val="20"/>
                <w:szCs w:val="20"/>
              </w:rPr>
              <w:t xml:space="preserve">Second Quarter </w:t>
            </w:r>
          </w:p>
        </w:tc>
        <w:tc>
          <w:tcPr>
            <w:tcW w:w="0" w:type="auto"/>
            <w:shd w:val="clear" w:color="auto" w:fill="CCEEFF"/>
            <w:vAlign w:val="bottom"/>
            <w:hideMark/>
          </w:tcPr>
          <w:p w14:paraId="3D9F752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95E2DB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D0B8E95" w14:textId="77777777" w:rsidR="00000000" w:rsidRDefault="002F725F">
            <w:pPr>
              <w:jc w:val="right"/>
              <w:rPr>
                <w:rFonts w:eastAsia="Times New Roman"/>
                <w:sz w:val="20"/>
                <w:szCs w:val="20"/>
              </w:rPr>
            </w:pPr>
            <w:r>
              <w:rPr>
                <w:rFonts w:eastAsia="Times New Roman"/>
                <w:sz w:val="20"/>
                <w:szCs w:val="20"/>
              </w:rPr>
              <w:t>11.20</w:t>
            </w:r>
          </w:p>
        </w:tc>
        <w:tc>
          <w:tcPr>
            <w:tcW w:w="0" w:type="auto"/>
            <w:shd w:val="clear" w:color="auto" w:fill="CCEEFF"/>
            <w:vAlign w:val="bottom"/>
            <w:hideMark/>
          </w:tcPr>
          <w:p w14:paraId="5F69B53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5598C3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766062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006177F" w14:textId="77777777" w:rsidR="00000000" w:rsidRDefault="002F725F">
            <w:pPr>
              <w:jc w:val="right"/>
              <w:rPr>
                <w:rFonts w:eastAsia="Times New Roman"/>
                <w:sz w:val="20"/>
                <w:szCs w:val="20"/>
              </w:rPr>
            </w:pPr>
            <w:r>
              <w:rPr>
                <w:rFonts w:eastAsia="Times New Roman"/>
                <w:sz w:val="20"/>
                <w:szCs w:val="20"/>
              </w:rPr>
              <w:t>5.30</w:t>
            </w:r>
          </w:p>
        </w:tc>
        <w:tc>
          <w:tcPr>
            <w:tcW w:w="0" w:type="auto"/>
            <w:shd w:val="clear" w:color="auto" w:fill="CCEEFF"/>
            <w:vAlign w:val="bottom"/>
            <w:hideMark/>
          </w:tcPr>
          <w:p w14:paraId="34C0587A" w14:textId="77777777" w:rsidR="00000000" w:rsidRDefault="002F725F">
            <w:pPr>
              <w:rPr>
                <w:rFonts w:eastAsia="Times New Roman"/>
                <w:sz w:val="20"/>
                <w:szCs w:val="20"/>
              </w:rPr>
            </w:pPr>
            <w:r>
              <w:rPr>
                <w:rFonts w:eastAsia="Times New Roman"/>
                <w:sz w:val="20"/>
                <w:szCs w:val="20"/>
              </w:rPr>
              <w:t> </w:t>
            </w:r>
          </w:p>
        </w:tc>
      </w:tr>
      <w:tr w:rsidR="00000000" w14:paraId="5524E723" w14:textId="77777777">
        <w:trPr>
          <w:divId w:val="415980837"/>
        </w:trPr>
        <w:tc>
          <w:tcPr>
            <w:tcW w:w="0" w:type="auto"/>
            <w:shd w:val="clear" w:color="auto" w:fill="FFFFFF"/>
            <w:tcMar>
              <w:top w:w="0" w:type="dxa"/>
              <w:left w:w="720" w:type="dxa"/>
              <w:bottom w:w="0" w:type="dxa"/>
              <w:right w:w="0" w:type="dxa"/>
            </w:tcMar>
            <w:vAlign w:val="bottom"/>
            <w:hideMark/>
          </w:tcPr>
          <w:p w14:paraId="25468CC8" w14:textId="77777777" w:rsidR="00000000" w:rsidRDefault="002F725F">
            <w:pPr>
              <w:jc w:val="both"/>
              <w:rPr>
                <w:rFonts w:eastAsia="Times New Roman"/>
                <w:sz w:val="20"/>
                <w:szCs w:val="20"/>
              </w:rPr>
            </w:pPr>
            <w:r>
              <w:rPr>
                <w:rFonts w:eastAsia="Times New Roman"/>
                <w:sz w:val="20"/>
                <w:szCs w:val="20"/>
              </w:rPr>
              <w:t xml:space="preserve">Third Quarter </w:t>
            </w:r>
          </w:p>
        </w:tc>
        <w:tc>
          <w:tcPr>
            <w:tcW w:w="0" w:type="auto"/>
            <w:shd w:val="clear" w:color="auto" w:fill="FFFFFF"/>
            <w:vAlign w:val="bottom"/>
            <w:hideMark/>
          </w:tcPr>
          <w:p w14:paraId="1E938AA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D3C0DA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3E399DB" w14:textId="77777777" w:rsidR="00000000" w:rsidRDefault="002F725F">
            <w:pPr>
              <w:jc w:val="right"/>
              <w:rPr>
                <w:rFonts w:eastAsia="Times New Roman"/>
                <w:sz w:val="20"/>
                <w:szCs w:val="20"/>
              </w:rPr>
            </w:pPr>
            <w:r>
              <w:rPr>
                <w:rFonts w:eastAsia="Times New Roman"/>
                <w:sz w:val="20"/>
                <w:szCs w:val="20"/>
              </w:rPr>
              <w:t>8.60</w:t>
            </w:r>
          </w:p>
        </w:tc>
        <w:tc>
          <w:tcPr>
            <w:tcW w:w="0" w:type="auto"/>
            <w:shd w:val="clear" w:color="auto" w:fill="FFFFFF"/>
            <w:vAlign w:val="bottom"/>
            <w:hideMark/>
          </w:tcPr>
          <w:p w14:paraId="6D921B2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928BB0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A9AD76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14558B0" w14:textId="77777777" w:rsidR="00000000" w:rsidRDefault="002F725F">
            <w:pPr>
              <w:jc w:val="right"/>
              <w:rPr>
                <w:rFonts w:eastAsia="Times New Roman"/>
                <w:sz w:val="20"/>
                <w:szCs w:val="20"/>
              </w:rPr>
            </w:pPr>
            <w:r>
              <w:rPr>
                <w:rFonts w:eastAsia="Times New Roman"/>
                <w:sz w:val="20"/>
                <w:szCs w:val="20"/>
              </w:rPr>
              <w:t>3.60</w:t>
            </w:r>
          </w:p>
        </w:tc>
        <w:tc>
          <w:tcPr>
            <w:tcW w:w="0" w:type="auto"/>
            <w:shd w:val="clear" w:color="auto" w:fill="FFFFFF"/>
            <w:vAlign w:val="bottom"/>
            <w:hideMark/>
          </w:tcPr>
          <w:p w14:paraId="4C683778" w14:textId="77777777" w:rsidR="00000000" w:rsidRDefault="002F725F">
            <w:pPr>
              <w:rPr>
                <w:rFonts w:eastAsia="Times New Roman"/>
                <w:sz w:val="20"/>
                <w:szCs w:val="20"/>
              </w:rPr>
            </w:pPr>
            <w:r>
              <w:rPr>
                <w:rFonts w:eastAsia="Times New Roman"/>
                <w:sz w:val="20"/>
                <w:szCs w:val="20"/>
              </w:rPr>
              <w:t> </w:t>
            </w:r>
          </w:p>
        </w:tc>
      </w:tr>
      <w:tr w:rsidR="00000000" w14:paraId="41E55598" w14:textId="77777777">
        <w:trPr>
          <w:divId w:val="415980837"/>
        </w:trPr>
        <w:tc>
          <w:tcPr>
            <w:tcW w:w="0" w:type="auto"/>
            <w:shd w:val="clear" w:color="auto" w:fill="CCEEFF"/>
            <w:tcMar>
              <w:top w:w="0" w:type="dxa"/>
              <w:left w:w="720" w:type="dxa"/>
              <w:bottom w:w="0" w:type="dxa"/>
              <w:right w:w="0" w:type="dxa"/>
            </w:tcMar>
            <w:vAlign w:val="bottom"/>
            <w:hideMark/>
          </w:tcPr>
          <w:p w14:paraId="03C3FCD0" w14:textId="77777777" w:rsidR="00000000" w:rsidRDefault="002F725F">
            <w:pPr>
              <w:jc w:val="both"/>
              <w:rPr>
                <w:rFonts w:eastAsia="Times New Roman"/>
                <w:sz w:val="20"/>
                <w:szCs w:val="20"/>
              </w:rPr>
            </w:pPr>
            <w:r>
              <w:rPr>
                <w:rFonts w:eastAsia="Times New Roman"/>
                <w:sz w:val="20"/>
                <w:szCs w:val="20"/>
              </w:rPr>
              <w:t xml:space="preserve">Fourth Quarter </w:t>
            </w:r>
          </w:p>
        </w:tc>
        <w:tc>
          <w:tcPr>
            <w:tcW w:w="0" w:type="auto"/>
            <w:shd w:val="clear" w:color="auto" w:fill="CCEEFF"/>
            <w:vAlign w:val="bottom"/>
            <w:hideMark/>
          </w:tcPr>
          <w:p w14:paraId="10C67BE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98BF33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8FE0B1F" w14:textId="77777777" w:rsidR="00000000" w:rsidRDefault="002F725F">
            <w:pPr>
              <w:jc w:val="right"/>
              <w:rPr>
                <w:rFonts w:eastAsia="Times New Roman"/>
                <w:sz w:val="20"/>
                <w:szCs w:val="20"/>
              </w:rPr>
            </w:pPr>
            <w:r>
              <w:rPr>
                <w:rFonts w:eastAsia="Times New Roman"/>
                <w:sz w:val="20"/>
                <w:szCs w:val="20"/>
              </w:rPr>
              <w:t>5.70</w:t>
            </w:r>
          </w:p>
        </w:tc>
        <w:tc>
          <w:tcPr>
            <w:tcW w:w="0" w:type="auto"/>
            <w:shd w:val="clear" w:color="auto" w:fill="CCEEFF"/>
            <w:vAlign w:val="bottom"/>
            <w:hideMark/>
          </w:tcPr>
          <w:p w14:paraId="44FDA06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10001F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858131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5E0E8DE" w14:textId="77777777" w:rsidR="00000000" w:rsidRDefault="002F725F">
            <w:pPr>
              <w:jc w:val="right"/>
              <w:rPr>
                <w:rFonts w:eastAsia="Times New Roman"/>
                <w:sz w:val="20"/>
                <w:szCs w:val="20"/>
              </w:rPr>
            </w:pPr>
            <w:r>
              <w:rPr>
                <w:rFonts w:eastAsia="Times New Roman"/>
                <w:sz w:val="20"/>
                <w:szCs w:val="20"/>
              </w:rPr>
              <w:t>1.88</w:t>
            </w:r>
          </w:p>
        </w:tc>
        <w:tc>
          <w:tcPr>
            <w:tcW w:w="0" w:type="auto"/>
            <w:shd w:val="clear" w:color="auto" w:fill="CCEEFF"/>
            <w:vAlign w:val="bottom"/>
            <w:hideMark/>
          </w:tcPr>
          <w:p w14:paraId="10525721" w14:textId="77777777" w:rsidR="00000000" w:rsidRDefault="002F725F">
            <w:pPr>
              <w:rPr>
                <w:rFonts w:eastAsia="Times New Roman"/>
                <w:sz w:val="20"/>
                <w:szCs w:val="20"/>
              </w:rPr>
            </w:pPr>
            <w:r>
              <w:rPr>
                <w:rFonts w:eastAsia="Times New Roman"/>
                <w:sz w:val="20"/>
                <w:szCs w:val="20"/>
              </w:rPr>
              <w:t> </w:t>
            </w:r>
          </w:p>
        </w:tc>
      </w:tr>
      <w:tr w:rsidR="00000000" w14:paraId="4484B8E3" w14:textId="77777777">
        <w:trPr>
          <w:divId w:val="415980837"/>
        </w:trPr>
        <w:tc>
          <w:tcPr>
            <w:tcW w:w="0" w:type="auto"/>
            <w:shd w:val="clear" w:color="auto" w:fill="FFFFFF"/>
            <w:vAlign w:val="bottom"/>
            <w:hideMark/>
          </w:tcPr>
          <w:p w14:paraId="1611826F" w14:textId="77777777" w:rsidR="00000000" w:rsidRDefault="002F725F">
            <w:pPr>
              <w:jc w:val="both"/>
              <w:rPr>
                <w:rFonts w:eastAsia="Times New Roman"/>
                <w:sz w:val="20"/>
                <w:szCs w:val="20"/>
              </w:rPr>
            </w:pPr>
            <w:r>
              <w:rPr>
                <w:rFonts w:eastAsia="Times New Roman"/>
                <w:sz w:val="20"/>
                <w:szCs w:val="20"/>
              </w:rPr>
              <w:t>2025</w:t>
            </w:r>
          </w:p>
        </w:tc>
        <w:tc>
          <w:tcPr>
            <w:tcW w:w="0" w:type="auto"/>
            <w:shd w:val="clear" w:color="auto" w:fill="FFFFFF"/>
            <w:vAlign w:val="bottom"/>
            <w:hideMark/>
          </w:tcPr>
          <w:p w14:paraId="38C5AA7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229CF1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8FB0EE8"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0277BAC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645AF6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A67AC7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650F140"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1A442D26" w14:textId="77777777" w:rsidR="00000000" w:rsidRDefault="002F725F">
            <w:pPr>
              <w:rPr>
                <w:rFonts w:eastAsia="Times New Roman"/>
                <w:sz w:val="20"/>
                <w:szCs w:val="20"/>
              </w:rPr>
            </w:pPr>
            <w:r>
              <w:rPr>
                <w:rFonts w:eastAsia="Times New Roman"/>
                <w:sz w:val="20"/>
                <w:szCs w:val="20"/>
              </w:rPr>
              <w:t> </w:t>
            </w:r>
          </w:p>
        </w:tc>
      </w:tr>
      <w:tr w:rsidR="00000000" w14:paraId="640585CB" w14:textId="77777777">
        <w:trPr>
          <w:divId w:val="415980837"/>
        </w:trPr>
        <w:tc>
          <w:tcPr>
            <w:tcW w:w="0" w:type="auto"/>
            <w:shd w:val="clear" w:color="auto" w:fill="CCEEFF"/>
            <w:tcMar>
              <w:top w:w="0" w:type="dxa"/>
              <w:left w:w="720" w:type="dxa"/>
              <w:bottom w:w="0" w:type="dxa"/>
              <w:right w:w="0" w:type="dxa"/>
            </w:tcMar>
            <w:vAlign w:val="bottom"/>
            <w:hideMark/>
          </w:tcPr>
          <w:p w14:paraId="32B5AB24" w14:textId="77777777" w:rsidR="00000000" w:rsidRDefault="002F725F">
            <w:pPr>
              <w:jc w:val="both"/>
              <w:rPr>
                <w:rFonts w:eastAsia="Times New Roman"/>
                <w:sz w:val="20"/>
                <w:szCs w:val="20"/>
              </w:rPr>
            </w:pPr>
            <w:r>
              <w:rPr>
                <w:rFonts w:eastAsia="Times New Roman"/>
                <w:sz w:val="20"/>
                <w:szCs w:val="20"/>
              </w:rPr>
              <w:t xml:space="preserve">First Quarter </w:t>
            </w:r>
          </w:p>
        </w:tc>
        <w:tc>
          <w:tcPr>
            <w:tcW w:w="0" w:type="auto"/>
            <w:shd w:val="clear" w:color="auto" w:fill="CCEEFF"/>
            <w:vAlign w:val="bottom"/>
            <w:hideMark/>
          </w:tcPr>
          <w:p w14:paraId="7E73534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94EA46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9060CE9" w14:textId="77777777" w:rsidR="00000000" w:rsidRDefault="002F725F">
            <w:pPr>
              <w:jc w:val="right"/>
              <w:rPr>
                <w:rFonts w:eastAsia="Times New Roman"/>
                <w:sz w:val="20"/>
                <w:szCs w:val="20"/>
              </w:rPr>
            </w:pPr>
            <w:r>
              <w:rPr>
                <w:rFonts w:eastAsia="Times New Roman"/>
                <w:sz w:val="20"/>
                <w:szCs w:val="20"/>
              </w:rPr>
              <w:t>3.83</w:t>
            </w:r>
          </w:p>
        </w:tc>
        <w:tc>
          <w:tcPr>
            <w:tcW w:w="0" w:type="auto"/>
            <w:shd w:val="clear" w:color="auto" w:fill="CCEEFF"/>
            <w:vAlign w:val="bottom"/>
            <w:hideMark/>
          </w:tcPr>
          <w:p w14:paraId="082A2C6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4F6122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F235ED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AFA8E44" w14:textId="77777777" w:rsidR="00000000" w:rsidRDefault="002F725F">
            <w:pPr>
              <w:jc w:val="right"/>
              <w:rPr>
                <w:rFonts w:eastAsia="Times New Roman"/>
                <w:sz w:val="20"/>
                <w:szCs w:val="20"/>
              </w:rPr>
            </w:pPr>
            <w:r>
              <w:rPr>
                <w:rFonts w:eastAsia="Times New Roman"/>
                <w:sz w:val="20"/>
                <w:szCs w:val="20"/>
              </w:rPr>
              <w:t>1.81</w:t>
            </w:r>
          </w:p>
        </w:tc>
        <w:tc>
          <w:tcPr>
            <w:tcW w:w="0" w:type="auto"/>
            <w:shd w:val="clear" w:color="auto" w:fill="CCEEFF"/>
            <w:vAlign w:val="bottom"/>
            <w:hideMark/>
          </w:tcPr>
          <w:p w14:paraId="49307BAD" w14:textId="77777777" w:rsidR="00000000" w:rsidRDefault="002F725F">
            <w:pPr>
              <w:rPr>
                <w:rFonts w:eastAsia="Times New Roman"/>
                <w:sz w:val="20"/>
                <w:szCs w:val="20"/>
              </w:rPr>
            </w:pPr>
            <w:r>
              <w:rPr>
                <w:rFonts w:eastAsia="Times New Roman"/>
                <w:sz w:val="20"/>
                <w:szCs w:val="20"/>
              </w:rPr>
              <w:t> </w:t>
            </w:r>
          </w:p>
        </w:tc>
      </w:tr>
      <w:tr w:rsidR="00000000" w14:paraId="2E366059" w14:textId="77777777">
        <w:trPr>
          <w:divId w:val="415980837"/>
        </w:trPr>
        <w:tc>
          <w:tcPr>
            <w:tcW w:w="0" w:type="auto"/>
            <w:shd w:val="clear" w:color="auto" w:fill="FFFFFF"/>
            <w:tcMar>
              <w:top w:w="0" w:type="dxa"/>
              <w:left w:w="720" w:type="dxa"/>
              <w:bottom w:w="0" w:type="dxa"/>
              <w:right w:w="0" w:type="dxa"/>
            </w:tcMar>
            <w:vAlign w:val="bottom"/>
            <w:hideMark/>
          </w:tcPr>
          <w:p w14:paraId="42EAB6CE" w14:textId="77777777" w:rsidR="00000000" w:rsidRDefault="002F725F">
            <w:pPr>
              <w:jc w:val="both"/>
              <w:rPr>
                <w:rFonts w:eastAsia="Times New Roman"/>
                <w:sz w:val="20"/>
                <w:szCs w:val="20"/>
              </w:rPr>
            </w:pPr>
            <w:r>
              <w:rPr>
                <w:rFonts w:eastAsia="Times New Roman"/>
                <w:sz w:val="20"/>
                <w:szCs w:val="20"/>
              </w:rPr>
              <w:t xml:space="preserve">Second Quarter </w:t>
            </w:r>
          </w:p>
        </w:tc>
        <w:tc>
          <w:tcPr>
            <w:tcW w:w="0" w:type="auto"/>
            <w:shd w:val="clear" w:color="auto" w:fill="FFFFFF"/>
            <w:vAlign w:val="bottom"/>
            <w:hideMark/>
          </w:tcPr>
          <w:p w14:paraId="4173D28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36163A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A3813B9" w14:textId="77777777" w:rsidR="00000000" w:rsidRDefault="002F725F">
            <w:pPr>
              <w:jc w:val="right"/>
              <w:rPr>
                <w:rFonts w:eastAsia="Times New Roman"/>
                <w:sz w:val="20"/>
                <w:szCs w:val="20"/>
              </w:rPr>
            </w:pPr>
            <w:r>
              <w:rPr>
                <w:rFonts w:eastAsia="Times New Roman"/>
                <w:sz w:val="20"/>
                <w:szCs w:val="20"/>
              </w:rPr>
              <w:t>2.50</w:t>
            </w:r>
          </w:p>
        </w:tc>
        <w:tc>
          <w:tcPr>
            <w:tcW w:w="0" w:type="auto"/>
            <w:shd w:val="clear" w:color="auto" w:fill="FFFFFF"/>
            <w:vAlign w:val="bottom"/>
            <w:hideMark/>
          </w:tcPr>
          <w:p w14:paraId="745959D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2D7E7A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FDE5F4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0FB46A6" w14:textId="77777777" w:rsidR="00000000" w:rsidRDefault="002F725F">
            <w:pPr>
              <w:jc w:val="right"/>
              <w:rPr>
                <w:rFonts w:eastAsia="Times New Roman"/>
                <w:sz w:val="20"/>
                <w:szCs w:val="20"/>
              </w:rPr>
            </w:pPr>
            <w:r>
              <w:rPr>
                <w:rFonts w:eastAsia="Times New Roman"/>
                <w:sz w:val="20"/>
                <w:szCs w:val="20"/>
              </w:rPr>
              <w:t>0.87</w:t>
            </w:r>
          </w:p>
        </w:tc>
        <w:tc>
          <w:tcPr>
            <w:tcW w:w="0" w:type="auto"/>
            <w:shd w:val="clear" w:color="auto" w:fill="FFFFFF"/>
            <w:vAlign w:val="bottom"/>
            <w:hideMark/>
          </w:tcPr>
          <w:p w14:paraId="62D205D3" w14:textId="77777777" w:rsidR="00000000" w:rsidRDefault="002F725F">
            <w:pPr>
              <w:rPr>
                <w:rFonts w:eastAsia="Times New Roman"/>
                <w:sz w:val="20"/>
                <w:szCs w:val="20"/>
              </w:rPr>
            </w:pPr>
            <w:r>
              <w:rPr>
                <w:rFonts w:eastAsia="Times New Roman"/>
                <w:sz w:val="20"/>
                <w:szCs w:val="20"/>
              </w:rPr>
              <w:t> </w:t>
            </w:r>
          </w:p>
        </w:tc>
      </w:tr>
      <w:tr w:rsidR="00000000" w14:paraId="57C66E3C" w14:textId="77777777">
        <w:trPr>
          <w:divId w:val="415980837"/>
        </w:trPr>
        <w:tc>
          <w:tcPr>
            <w:tcW w:w="0" w:type="auto"/>
            <w:shd w:val="clear" w:color="auto" w:fill="CCEEFF"/>
            <w:tcMar>
              <w:top w:w="0" w:type="dxa"/>
              <w:left w:w="720" w:type="dxa"/>
              <w:bottom w:w="0" w:type="dxa"/>
              <w:right w:w="0" w:type="dxa"/>
            </w:tcMar>
            <w:vAlign w:val="bottom"/>
            <w:hideMark/>
          </w:tcPr>
          <w:p w14:paraId="771AF0FF" w14:textId="77777777" w:rsidR="00000000" w:rsidRDefault="002F725F">
            <w:pPr>
              <w:jc w:val="both"/>
              <w:rPr>
                <w:rFonts w:eastAsia="Times New Roman"/>
                <w:sz w:val="20"/>
                <w:szCs w:val="20"/>
              </w:rPr>
            </w:pPr>
            <w:r>
              <w:rPr>
                <w:rFonts w:eastAsia="Times New Roman"/>
                <w:sz w:val="20"/>
                <w:szCs w:val="20"/>
              </w:rPr>
              <w:t>Third Quarter</w:t>
            </w:r>
          </w:p>
        </w:tc>
        <w:tc>
          <w:tcPr>
            <w:tcW w:w="0" w:type="auto"/>
            <w:shd w:val="clear" w:color="auto" w:fill="CCEEFF"/>
            <w:vAlign w:val="bottom"/>
            <w:hideMark/>
          </w:tcPr>
          <w:p w14:paraId="5F9C6F7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F6CA90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69E57D9" w14:textId="77777777" w:rsidR="00000000" w:rsidRDefault="002F725F">
            <w:pPr>
              <w:jc w:val="right"/>
              <w:rPr>
                <w:rFonts w:eastAsia="Times New Roman"/>
                <w:sz w:val="20"/>
                <w:szCs w:val="20"/>
              </w:rPr>
            </w:pPr>
            <w:r>
              <w:rPr>
                <w:rFonts w:eastAsia="Times New Roman"/>
                <w:sz w:val="20"/>
                <w:szCs w:val="20"/>
              </w:rPr>
              <w:t>1.48</w:t>
            </w:r>
          </w:p>
        </w:tc>
        <w:tc>
          <w:tcPr>
            <w:tcW w:w="0" w:type="auto"/>
            <w:shd w:val="clear" w:color="auto" w:fill="CCEEFF"/>
            <w:vAlign w:val="bottom"/>
            <w:hideMark/>
          </w:tcPr>
          <w:p w14:paraId="139D10E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B9E251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D00CB0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2799AD1" w14:textId="77777777" w:rsidR="00000000" w:rsidRDefault="002F725F">
            <w:pPr>
              <w:jc w:val="right"/>
              <w:rPr>
                <w:rFonts w:eastAsia="Times New Roman"/>
                <w:sz w:val="20"/>
                <w:szCs w:val="20"/>
              </w:rPr>
            </w:pPr>
            <w:r>
              <w:rPr>
                <w:rFonts w:eastAsia="Times New Roman"/>
                <w:sz w:val="20"/>
                <w:szCs w:val="20"/>
              </w:rPr>
              <w:t>0.30</w:t>
            </w:r>
          </w:p>
        </w:tc>
        <w:tc>
          <w:tcPr>
            <w:tcW w:w="0" w:type="auto"/>
            <w:shd w:val="clear" w:color="auto" w:fill="CCEEFF"/>
            <w:vAlign w:val="bottom"/>
            <w:hideMark/>
          </w:tcPr>
          <w:p w14:paraId="7E352481" w14:textId="77777777" w:rsidR="00000000" w:rsidRDefault="002F725F">
            <w:pPr>
              <w:rPr>
                <w:rFonts w:eastAsia="Times New Roman"/>
                <w:sz w:val="20"/>
                <w:szCs w:val="20"/>
              </w:rPr>
            </w:pPr>
            <w:r>
              <w:rPr>
                <w:rFonts w:eastAsia="Times New Roman"/>
                <w:sz w:val="20"/>
                <w:szCs w:val="20"/>
              </w:rPr>
              <w:t> </w:t>
            </w:r>
          </w:p>
        </w:tc>
      </w:tr>
      <w:tr w:rsidR="00000000" w14:paraId="62CDDD14" w14:textId="77777777">
        <w:trPr>
          <w:divId w:val="415980837"/>
        </w:trPr>
        <w:tc>
          <w:tcPr>
            <w:tcW w:w="0" w:type="auto"/>
            <w:shd w:val="clear" w:color="auto" w:fill="FFFFFF"/>
            <w:tcMar>
              <w:top w:w="0" w:type="dxa"/>
              <w:left w:w="720" w:type="dxa"/>
              <w:bottom w:w="0" w:type="dxa"/>
              <w:right w:w="0" w:type="dxa"/>
            </w:tcMar>
            <w:vAlign w:val="bottom"/>
            <w:hideMark/>
          </w:tcPr>
          <w:p w14:paraId="727FD9EC" w14:textId="77777777" w:rsidR="00000000" w:rsidRDefault="002F725F">
            <w:pPr>
              <w:jc w:val="both"/>
              <w:rPr>
                <w:rFonts w:eastAsia="Times New Roman"/>
                <w:sz w:val="20"/>
                <w:szCs w:val="20"/>
              </w:rPr>
            </w:pPr>
            <w:r>
              <w:rPr>
                <w:rFonts w:eastAsia="Times New Roman"/>
                <w:sz w:val="20"/>
                <w:szCs w:val="20"/>
              </w:rPr>
              <w:t>Fourth Quarter</w:t>
            </w:r>
          </w:p>
        </w:tc>
        <w:tc>
          <w:tcPr>
            <w:tcW w:w="0" w:type="auto"/>
            <w:shd w:val="clear" w:color="auto" w:fill="FFFFFF"/>
            <w:vAlign w:val="bottom"/>
            <w:hideMark/>
          </w:tcPr>
          <w:p w14:paraId="2DD822A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7B72F1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995B8C8" w14:textId="77777777" w:rsidR="00000000" w:rsidRDefault="002F725F">
            <w:pPr>
              <w:jc w:val="right"/>
              <w:rPr>
                <w:rFonts w:eastAsia="Times New Roman"/>
                <w:sz w:val="20"/>
                <w:szCs w:val="20"/>
              </w:rPr>
            </w:pPr>
            <w:r>
              <w:rPr>
                <w:rFonts w:eastAsia="Times New Roman"/>
                <w:sz w:val="20"/>
                <w:szCs w:val="20"/>
              </w:rPr>
              <w:t>0.90</w:t>
            </w:r>
          </w:p>
        </w:tc>
        <w:tc>
          <w:tcPr>
            <w:tcW w:w="0" w:type="auto"/>
            <w:shd w:val="clear" w:color="auto" w:fill="FFFFFF"/>
            <w:vAlign w:val="bottom"/>
            <w:hideMark/>
          </w:tcPr>
          <w:p w14:paraId="6FDE921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89685F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19E553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238A5FB" w14:textId="77777777" w:rsidR="00000000" w:rsidRDefault="002F725F">
            <w:pPr>
              <w:jc w:val="right"/>
              <w:rPr>
                <w:rFonts w:eastAsia="Times New Roman"/>
                <w:sz w:val="20"/>
                <w:szCs w:val="20"/>
              </w:rPr>
            </w:pPr>
            <w:r>
              <w:rPr>
                <w:rFonts w:eastAsia="Times New Roman"/>
                <w:sz w:val="20"/>
                <w:szCs w:val="20"/>
              </w:rPr>
              <w:t>0.70</w:t>
            </w:r>
          </w:p>
        </w:tc>
        <w:tc>
          <w:tcPr>
            <w:tcW w:w="0" w:type="auto"/>
            <w:shd w:val="clear" w:color="auto" w:fill="FFFFFF"/>
            <w:vAlign w:val="bottom"/>
            <w:hideMark/>
          </w:tcPr>
          <w:p w14:paraId="12445718" w14:textId="77777777" w:rsidR="00000000" w:rsidRDefault="002F725F">
            <w:pPr>
              <w:rPr>
                <w:rFonts w:eastAsia="Times New Roman"/>
                <w:sz w:val="20"/>
                <w:szCs w:val="20"/>
              </w:rPr>
            </w:pPr>
            <w:r>
              <w:rPr>
                <w:rFonts w:eastAsia="Times New Roman"/>
                <w:sz w:val="20"/>
                <w:szCs w:val="20"/>
              </w:rPr>
              <w:t> </w:t>
            </w:r>
          </w:p>
        </w:tc>
      </w:tr>
      <w:tr w:rsidR="00000000" w14:paraId="2D27A484" w14:textId="77777777">
        <w:trPr>
          <w:divId w:val="415980837"/>
        </w:trPr>
        <w:tc>
          <w:tcPr>
            <w:tcW w:w="0" w:type="auto"/>
            <w:shd w:val="clear" w:color="auto" w:fill="CCEEFF"/>
            <w:vAlign w:val="bottom"/>
            <w:hideMark/>
          </w:tcPr>
          <w:p w14:paraId="0EA72C4C" w14:textId="77777777" w:rsidR="00000000" w:rsidRDefault="002F725F">
            <w:pPr>
              <w:rPr>
                <w:rFonts w:eastAsia="Times New Roman"/>
                <w:sz w:val="20"/>
                <w:szCs w:val="20"/>
              </w:rPr>
            </w:pPr>
            <w:r>
              <w:rPr>
                <w:rFonts w:eastAsia="Times New Roman"/>
                <w:sz w:val="20"/>
                <w:szCs w:val="20"/>
              </w:rPr>
              <w:t>2026</w:t>
            </w:r>
          </w:p>
        </w:tc>
        <w:tc>
          <w:tcPr>
            <w:tcW w:w="0" w:type="auto"/>
            <w:shd w:val="clear" w:color="auto" w:fill="CCEEFF"/>
            <w:vAlign w:val="bottom"/>
            <w:hideMark/>
          </w:tcPr>
          <w:p w14:paraId="3E5B25E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9C9843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2E199B4"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33D26DE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ACFE74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4E861E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2002C29"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3BAB13E9" w14:textId="77777777" w:rsidR="00000000" w:rsidRDefault="002F725F">
            <w:pPr>
              <w:rPr>
                <w:rFonts w:eastAsia="Times New Roman"/>
                <w:sz w:val="20"/>
                <w:szCs w:val="20"/>
              </w:rPr>
            </w:pPr>
            <w:r>
              <w:rPr>
                <w:rFonts w:eastAsia="Times New Roman"/>
                <w:sz w:val="20"/>
                <w:szCs w:val="20"/>
              </w:rPr>
              <w:t> </w:t>
            </w:r>
          </w:p>
        </w:tc>
      </w:tr>
      <w:tr w:rsidR="00000000" w14:paraId="43613B46" w14:textId="77777777">
        <w:trPr>
          <w:divId w:val="415980837"/>
        </w:trPr>
        <w:tc>
          <w:tcPr>
            <w:tcW w:w="0" w:type="auto"/>
            <w:shd w:val="clear" w:color="auto" w:fill="FFFFFF"/>
            <w:tcMar>
              <w:top w:w="0" w:type="dxa"/>
              <w:left w:w="720" w:type="dxa"/>
              <w:bottom w:w="0" w:type="dxa"/>
              <w:right w:w="0" w:type="dxa"/>
            </w:tcMar>
            <w:vAlign w:val="bottom"/>
            <w:hideMark/>
          </w:tcPr>
          <w:p w14:paraId="64DF31BE" w14:textId="77777777" w:rsidR="00000000" w:rsidRDefault="002F725F">
            <w:pPr>
              <w:rPr>
                <w:rFonts w:eastAsia="Times New Roman"/>
                <w:sz w:val="20"/>
                <w:szCs w:val="20"/>
              </w:rPr>
            </w:pPr>
            <w:r>
              <w:rPr>
                <w:rFonts w:eastAsia="Times New Roman"/>
                <w:sz w:val="20"/>
                <w:szCs w:val="20"/>
              </w:rPr>
              <w:t>First Quarter</w:t>
            </w:r>
          </w:p>
        </w:tc>
        <w:tc>
          <w:tcPr>
            <w:tcW w:w="0" w:type="auto"/>
            <w:shd w:val="clear" w:color="auto" w:fill="FFFFFF"/>
            <w:vAlign w:val="bottom"/>
            <w:hideMark/>
          </w:tcPr>
          <w:p w14:paraId="6184456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A67522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8C7F59D" w14:textId="77777777" w:rsidR="00000000" w:rsidRDefault="002F725F">
            <w:pPr>
              <w:jc w:val="right"/>
              <w:rPr>
                <w:rFonts w:eastAsia="Times New Roman"/>
                <w:sz w:val="20"/>
                <w:szCs w:val="20"/>
              </w:rPr>
            </w:pPr>
            <w:r>
              <w:rPr>
                <w:rFonts w:eastAsia="Times New Roman"/>
                <w:sz w:val="20"/>
                <w:szCs w:val="20"/>
              </w:rPr>
              <w:t>0.85</w:t>
            </w:r>
          </w:p>
        </w:tc>
        <w:tc>
          <w:tcPr>
            <w:tcW w:w="0" w:type="auto"/>
            <w:shd w:val="clear" w:color="auto" w:fill="FFFFFF"/>
            <w:vAlign w:val="bottom"/>
            <w:hideMark/>
          </w:tcPr>
          <w:p w14:paraId="0A26788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0E9B8F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16AB0B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50AC237" w14:textId="77777777" w:rsidR="00000000" w:rsidRDefault="002F725F">
            <w:pPr>
              <w:jc w:val="right"/>
              <w:rPr>
                <w:rFonts w:eastAsia="Times New Roman"/>
                <w:sz w:val="20"/>
                <w:szCs w:val="20"/>
              </w:rPr>
            </w:pPr>
            <w:r>
              <w:rPr>
                <w:rFonts w:eastAsia="Times New Roman"/>
                <w:sz w:val="20"/>
                <w:szCs w:val="20"/>
              </w:rPr>
              <w:t>0.04</w:t>
            </w:r>
          </w:p>
        </w:tc>
        <w:tc>
          <w:tcPr>
            <w:tcW w:w="0" w:type="auto"/>
            <w:shd w:val="clear" w:color="auto" w:fill="FFFFFF"/>
            <w:vAlign w:val="bottom"/>
            <w:hideMark/>
          </w:tcPr>
          <w:p w14:paraId="58C97383" w14:textId="77777777" w:rsidR="00000000" w:rsidRDefault="002F725F">
            <w:pPr>
              <w:rPr>
                <w:rFonts w:eastAsia="Times New Roman"/>
                <w:sz w:val="20"/>
                <w:szCs w:val="20"/>
              </w:rPr>
            </w:pPr>
            <w:r>
              <w:rPr>
                <w:rFonts w:eastAsia="Times New Roman"/>
                <w:sz w:val="20"/>
                <w:szCs w:val="20"/>
              </w:rPr>
              <w:t> </w:t>
            </w:r>
          </w:p>
        </w:tc>
      </w:tr>
      <w:tr w:rsidR="00000000" w14:paraId="735059A0" w14:textId="77777777">
        <w:trPr>
          <w:divId w:val="415980837"/>
        </w:trPr>
        <w:tc>
          <w:tcPr>
            <w:tcW w:w="0" w:type="auto"/>
            <w:shd w:val="clear" w:color="auto" w:fill="CCEEFF"/>
            <w:tcMar>
              <w:top w:w="0" w:type="dxa"/>
              <w:left w:w="720" w:type="dxa"/>
              <w:bottom w:w="0" w:type="dxa"/>
              <w:right w:w="0" w:type="dxa"/>
            </w:tcMar>
            <w:vAlign w:val="bottom"/>
            <w:hideMark/>
          </w:tcPr>
          <w:p w14:paraId="042BC3F3" w14:textId="77777777" w:rsidR="00000000" w:rsidRDefault="002F725F">
            <w:pPr>
              <w:jc w:val="both"/>
              <w:rPr>
                <w:rFonts w:eastAsia="Times New Roman"/>
                <w:sz w:val="20"/>
                <w:szCs w:val="20"/>
              </w:rPr>
            </w:pPr>
            <w:r>
              <w:rPr>
                <w:rFonts w:eastAsia="Times New Roman"/>
                <w:sz w:val="20"/>
                <w:szCs w:val="20"/>
              </w:rPr>
              <w:t>Second Quarter (from April 1, 2026 to May 7, 2026)</w:t>
            </w:r>
          </w:p>
        </w:tc>
        <w:tc>
          <w:tcPr>
            <w:tcW w:w="0" w:type="auto"/>
            <w:shd w:val="clear" w:color="auto" w:fill="CCEEFF"/>
            <w:vAlign w:val="bottom"/>
            <w:hideMark/>
          </w:tcPr>
          <w:p w14:paraId="1E08FAC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988577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E8F4CA9" w14:textId="77777777" w:rsidR="00000000" w:rsidRDefault="002F725F">
            <w:pPr>
              <w:jc w:val="right"/>
              <w:rPr>
                <w:rFonts w:eastAsia="Times New Roman"/>
                <w:sz w:val="20"/>
                <w:szCs w:val="20"/>
              </w:rPr>
            </w:pPr>
            <w:r>
              <w:rPr>
                <w:rFonts w:eastAsia="Times New Roman"/>
                <w:sz w:val="20"/>
                <w:szCs w:val="20"/>
              </w:rPr>
              <w:t>0.04</w:t>
            </w:r>
          </w:p>
        </w:tc>
        <w:tc>
          <w:tcPr>
            <w:tcW w:w="0" w:type="auto"/>
            <w:shd w:val="clear" w:color="auto" w:fill="CCEEFF"/>
            <w:vAlign w:val="bottom"/>
            <w:hideMark/>
          </w:tcPr>
          <w:p w14:paraId="3A7CDB9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30114C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B87303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C50CB73" w14:textId="77777777" w:rsidR="00000000" w:rsidRDefault="002F725F">
            <w:pPr>
              <w:jc w:val="right"/>
              <w:rPr>
                <w:rFonts w:eastAsia="Times New Roman"/>
                <w:sz w:val="20"/>
                <w:szCs w:val="20"/>
              </w:rPr>
            </w:pPr>
            <w:r>
              <w:rPr>
                <w:rFonts w:eastAsia="Times New Roman"/>
                <w:sz w:val="20"/>
                <w:szCs w:val="20"/>
              </w:rPr>
              <w:t>0.03</w:t>
            </w:r>
          </w:p>
        </w:tc>
        <w:tc>
          <w:tcPr>
            <w:tcW w:w="0" w:type="auto"/>
            <w:shd w:val="clear" w:color="auto" w:fill="CCEEFF"/>
            <w:vAlign w:val="bottom"/>
            <w:hideMark/>
          </w:tcPr>
          <w:p w14:paraId="5299DA16" w14:textId="77777777" w:rsidR="00000000" w:rsidRDefault="002F725F">
            <w:pPr>
              <w:rPr>
                <w:rFonts w:eastAsia="Times New Roman"/>
                <w:sz w:val="20"/>
                <w:szCs w:val="20"/>
              </w:rPr>
            </w:pPr>
            <w:r>
              <w:rPr>
                <w:rFonts w:eastAsia="Times New Roman"/>
                <w:sz w:val="20"/>
                <w:szCs w:val="20"/>
              </w:rPr>
              <w:t> </w:t>
            </w:r>
          </w:p>
        </w:tc>
      </w:tr>
    </w:tbl>
    <w:p w14:paraId="6C8B54F2"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 </w:t>
      </w:r>
    </w:p>
    <w:p w14:paraId="3846B1A4" w14:textId="77777777" w:rsidR="00000000" w:rsidRDefault="002F725F">
      <w:pPr>
        <w:pStyle w:val="NormalWeb"/>
        <w:spacing w:before="0" w:beforeAutospacing="0" w:after="0" w:afterAutospacing="0"/>
        <w:jc w:val="both"/>
        <w:divId w:val="415980837"/>
        <w:rPr>
          <w:sz w:val="20"/>
          <w:szCs w:val="20"/>
        </w:rPr>
      </w:pPr>
      <w:r>
        <w:rPr>
          <w:sz w:val="20"/>
          <w:szCs w:val="20"/>
          <w:shd w:val="clear" w:color="auto" w:fill="FFFFFF"/>
        </w:rPr>
        <w:t xml:space="preserve">Note: </w:t>
      </w:r>
    </w:p>
    <w:p w14:paraId="0B199F72" w14:textId="77777777" w:rsidR="00000000" w:rsidRDefault="002F725F">
      <w:pPr>
        <w:pStyle w:val="NormalWeb"/>
        <w:spacing w:before="0" w:beforeAutospacing="0" w:after="0" w:afterAutospacing="0"/>
        <w:jc w:val="both"/>
        <w:divId w:val="415980837"/>
        <w:rPr>
          <w:sz w:val="20"/>
          <w:szCs w:val="20"/>
        </w:rPr>
      </w:pPr>
      <w:r>
        <w:rPr>
          <w:sz w:val="20"/>
          <w:szCs w:val="20"/>
          <w:shd w:val="clear" w:color="auto" w:fill="FFFFFF"/>
        </w:rPr>
        <w:t> </w:t>
      </w:r>
    </w:p>
    <w:tbl>
      <w:tblPr>
        <w:tblW w:w="5000" w:type="pct"/>
        <w:tblCellSpacing w:w="0" w:type="dxa"/>
        <w:tblCellMar>
          <w:left w:w="0" w:type="dxa"/>
          <w:right w:w="0" w:type="dxa"/>
        </w:tblCellMar>
        <w:tblLook w:val="04A0" w:firstRow="1" w:lastRow="0" w:firstColumn="1" w:lastColumn="0" w:noHBand="0" w:noVBand="1"/>
      </w:tblPr>
      <w:tblGrid>
        <w:gridCol w:w="360"/>
        <w:gridCol w:w="9000"/>
      </w:tblGrid>
      <w:tr w:rsidR="00000000" w14:paraId="2E31AEC5" w14:textId="77777777">
        <w:trPr>
          <w:divId w:val="415980837"/>
          <w:tblCellSpacing w:w="0" w:type="dxa"/>
        </w:trPr>
        <w:tc>
          <w:tcPr>
            <w:tcW w:w="360" w:type="dxa"/>
            <w:hideMark/>
          </w:tcPr>
          <w:p w14:paraId="71069B19" w14:textId="77777777" w:rsidR="00000000" w:rsidRDefault="002F725F">
            <w:pPr>
              <w:rPr>
                <w:rFonts w:eastAsia="Times New Roman"/>
                <w:sz w:val="20"/>
                <w:szCs w:val="20"/>
              </w:rPr>
            </w:pPr>
            <w:r>
              <w:rPr>
                <w:rFonts w:eastAsia="Times New Roman"/>
                <w:sz w:val="20"/>
                <w:szCs w:val="20"/>
                <w:shd w:val="clear" w:color="auto" w:fill="FFFFFF"/>
              </w:rPr>
              <w:t>(1)</w:t>
            </w:r>
          </w:p>
        </w:tc>
        <w:tc>
          <w:tcPr>
            <w:tcW w:w="0" w:type="auto"/>
            <w:hideMark/>
          </w:tcPr>
          <w:p w14:paraId="25790140" w14:textId="77777777" w:rsidR="00000000" w:rsidRDefault="002F725F">
            <w:pPr>
              <w:jc w:val="both"/>
              <w:rPr>
                <w:rFonts w:eastAsia="Times New Roman"/>
                <w:sz w:val="20"/>
                <w:szCs w:val="20"/>
              </w:rPr>
            </w:pPr>
            <w:r>
              <w:rPr>
                <w:rFonts w:eastAsia="Times New Roman"/>
                <w:sz w:val="20"/>
                <w:szCs w:val="20"/>
                <w:shd w:val="clear" w:color="auto" w:fill="FFFFFF"/>
              </w:rPr>
              <w:t>Trading prices prior to October 1, 2024 have been adjusted to reflect the 1-for-10 reverse stock split effected by the Company on October 1, 2024, such that trading prices in and before the third quarter of 2024 equal 10 times the actual trading prices.</w:t>
            </w:r>
          </w:p>
        </w:tc>
      </w:tr>
    </w:tbl>
    <w:p w14:paraId="430A9016"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 </w:t>
      </w:r>
    </w:p>
    <w:p w14:paraId="074671A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March 24, 2026, the last trading day prior to the date on which the Company announced its receipt of the March 24, 2026 Proposal, the reported closing price of the Shares on OTC Pink was US$0.045. The Per Share Merger Consideration of US$0.066 per Sha</w:t>
      </w:r>
      <w:r>
        <w:rPr>
          <w:sz w:val="20"/>
          <w:szCs w:val="20"/>
        </w:rPr>
        <w:t>re represents a premium of approximately 46.7% over the closing price of US$0.045 per Share on March 24, 2026 and a premium of approximately 23.3% to the volume-weighted average closing price of the Shares during the last 10 trading days prior to and inclu</w:t>
      </w:r>
      <w:r>
        <w:rPr>
          <w:sz w:val="20"/>
          <w:szCs w:val="20"/>
        </w:rPr>
        <w:t>ding March 24, 2026. On May 7, 2026, the most recent practicable date before the date of this proxy statement, the reported trading price of the Shares was US$0.04. You are urged to obtain a current market price quotation for your Shares in connection with</w:t>
      </w:r>
      <w:r>
        <w:rPr>
          <w:sz w:val="20"/>
          <w:szCs w:val="20"/>
        </w:rPr>
        <w:t xml:space="preserve"> voting your Shares.</w:t>
      </w:r>
    </w:p>
    <w:p w14:paraId="3482454B"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04A9283D" w14:textId="77777777" w:rsidR="00000000" w:rsidRDefault="002F725F">
      <w:pPr>
        <w:pStyle w:val="NormalWeb"/>
        <w:spacing w:before="0" w:beforeAutospacing="0" w:after="0" w:afterAutospacing="0"/>
        <w:jc w:val="both"/>
        <w:divId w:val="415980837"/>
        <w:rPr>
          <w:sz w:val="20"/>
          <w:szCs w:val="20"/>
        </w:rPr>
      </w:pPr>
      <w:r>
        <w:rPr>
          <w:b/>
          <w:bCs/>
          <w:sz w:val="20"/>
          <w:szCs w:val="20"/>
        </w:rPr>
        <w:t>Dividend Policy</w:t>
      </w:r>
    </w:p>
    <w:p w14:paraId="6879656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43417E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has never declared or paid any cash dividend on the Shares. The Company currently intends to retain any future earnings and does not expect to pay any dividends in the foreseeable future. Any further det</w:t>
      </w:r>
      <w:r>
        <w:rPr>
          <w:sz w:val="20"/>
          <w:szCs w:val="20"/>
        </w:rPr>
        <w:t>ermination to pay dividends on the Shares would be at the discretion of the Board, subject to applicable laws, and would depend on the Company’s financial condition, results of operations, capital requirements, general business conditions, and other factor</w:t>
      </w:r>
      <w:r>
        <w:rPr>
          <w:sz w:val="20"/>
          <w:szCs w:val="20"/>
        </w:rPr>
        <w:t>s that the Board may deem relevant.</w:t>
      </w:r>
    </w:p>
    <w:p w14:paraId="2D86D47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8909166" w14:textId="77777777" w:rsidR="00000000" w:rsidRDefault="002F725F">
      <w:pPr>
        <w:pStyle w:val="NormalWeb"/>
        <w:spacing w:before="0" w:beforeAutospacing="0" w:after="0" w:afterAutospacing="0"/>
        <w:jc w:val="center"/>
        <w:divId w:val="1850634982"/>
        <w:rPr>
          <w:sz w:val="20"/>
          <w:szCs w:val="20"/>
        </w:rPr>
      </w:pPr>
      <w:r>
        <w:rPr>
          <w:sz w:val="20"/>
          <w:szCs w:val="20"/>
        </w:rPr>
        <w:t>7</w:t>
      </w:r>
      <w:r>
        <w:rPr>
          <w:sz w:val="20"/>
          <w:szCs w:val="20"/>
        </w:rPr>
        <w:t>5</w:t>
      </w:r>
    </w:p>
    <w:p w14:paraId="4D26BF2F" w14:textId="77777777" w:rsidR="00000000" w:rsidRDefault="002F725F">
      <w:pPr>
        <w:pStyle w:val="NormalWeb"/>
        <w:spacing w:before="0" w:beforeAutospacing="0" w:after="0" w:afterAutospacing="0"/>
        <w:divId w:val="312874854"/>
        <w:rPr>
          <w:sz w:val="20"/>
          <w:szCs w:val="20"/>
        </w:rPr>
      </w:pPr>
      <w:r>
        <w:rPr>
          <w:sz w:val="20"/>
          <w:szCs w:val="20"/>
        </w:rPr>
        <w:t> </w:t>
      </w:r>
    </w:p>
    <w:p w14:paraId="628152B3" w14:textId="77777777" w:rsidR="00000000" w:rsidRDefault="002F725F">
      <w:pPr>
        <w:pStyle w:val="NormalWeb"/>
        <w:spacing w:before="0" w:beforeAutospacing="0" w:after="0" w:afterAutospacing="0"/>
        <w:jc w:val="center"/>
        <w:divId w:val="415980837"/>
        <w:rPr>
          <w:sz w:val="20"/>
          <w:szCs w:val="20"/>
        </w:rPr>
      </w:pPr>
      <w:r>
        <w:rPr>
          <w:b/>
          <w:bCs/>
          <w:sz w:val="20"/>
          <w:szCs w:val="20"/>
        </w:rPr>
        <w:lastRenderedPageBreak/>
        <w:t> </w:t>
      </w:r>
    </w:p>
    <w:p w14:paraId="164E9B0F" w14:textId="77777777" w:rsidR="00000000" w:rsidRDefault="002F725F">
      <w:pPr>
        <w:pStyle w:val="NormalWeb"/>
        <w:spacing w:before="0" w:beforeAutospacing="0" w:after="0" w:afterAutospacing="0"/>
        <w:jc w:val="center"/>
        <w:divId w:val="415980837"/>
        <w:rPr>
          <w:sz w:val="20"/>
          <w:szCs w:val="20"/>
        </w:rPr>
      </w:pPr>
      <w:bookmarkStart w:id="24" w:name="gfpea028961701ex99-a1.htmk_005"/>
      <w:bookmarkEnd w:id="24"/>
      <w:r>
        <w:rPr>
          <w:b/>
          <w:bCs/>
          <w:sz w:val="20"/>
          <w:szCs w:val="20"/>
        </w:rPr>
        <w:t>THE EXTRAORDINARY GENERAL MEETING</w:t>
      </w:r>
    </w:p>
    <w:p w14:paraId="609F55D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BAD905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We are furnishing this proxy statement to you, as a holder of the Shares, as part of the solicitation of proxies by the Special Committee for use at the extraordinary general </w:t>
      </w:r>
      <w:r>
        <w:rPr>
          <w:sz w:val="20"/>
          <w:szCs w:val="20"/>
        </w:rPr>
        <w:t>meeting described below.</w:t>
      </w:r>
    </w:p>
    <w:p w14:paraId="2C884FE0"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046D032B" w14:textId="77777777" w:rsidR="00000000" w:rsidRDefault="002F725F">
      <w:pPr>
        <w:pStyle w:val="NormalWeb"/>
        <w:spacing w:before="0" w:beforeAutospacing="0" w:after="0" w:afterAutospacing="0"/>
        <w:jc w:val="both"/>
        <w:divId w:val="415980837"/>
        <w:rPr>
          <w:sz w:val="20"/>
          <w:szCs w:val="20"/>
        </w:rPr>
      </w:pPr>
      <w:r>
        <w:rPr>
          <w:b/>
          <w:bCs/>
          <w:sz w:val="20"/>
          <w:szCs w:val="20"/>
        </w:rPr>
        <w:t>Date, Time and Place of the Extraordinary General Meeting</w:t>
      </w:r>
    </w:p>
    <w:p w14:paraId="651F445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B8D8E8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extraordinary general meeting will be held on  </w:t>
      </w:r>
      <w:r>
        <w:rPr>
          <w:sz w:val="20"/>
          <w:szCs w:val="20"/>
          <w:u w:val="single"/>
        </w:rPr>
        <w:t>                             </w:t>
      </w:r>
      <w:r>
        <w:rPr>
          <w:sz w:val="20"/>
          <w:szCs w:val="20"/>
        </w:rPr>
        <w:t xml:space="preserve">, at  </w:t>
      </w:r>
      <w:r>
        <w:rPr>
          <w:sz w:val="20"/>
          <w:szCs w:val="20"/>
          <w:u w:val="single"/>
        </w:rPr>
        <w:t>                                      </w:t>
      </w:r>
      <w:r>
        <w:rPr>
          <w:sz w:val="20"/>
          <w:szCs w:val="20"/>
        </w:rPr>
        <w:t xml:space="preserve">a.m. (Beijing Time) at  </w:t>
      </w:r>
      <w:r>
        <w:rPr>
          <w:sz w:val="20"/>
          <w:szCs w:val="20"/>
          <w:u w:val="single"/>
        </w:rPr>
        <w:t>                     </w:t>
      </w:r>
      <w:r>
        <w:rPr>
          <w:sz w:val="20"/>
          <w:szCs w:val="20"/>
          <w:u w:val="single"/>
        </w:rPr>
        <w:t>       </w:t>
      </w:r>
      <w:r>
        <w:rPr>
          <w:sz w:val="20"/>
          <w:szCs w:val="20"/>
        </w:rPr>
        <w:t>.</w:t>
      </w:r>
    </w:p>
    <w:p w14:paraId="00A1B17B"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56226677" w14:textId="77777777" w:rsidR="00000000" w:rsidRDefault="002F725F">
      <w:pPr>
        <w:pStyle w:val="NormalWeb"/>
        <w:spacing w:before="0" w:beforeAutospacing="0" w:after="0" w:afterAutospacing="0"/>
        <w:jc w:val="both"/>
        <w:divId w:val="415980837"/>
        <w:rPr>
          <w:sz w:val="20"/>
          <w:szCs w:val="20"/>
        </w:rPr>
      </w:pPr>
      <w:r>
        <w:rPr>
          <w:b/>
          <w:bCs/>
          <w:sz w:val="20"/>
          <w:szCs w:val="20"/>
        </w:rPr>
        <w:t>Proposals to be Considered at the Extraordinary General Meeting</w:t>
      </w:r>
    </w:p>
    <w:p w14:paraId="00C1D89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79E293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the meeting, you will be asked to consider and vote upon:</w:t>
      </w:r>
    </w:p>
    <w:p w14:paraId="799FE417"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3F9E071" w14:textId="77777777">
        <w:trPr>
          <w:divId w:val="415980837"/>
          <w:tblCellSpacing w:w="0" w:type="dxa"/>
        </w:trPr>
        <w:tc>
          <w:tcPr>
            <w:tcW w:w="720" w:type="dxa"/>
            <w:hideMark/>
          </w:tcPr>
          <w:p w14:paraId="05FE4C25" w14:textId="77777777" w:rsidR="00000000" w:rsidRDefault="002F725F">
            <w:pPr>
              <w:rPr>
                <w:sz w:val="20"/>
                <w:szCs w:val="20"/>
              </w:rPr>
            </w:pPr>
          </w:p>
        </w:tc>
        <w:tc>
          <w:tcPr>
            <w:tcW w:w="360" w:type="dxa"/>
            <w:hideMark/>
          </w:tcPr>
          <w:p w14:paraId="07BBD407" w14:textId="77777777" w:rsidR="00000000" w:rsidRDefault="002F725F">
            <w:pPr>
              <w:rPr>
                <w:rFonts w:eastAsia="Times New Roman"/>
                <w:sz w:val="20"/>
                <w:szCs w:val="20"/>
              </w:rPr>
            </w:pPr>
            <w:r>
              <w:rPr>
                <w:rFonts w:eastAsia="Times New Roman"/>
                <w:sz w:val="20"/>
                <w:szCs w:val="20"/>
              </w:rPr>
              <w:t>●</w:t>
            </w:r>
          </w:p>
        </w:tc>
        <w:tc>
          <w:tcPr>
            <w:tcW w:w="0" w:type="auto"/>
            <w:hideMark/>
          </w:tcPr>
          <w:p w14:paraId="4BC1C6F1" w14:textId="77777777" w:rsidR="00000000" w:rsidRDefault="002F725F">
            <w:pPr>
              <w:jc w:val="both"/>
              <w:rPr>
                <w:rFonts w:eastAsia="Times New Roman"/>
                <w:sz w:val="20"/>
                <w:szCs w:val="20"/>
              </w:rPr>
            </w:pPr>
            <w:r>
              <w:rPr>
                <w:rFonts w:eastAsia="Times New Roman"/>
                <w:sz w:val="20"/>
                <w:szCs w:val="20"/>
              </w:rPr>
              <w:t>as special resolutions:</w:t>
            </w:r>
          </w:p>
        </w:tc>
      </w:tr>
    </w:tbl>
    <w:p w14:paraId="0424478A"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 </w:t>
      </w:r>
    </w:p>
    <w:p w14:paraId="7ED92F9A"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THAT</w:t>
      </w:r>
      <w:r>
        <w:rPr>
          <w:sz w:val="20"/>
          <w:szCs w:val="20"/>
        </w:rPr>
        <w:t xml:space="preserve"> </w:t>
      </w:r>
      <w:r>
        <w:rPr>
          <w:sz w:val="20"/>
          <w:szCs w:val="20"/>
        </w:rPr>
        <w:t>the Merger Agreement, the Plan of Merger and the consummation of the Transactions, including the Merger, the Variation of Share Capital and the Adoption of Amended M&amp;A, be authorized and approved;</w:t>
      </w:r>
    </w:p>
    <w:p w14:paraId="6D04292B"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 </w:t>
      </w:r>
    </w:p>
    <w:p w14:paraId="53AC4B22"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THAT</w:t>
      </w:r>
      <w:r>
        <w:rPr>
          <w:sz w:val="20"/>
          <w:szCs w:val="20"/>
        </w:rPr>
        <w:t xml:space="preserve"> each of the members of the Special Committee be auth</w:t>
      </w:r>
      <w:r>
        <w:rPr>
          <w:sz w:val="20"/>
          <w:szCs w:val="20"/>
        </w:rPr>
        <w:t>orized to do all things necessary to give effect to the Merger Agreement, the Plan of Merger and the consummation of the Transactions, including the Merger, the Variation of Share Capital and the Adoption of Amended M&amp;A; and</w:t>
      </w:r>
    </w:p>
    <w:p w14:paraId="13CB4294"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2683C41" w14:textId="77777777">
        <w:trPr>
          <w:divId w:val="415980837"/>
          <w:tblCellSpacing w:w="0" w:type="dxa"/>
        </w:trPr>
        <w:tc>
          <w:tcPr>
            <w:tcW w:w="720" w:type="dxa"/>
            <w:hideMark/>
          </w:tcPr>
          <w:p w14:paraId="77C5D877" w14:textId="77777777" w:rsidR="00000000" w:rsidRDefault="002F725F">
            <w:pPr>
              <w:rPr>
                <w:sz w:val="20"/>
                <w:szCs w:val="20"/>
              </w:rPr>
            </w:pPr>
          </w:p>
        </w:tc>
        <w:tc>
          <w:tcPr>
            <w:tcW w:w="360" w:type="dxa"/>
            <w:hideMark/>
          </w:tcPr>
          <w:p w14:paraId="7C0E4FFA" w14:textId="77777777" w:rsidR="00000000" w:rsidRDefault="002F725F">
            <w:pPr>
              <w:rPr>
                <w:rFonts w:eastAsia="Times New Roman"/>
                <w:sz w:val="20"/>
                <w:szCs w:val="20"/>
              </w:rPr>
            </w:pPr>
            <w:r>
              <w:rPr>
                <w:rFonts w:eastAsia="Times New Roman"/>
                <w:sz w:val="20"/>
                <w:szCs w:val="20"/>
              </w:rPr>
              <w:t>●</w:t>
            </w:r>
          </w:p>
        </w:tc>
        <w:tc>
          <w:tcPr>
            <w:tcW w:w="0" w:type="auto"/>
            <w:hideMark/>
          </w:tcPr>
          <w:p w14:paraId="4C1F28AC" w14:textId="77777777" w:rsidR="00000000" w:rsidRDefault="002F725F">
            <w:pPr>
              <w:jc w:val="both"/>
              <w:rPr>
                <w:rFonts w:eastAsia="Times New Roman"/>
                <w:sz w:val="20"/>
                <w:szCs w:val="20"/>
              </w:rPr>
            </w:pPr>
            <w:r>
              <w:rPr>
                <w:rFonts w:eastAsia="Times New Roman"/>
                <w:sz w:val="20"/>
                <w:szCs w:val="20"/>
              </w:rPr>
              <w:t>if necessary, as an ordina</w:t>
            </w:r>
            <w:r>
              <w:rPr>
                <w:rFonts w:eastAsia="Times New Roman"/>
                <w:sz w:val="20"/>
                <w:szCs w:val="20"/>
              </w:rPr>
              <w:t>ry resolution:</w:t>
            </w:r>
          </w:p>
        </w:tc>
      </w:tr>
    </w:tbl>
    <w:p w14:paraId="53DC676C"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 </w:t>
      </w:r>
    </w:p>
    <w:p w14:paraId="497883F5"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THAT</w:t>
      </w:r>
      <w:r>
        <w:rPr>
          <w:sz w:val="20"/>
          <w:szCs w:val="20"/>
        </w:rPr>
        <w:t xml:space="preserve"> the extraordinary general meeting be adjourned in order to allow the Company to solicit additional proxies in the event that there are insufficient proxies received at the time of the extraordinary general meeting to pass the special</w:t>
      </w:r>
      <w:r>
        <w:rPr>
          <w:sz w:val="20"/>
          <w:szCs w:val="20"/>
        </w:rPr>
        <w:t xml:space="preserve"> resolutions to be proposed at the extraordinary general meeting.</w:t>
      </w:r>
    </w:p>
    <w:p w14:paraId="2F6B332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E96679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At the Effective Time, all Shares will be cancelled and cease to exist. </w:t>
      </w:r>
      <w:r>
        <w:rPr>
          <w:sz w:val="20"/>
          <w:szCs w:val="20"/>
        </w:rPr>
        <w:t>If the Merger is consummated, each Share issued and outstanding immediately prior to the Effective Time, other than the Excluded Shares and the Dissenting Shares, will be cancelled in exchange for the right to receive US$0.066 in cash per Share without int</w:t>
      </w:r>
      <w:r>
        <w:rPr>
          <w:sz w:val="20"/>
          <w:szCs w:val="20"/>
        </w:rPr>
        <w:t>erest and net of any applicable withholding taxes in accordance with the terms and conditions set forth in the Merger Agreement. The Excluded Shares will be cancelled and cease to exist without payment of any consideration or distribution therefor. The Dis</w:t>
      </w:r>
      <w:r>
        <w:rPr>
          <w:sz w:val="20"/>
          <w:szCs w:val="20"/>
        </w:rPr>
        <w:t>senting Shares will thereafter represent only the right to receive the fair value of each Share as determined by the Grand Court of the Cayman Islands under Section 238 of the Cayman Islands Companies Act.</w:t>
      </w:r>
    </w:p>
    <w:p w14:paraId="2B11C2F6" w14:textId="77777777" w:rsidR="00000000" w:rsidRDefault="002F725F">
      <w:pPr>
        <w:pStyle w:val="NormalWeb"/>
        <w:spacing w:before="0" w:beforeAutospacing="0" w:after="0" w:afterAutospacing="0"/>
        <w:divId w:val="415980837"/>
        <w:rPr>
          <w:sz w:val="20"/>
          <w:szCs w:val="20"/>
        </w:rPr>
      </w:pPr>
      <w:r>
        <w:rPr>
          <w:sz w:val="20"/>
          <w:szCs w:val="20"/>
        </w:rPr>
        <w:t> </w:t>
      </w:r>
    </w:p>
    <w:p w14:paraId="6371116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From and after the Effective Time, each Company </w:t>
      </w:r>
      <w:r>
        <w:rPr>
          <w:sz w:val="20"/>
          <w:szCs w:val="20"/>
        </w:rPr>
        <w:t>Warrant will, by virtue of the Merger, be treated in the manner as set forth in the Warrant Agreement.</w:t>
      </w:r>
    </w:p>
    <w:p w14:paraId="03B6C6C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5F3EED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Pursuant to Section 4.5 of the Warrant Agreement, in the case of any merger or consolidation of the Company with or into another corporation (other tha</w:t>
      </w:r>
      <w:r>
        <w:rPr>
          <w:sz w:val="20"/>
          <w:szCs w:val="20"/>
        </w:rPr>
        <w:t xml:space="preserve">n a consolidation or merger in which the Company is the continuing corporation and that does not result in any reclassification or reorganization of the issued and outstanding Shares), the holders of the Company Warrants shall thereafter have the right to </w:t>
      </w:r>
      <w:r>
        <w:rPr>
          <w:sz w:val="20"/>
          <w:szCs w:val="20"/>
        </w:rPr>
        <w:t>purchase and receive, upon the basis and upon the terms and conditions specified in the Company Warrants and in lieu of the Shares immediately theretofore purchasable and receivable upon the exercise of the rights represented thereby, the kind and amount o</w:t>
      </w:r>
      <w:r>
        <w:rPr>
          <w:sz w:val="20"/>
          <w:szCs w:val="20"/>
        </w:rPr>
        <w:t>f shares or stock or other securities or property (including cash) receivable upon such merger or consolidation, that the holder of the Company Warrants would have received if such holder had exercised his, her or its Company Warrant(s) immediately prior t</w:t>
      </w:r>
      <w:r>
        <w:rPr>
          <w:sz w:val="20"/>
          <w:szCs w:val="20"/>
        </w:rPr>
        <w:t>o such event. Accordingly, as a result of the Merger and immediately after the Effective Time, the holder(s) of each of the Company Warrants that is issued and outstanding immediately prior to the Effective Time will have the right to receive US$0.0066 (be</w:t>
      </w:r>
      <w:r>
        <w:rPr>
          <w:sz w:val="20"/>
          <w:szCs w:val="20"/>
        </w:rPr>
        <w:t>ing one-tenth of the Per Share Merger Consideration as one Company Warrant is exercisable for one-tenth of a Share) per Company Warrant in cash, upon the exercise of such Company Warrant by paying US$11.5, the exercise price per Company Warrant, to the Sur</w:t>
      </w:r>
      <w:r>
        <w:rPr>
          <w:sz w:val="20"/>
          <w:szCs w:val="20"/>
        </w:rPr>
        <w:t>viving Company.</w:t>
      </w:r>
    </w:p>
    <w:p w14:paraId="4A1EC3A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9451984"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Section 4.5 of the Warrant Agreement further provides that, if less than 70% of the consideration receivable by the holders of the Shares in such a transaction is payable in the form of shares in the successor entity that is listed for tr</w:t>
      </w:r>
      <w:r>
        <w:rPr>
          <w:sz w:val="20"/>
          <w:szCs w:val="20"/>
        </w:rPr>
        <w:t>ading on a national securities exchange or is quoted in an established over-the-counter market, or is to be so listed for trading or quoted immediately following such event, and if the registered holder of the Company Warrant properly exercises the Company</w:t>
      </w:r>
      <w:r>
        <w:rPr>
          <w:sz w:val="20"/>
          <w:szCs w:val="20"/>
        </w:rPr>
        <w:t xml:space="preserve"> Warrant within thirty days following public disclosure of the consummation of such applicable event by the Company, the warrant exercise price will be reduced as specified in the Warrant Agreement based on the Black-Scholes value (as defined in the Warran</w:t>
      </w:r>
      <w:r>
        <w:rPr>
          <w:sz w:val="20"/>
          <w:szCs w:val="20"/>
        </w:rPr>
        <w:t>t Agreement) of the Company Warrant.</w:t>
      </w:r>
    </w:p>
    <w:p w14:paraId="0AF09EBE"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C06A4EE" w14:textId="77777777" w:rsidR="00000000" w:rsidRDefault="002F725F">
      <w:pPr>
        <w:pStyle w:val="NormalWeb"/>
        <w:spacing w:before="0" w:beforeAutospacing="0" w:after="0" w:afterAutospacing="0"/>
        <w:jc w:val="center"/>
        <w:divId w:val="1558589528"/>
        <w:rPr>
          <w:sz w:val="20"/>
          <w:szCs w:val="20"/>
        </w:rPr>
      </w:pPr>
      <w:r>
        <w:rPr>
          <w:sz w:val="20"/>
          <w:szCs w:val="20"/>
        </w:rPr>
        <w:t>7</w:t>
      </w:r>
      <w:r>
        <w:rPr>
          <w:sz w:val="20"/>
          <w:szCs w:val="20"/>
        </w:rPr>
        <w:t>6</w:t>
      </w:r>
    </w:p>
    <w:p w14:paraId="35F22A5C" w14:textId="77777777" w:rsidR="00000000" w:rsidRDefault="002F725F">
      <w:pPr>
        <w:pStyle w:val="NormalWeb"/>
        <w:spacing w:before="0" w:beforeAutospacing="0" w:after="0" w:afterAutospacing="0"/>
        <w:divId w:val="1179734803"/>
        <w:rPr>
          <w:sz w:val="20"/>
          <w:szCs w:val="20"/>
        </w:rPr>
      </w:pPr>
      <w:r>
        <w:rPr>
          <w:sz w:val="20"/>
          <w:szCs w:val="20"/>
        </w:rPr>
        <w:t> </w:t>
      </w:r>
    </w:p>
    <w:p w14:paraId="264FD47B"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F9729F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or prior to the Effective Time, the Company will terminate the Share Incentive Plans and all award agreements entered into under Company Options and Company RSUs, effective as of the Effective Time.</w:t>
      </w:r>
    </w:p>
    <w:p w14:paraId="45325DF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84BE07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Each C</w:t>
      </w:r>
      <w:r>
        <w:rPr>
          <w:sz w:val="20"/>
          <w:szCs w:val="20"/>
        </w:rPr>
        <w:t xml:space="preserve">ompany Option granted under the 2020 Plan that is not vested and is outstanding immediately prior to the Effective Time will become fully vested as of the Effective Time. Each Company Option granted under the 2020 Plan that is fully vested and outstanding </w:t>
      </w:r>
      <w:r>
        <w:rPr>
          <w:sz w:val="20"/>
          <w:szCs w:val="20"/>
        </w:rPr>
        <w:t xml:space="preserve">immediately prior to the Effective Time and the unvested Company Options that become fully vested as of the Effective Time pursuant to the preceding sentence will be cancelled as of the Effective Time and immediately converted into the right to receive in </w:t>
      </w:r>
      <w:r>
        <w:rPr>
          <w:sz w:val="20"/>
          <w:szCs w:val="20"/>
        </w:rPr>
        <w:t xml:space="preserve">exchange therefor an amount of cash equal to (i) the excess, if any, of (A) the Per Share Merger Consideration over (B) the exercise price of such Company Option, multiplied by (ii) the number of Shares underlying such Company Option, which amount will be </w:t>
      </w:r>
      <w:r>
        <w:rPr>
          <w:sz w:val="20"/>
          <w:szCs w:val="20"/>
        </w:rPr>
        <w:t>paid as soon as reasonably practicable following the Effective Time by the Surviving Company pursuant to the ordinary payroll practices; provided, that if the exercise price of any such vested Company Option is equal to or greater than the Per Share Merger</w:t>
      </w:r>
      <w:r>
        <w:rPr>
          <w:sz w:val="20"/>
          <w:szCs w:val="20"/>
        </w:rPr>
        <w:t xml:space="preserve"> Consideration, such vested Company Option will be cancelled without any payment therefor.</w:t>
      </w:r>
    </w:p>
    <w:p w14:paraId="51EFFCB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EBFDCF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Each Company RSU granted under the 2020 Plan that is not vested and is outstanding immediately prior to the Effective Time will become fully vested immediately pri</w:t>
      </w:r>
      <w:r>
        <w:rPr>
          <w:sz w:val="20"/>
          <w:szCs w:val="20"/>
        </w:rPr>
        <w:t>or to the Effective Time. Each Company RSU granted under the 2020 Plan that is fully vested and outstanding immediately prior to the Effective Time and the unvested Company RSUs that become fully vested as of the Effective Time pursuant to the preceding se</w:t>
      </w:r>
      <w:r>
        <w:rPr>
          <w:sz w:val="20"/>
          <w:szCs w:val="20"/>
        </w:rPr>
        <w:t>ntence will be cancelled as of the Effective Time and immediately converted into the right to receive in exchange therefor an amount of cash equal to (i) the Per Share Merger Consideration, multiplied by (ii) the number of Shares subject to such Company RS</w:t>
      </w:r>
      <w:r>
        <w:rPr>
          <w:sz w:val="20"/>
          <w:szCs w:val="20"/>
        </w:rPr>
        <w:t>Us, which amount will be paid as soon as reasonably practicable following the Effective Time by the Surviving Company pursuant to the ordinary payroll practices.</w:t>
      </w:r>
    </w:p>
    <w:p w14:paraId="218DB93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5065A3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the Effective Time, except as otherwise agreed to in writing between a holder of a Compan</w:t>
      </w:r>
      <w:r>
        <w:rPr>
          <w:sz w:val="20"/>
          <w:szCs w:val="20"/>
        </w:rPr>
        <w:t>y Option and Parent, each Company Option under the 2024 Plan, whether vested or unvested, will be assumed by Parent as an option to purchase Parent Shares under an equity incentive plan to be established by Parent, exercisable into a number of Parent Share</w:t>
      </w:r>
      <w:r>
        <w:rPr>
          <w:sz w:val="20"/>
          <w:szCs w:val="20"/>
        </w:rPr>
        <w:t>s equal to the product of (i) the number of Shares subject to the corresponding Company Option immediately prior to the Effective Time, multiplied by (ii) the Exchange Ratio, and rounding such product down to the nearest whole number of Parent Shares, with</w:t>
      </w:r>
      <w:r>
        <w:rPr>
          <w:sz w:val="20"/>
          <w:szCs w:val="20"/>
        </w:rPr>
        <w:t xml:space="preserve"> an exercise price per share subject to the assumed option equal to the exercise price for which the corresponding Company Option was exercisable immediately prior to the Effective Time divided by the Exchange Ratio, and rounded up to the nearest whole cen</w:t>
      </w:r>
      <w:r>
        <w:rPr>
          <w:sz w:val="20"/>
          <w:szCs w:val="20"/>
        </w:rPr>
        <w:t>t. Except as provided above, each assumed option will continue to have, and be subject to, the same terms and conditions as the corresponding Company Option set forth in the 2024 Plan and the applicable award agreement as in effect immediately prior to the</w:t>
      </w:r>
      <w:r>
        <w:rPr>
          <w:sz w:val="20"/>
          <w:szCs w:val="20"/>
        </w:rPr>
        <w:t xml:space="preserve"> Effective Time.</w:t>
      </w:r>
    </w:p>
    <w:p w14:paraId="6FBF48B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8558DC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the Effective Time, except as otherwise agreed to in writing between a holder of a Company RSU and Parent, each Company RSU under the 2024 Plan, whether vested or unvested, will be assumed by Parent as a restricted stock unit award wi</w:t>
      </w:r>
      <w:r>
        <w:rPr>
          <w:sz w:val="20"/>
          <w:szCs w:val="20"/>
        </w:rPr>
        <w:t>th respect to a number of Parent Shares equal to the product of (i) the number of Shares subject to such Company RSU immediately prior to the Effective Time, multiplied by (ii) the Exchange Ratio, rounding such product down to the nearest whole number of P</w:t>
      </w:r>
      <w:r>
        <w:rPr>
          <w:sz w:val="20"/>
          <w:szCs w:val="20"/>
        </w:rPr>
        <w:t>arent Shares. Except as provided above, each assumed restricted stock unit award will continue to have, and be subject to, the same terms and conditions as the corresponding Company RSU set forth in the 2024 Plan and the applicable award agreement as in ef</w:t>
      </w:r>
      <w:r>
        <w:rPr>
          <w:sz w:val="20"/>
          <w:szCs w:val="20"/>
        </w:rPr>
        <w:t>fect immediately prior to the Effective Time.</w:t>
      </w:r>
    </w:p>
    <w:p w14:paraId="252D5B39"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p w14:paraId="58114F3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Parent may seek, prior to the closing date, to agree with an individual holder of any Company Options or Company RSUs that all or a portion of such holder’s Company Options or Company RSUs will not be treated</w:t>
      </w:r>
      <w:r>
        <w:rPr>
          <w:sz w:val="20"/>
          <w:szCs w:val="20"/>
        </w:rPr>
        <w:t xml:space="preserve"> as provided in the Merger Agreement, but will instead be treated as otherwise agreed by and among such holder, the Company and Parent; provided, that in no event will such arrangement result in the assumption, substitution or continuation of such Company </w:t>
      </w:r>
      <w:r>
        <w:rPr>
          <w:sz w:val="20"/>
          <w:szCs w:val="20"/>
        </w:rPr>
        <w:t>Options or Company RSUs with terms and conditions that provide additional benefits to such individual holder as compared to terms and conditions in effect immediately prior to the Effective Time. The Company agrees that, to the extent that Parent has ident</w:t>
      </w:r>
      <w:r>
        <w:rPr>
          <w:sz w:val="20"/>
          <w:szCs w:val="20"/>
        </w:rPr>
        <w:t>ified to the Company in writing, at least 15 days prior to the closing date, the individuals with whom it is seeking agreement with respect to such Company Options or Company RSUs, the Company will use commercially reasonable efforts to facilitate Parent’s</w:t>
      </w:r>
      <w:r>
        <w:rPr>
          <w:sz w:val="20"/>
          <w:szCs w:val="20"/>
        </w:rPr>
        <w:t xml:space="preserve"> access to such individuals in order to discuss such alternative arrangement.</w:t>
      </w:r>
    </w:p>
    <w:p w14:paraId="2B187242"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63E404D2" w14:textId="77777777" w:rsidR="00000000" w:rsidRDefault="002F725F">
      <w:pPr>
        <w:pStyle w:val="NormalWeb"/>
        <w:spacing w:before="0" w:beforeAutospacing="0" w:after="0" w:afterAutospacing="0"/>
        <w:jc w:val="center"/>
        <w:divId w:val="402532926"/>
        <w:rPr>
          <w:sz w:val="20"/>
          <w:szCs w:val="20"/>
        </w:rPr>
      </w:pPr>
      <w:r>
        <w:rPr>
          <w:sz w:val="20"/>
          <w:szCs w:val="20"/>
        </w:rPr>
        <w:t>7</w:t>
      </w:r>
      <w:r>
        <w:rPr>
          <w:sz w:val="20"/>
          <w:szCs w:val="20"/>
        </w:rPr>
        <w:t>7</w:t>
      </w:r>
    </w:p>
    <w:p w14:paraId="3D99EAFE" w14:textId="77777777" w:rsidR="00000000" w:rsidRDefault="002F725F">
      <w:pPr>
        <w:pStyle w:val="NormalWeb"/>
        <w:spacing w:before="0" w:beforeAutospacing="0" w:after="0" w:afterAutospacing="0"/>
        <w:divId w:val="455611517"/>
        <w:rPr>
          <w:sz w:val="20"/>
          <w:szCs w:val="20"/>
        </w:rPr>
      </w:pPr>
      <w:r>
        <w:rPr>
          <w:sz w:val="20"/>
          <w:szCs w:val="20"/>
        </w:rPr>
        <w:t> </w:t>
      </w:r>
    </w:p>
    <w:p w14:paraId="54D8F208"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21C9FBFE" w14:textId="77777777" w:rsidR="00000000" w:rsidRDefault="002F725F">
      <w:pPr>
        <w:pStyle w:val="NormalWeb"/>
        <w:spacing w:before="0" w:beforeAutospacing="0" w:after="0" w:afterAutospacing="0"/>
        <w:jc w:val="both"/>
        <w:divId w:val="415980837"/>
        <w:rPr>
          <w:sz w:val="20"/>
          <w:szCs w:val="20"/>
        </w:rPr>
      </w:pPr>
      <w:r>
        <w:rPr>
          <w:b/>
          <w:bCs/>
          <w:sz w:val="20"/>
          <w:szCs w:val="20"/>
        </w:rPr>
        <w:t>The Board’s Recommendation</w:t>
      </w:r>
    </w:p>
    <w:p w14:paraId="5CD5060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354402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Board, acting on the unanimous recommendation of the Special Committee:</w:t>
      </w:r>
    </w:p>
    <w:p w14:paraId="022F3387"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97ABD64" w14:textId="77777777">
        <w:trPr>
          <w:divId w:val="415980837"/>
          <w:tblCellSpacing w:w="0" w:type="dxa"/>
        </w:trPr>
        <w:tc>
          <w:tcPr>
            <w:tcW w:w="720" w:type="dxa"/>
            <w:hideMark/>
          </w:tcPr>
          <w:p w14:paraId="67D87D9C" w14:textId="77777777" w:rsidR="00000000" w:rsidRDefault="002F725F">
            <w:pPr>
              <w:rPr>
                <w:sz w:val="20"/>
                <w:szCs w:val="20"/>
              </w:rPr>
            </w:pPr>
          </w:p>
        </w:tc>
        <w:tc>
          <w:tcPr>
            <w:tcW w:w="360" w:type="dxa"/>
            <w:hideMark/>
          </w:tcPr>
          <w:p w14:paraId="7757B305" w14:textId="77777777" w:rsidR="00000000" w:rsidRDefault="002F725F">
            <w:pPr>
              <w:rPr>
                <w:rFonts w:eastAsia="Times New Roman"/>
                <w:sz w:val="20"/>
                <w:szCs w:val="20"/>
              </w:rPr>
            </w:pPr>
            <w:r>
              <w:rPr>
                <w:rFonts w:eastAsia="Times New Roman"/>
                <w:sz w:val="20"/>
                <w:szCs w:val="20"/>
              </w:rPr>
              <w:t>●</w:t>
            </w:r>
          </w:p>
        </w:tc>
        <w:tc>
          <w:tcPr>
            <w:tcW w:w="0" w:type="auto"/>
            <w:hideMark/>
          </w:tcPr>
          <w:p w14:paraId="7A7BC67E" w14:textId="77777777" w:rsidR="00000000" w:rsidRDefault="002F725F">
            <w:pPr>
              <w:jc w:val="both"/>
              <w:rPr>
                <w:rFonts w:eastAsia="Times New Roman"/>
                <w:sz w:val="20"/>
                <w:szCs w:val="20"/>
              </w:rPr>
            </w:pPr>
            <w:r>
              <w:rPr>
                <w:rFonts w:eastAsia="Times New Roman"/>
                <w:sz w:val="20"/>
                <w:szCs w:val="20"/>
              </w:rPr>
              <w:t xml:space="preserve">determined that the Merger as contemplated in the Merger Agreement and the Plan of Merger is fair to and in the best interests of the Company and the Unaffiliated Security Holders and it is advisable for the Company to enter into the Merger Agreement, the </w:t>
            </w:r>
            <w:r>
              <w:rPr>
                <w:rFonts w:eastAsia="Times New Roman"/>
                <w:sz w:val="20"/>
                <w:szCs w:val="20"/>
              </w:rPr>
              <w:t>Plan of Merger and to consummate the Transactions;</w:t>
            </w:r>
          </w:p>
        </w:tc>
      </w:tr>
    </w:tbl>
    <w:p w14:paraId="74C09BA3"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FD8D81E" w14:textId="77777777">
        <w:trPr>
          <w:divId w:val="415980837"/>
          <w:tblCellSpacing w:w="0" w:type="dxa"/>
        </w:trPr>
        <w:tc>
          <w:tcPr>
            <w:tcW w:w="720" w:type="dxa"/>
            <w:hideMark/>
          </w:tcPr>
          <w:p w14:paraId="1C1FB53A" w14:textId="77777777" w:rsidR="00000000" w:rsidRDefault="002F725F">
            <w:pPr>
              <w:rPr>
                <w:sz w:val="20"/>
                <w:szCs w:val="20"/>
              </w:rPr>
            </w:pPr>
          </w:p>
        </w:tc>
        <w:tc>
          <w:tcPr>
            <w:tcW w:w="360" w:type="dxa"/>
            <w:hideMark/>
          </w:tcPr>
          <w:p w14:paraId="07783309" w14:textId="77777777" w:rsidR="00000000" w:rsidRDefault="002F725F">
            <w:pPr>
              <w:rPr>
                <w:rFonts w:eastAsia="Times New Roman"/>
                <w:sz w:val="20"/>
                <w:szCs w:val="20"/>
              </w:rPr>
            </w:pPr>
            <w:r>
              <w:rPr>
                <w:rFonts w:eastAsia="Times New Roman"/>
                <w:sz w:val="20"/>
                <w:szCs w:val="20"/>
              </w:rPr>
              <w:t>●</w:t>
            </w:r>
          </w:p>
        </w:tc>
        <w:tc>
          <w:tcPr>
            <w:tcW w:w="0" w:type="auto"/>
            <w:hideMark/>
          </w:tcPr>
          <w:p w14:paraId="294AA641" w14:textId="77777777" w:rsidR="00000000" w:rsidRDefault="002F725F">
            <w:pPr>
              <w:jc w:val="both"/>
              <w:rPr>
                <w:rFonts w:eastAsia="Times New Roman"/>
                <w:sz w:val="20"/>
                <w:szCs w:val="20"/>
              </w:rPr>
            </w:pPr>
            <w:r>
              <w:rPr>
                <w:rFonts w:eastAsia="Times New Roman"/>
                <w:sz w:val="20"/>
                <w:szCs w:val="20"/>
              </w:rPr>
              <w:t>authorized and approved the execution, delivery and performance of the Merger Agreement, the Plan of Merger, and the consummation of the Transactions; and</w:t>
            </w:r>
          </w:p>
        </w:tc>
      </w:tr>
    </w:tbl>
    <w:p w14:paraId="2CE7BBD5"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3670C21" w14:textId="77777777">
        <w:trPr>
          <w:divId w:val="415980837"/>
          <w:tblCellSpacing w:w="0" w:type="dxa"/>
        </w:trPr>
        <w:tc>
          <w:tcPr>
            <w:tcW w:w="720" w:type="dxa"/>
            <w:hideMark/>
          </w:tcPr>
          <w:p w14:paraId="511DB86A" w14:textId="77777777" w:rsidR="00000000" w:rsidRDefault="002F725F">
            <w:pPr>
              <w:rPr>
                <w:sz w:val="20"/>
                <w:szCs w:val="20"/>
              </w:rPr>
            </w:pPr>
          </w:p>
        </w:tc>
        <w:tc>
          <w:tcPr>
            <w:tcW w:w="360" w:type="dxa"/>
            <w:hideMark/>
          </w:tcPr>
          <w:p w14:paraId="7C3892C5" w14:textId="77777777" w:rsidR="00000000" w:rsidRDefault="002F725F">
            <w:pPr>
              <w:rPr>
                <w:rFonts w:eastAsia="Times New Roman"/>
                <w:sz w:val="20"/>
                <w:szCs w:val="20"/>
              </w:rPr>
            </w:pPr>
            <w:r>
              <w:rPr>
                <w:rFonts w:eastAsia="Times New Roman"/>
                <w:sz w:val="20"/>
                <w:szCs w:val="20"/>
              </w:rPr>
              <w:t>●</w:t>
            </w:r>
          </w:p>
        </w:tc>
        <w:tc>
          <w:tcPr>
            <w:tcW w:w="0" w:type="auto"/>
            <w:hideMark/>
          </w:tcPr>
          <w:p w14:paraId="21638EB9" w14:textId="77777777" w:rsidR="00000000" w:rsidRDefault="002F725F">
            <w:pPr>
              <w:jc w:val="both"/>
              <w:rPr>
                <w:rFonts w:eastAsia="Times New Roman"/>
                <w:sz w:val="20"/>
                <w:szCs w:val="20"/>
              </w:rPr>
            </w:pPr>
            <w:r>
              <w:rPr>
                <w:rFonts w:eastAsia="Times New Roman"/>
                <w:sz w:val="20"/>
                <w:szCs w:val="20"/>
              </w:rPr>
              <w:t>resolved to recommend in favor of the authorization and approval of the Merger Agreement, the Plan of Merger and the consummation of the Transactions, to the shareholders of the Company and directed that the Merger Agreement, the Plan of Merger and the con</w:t>
            </w:r>
            <w:r>
              <w:rPr>
                <w:rFonts w:eastAsia="Times New Roman"/>
                <w:sz w:val="20"/>
                <w:szCs w:val="20"/>
              </w:rPr>
              <w:t>summation of the Transactions, be submitted to a vote of the shareholders of the Company for authorization and approval.</w:t>
            </w:r>
          </w:p>
        </w:tc>
      </w:tr>
    </w:tbl>
    <w:p w14:paraId="2348F4F4"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40E9F980" w14:textId="77777777" w:rsidR="00000000" w:rsidRDefault="002F725F">
      <w:pPr>
        <w:pStyle w:val="NormalWeb"/>
        <w:spacing w:before="0" w:beforeAutospacing="0" w:after="0" w:afterAutospacing="0"/>
        <w:jc w:val="both"/>
        <w:divId w:val="415980837"/>
        <w:rPr>
          <w:sz w:val="20"/>
          <w:szCs w:val="20"/>
        </w:rPr>
      </w:pPr>
      <w:r>
        <w:rPr>
          <w:b/>
          <w:bCs/>
          <w:sz w:val="20"/>
          <w:szCs w:val="20"/>
        </w:rPr>
        <w:t>Record Date; Shares Entitled to Vote</w:t>
      </w:r>
    </w:p>
    <w:p w14:paraId="6B157A9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20BE91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You are entitled to attend and vote at the extraordinary general meeting if you have Shares r</w:t>
      </w:r>
      <w:r>
        <w:rPr>
          <w:sz w:val="20"/>
          <w:szCs w:val="20"/>
        </w:rPr>
        <w:t xml:space="preserve">egistered in your name as of 5 p.m. Cayman Islands time on the Share Record Date. If you own Shares as of 5 p.m. Cayman Islands time on the Share Record Date, you should lodge your proxy card so that the proxy card is received by the Company no later than </w:t>
      </w:r>
      <w:r>
        <w:rPr>
          <w:sz w:val="20"/>
          <w:szCs w:val="20"/>
          <w:u w:val="single"/>
        </w:rPr>
        <w:t>                </w:t>
      </w:r>
      <w:r>
        <w:rPr>
          <w:sz w:val="20"/>
          <w:szCs w:val="20"/>
        </w:rPr>
        <w:t xml:space="preserve"> a.m. (Beijing time) on </w:t>
      </w:r>
      <w:r>
        <w:rPr>
          <w:sz w:val="20"/>
          <w:szCs w:val="20"/>
          <w:u w:val="single"/>
        </w:rPr>
        <w:t>                 </w:t>
      </w:r>
      <w:r>
        <w:rPr>
          <w:sz w:val="20"/>
          <w:szCs w:val="20"/>
        </w:rPr>
        <w:t>, being 48 hours before the time appointed for the extraordinary general meeting.</w:t>
      </w:r>
    </w:p>
    <w:p w14:paraId="0DF8E34E" w14:textId="77777777" w:rsidR="00000000" w:rsidRDefault="002F725F">
      <w:pPr>
        <w:pStyle w:val="NormalWeb"/>
        <w:spacing w:before="0" w:beforeAutospacing="0" w:after="0" w:afterAutospacing="0"/>
        <w:divId w:val="415980837"/>
        <w:rPr>
          <w:sz w:val="20"/>
          <w:szCs w:val="20"/>
        </w:rPr>
      </w:pPr>
      <w:r>
        <w:rPr>
          <w:sz w:val="20"/>
          <w:szCs w:val="20"/>
        </w:rPr>
        <w:t> </w:t>
      </w:r>
    </w:p>
    <w:p w14:paraId="2034EEA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Each registered holder of Shares has one vote for each Share held as of 5 p.m. Cayman Islands time on the Share Rec</w:t>
      </w:r>
      <w:r>
        <w:rPr>
          <w:sz w:val="20"/>
          <w:szCs w:val="20"/>
        </w:rPr>
        <w:t>ord Date. We expect that, as of the Share Record Date, there will be 41,212,693 Shares entitled to be voted at the extraordinary general meeting. See “The Extraordinary General Meeting—Procedures for Voting” below for additional information.</w:t>
      </w:r>
    </w:p>
    <w:p w14:paraId="29B4ECF7"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1CF38737" w14:textId="77777777" w:rsidR="00000000" w:rsidRDefault="002F725F">
      <w:pPr>
        <w:pStyle w:val="NormalWeb"/>
        <w:spacing w:before="0" w:beforeAutospacing="0" w:after="0" w:afterAutospacing="0"/>
        <w:jc w:val="both"/>
        <w:divId w:val="415980837"/>
        <w:rPr>
          <w:sz w:val="20"/>
          <w:szCs w:val="20"/>
        </w:rPr>
      </w:pPr>
      <w:r>
        <w:rPr>
          <w:b/>
          <w:bCs/>
          <w:sz w:val="20"/>
          <w:szCs w:val="20"/>
        </w:rPr>
        <w:t>Quorum</w:t>
      </w:r>
    </w:p>
    <w:p w14:paraId="4597076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E03934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 q</w:t>
      </w:r>
      <w:r>
        <w:rPr>
          <w:sz w:val="20"/>
          <w:szCs w:val="20"/>
        </w:rPr>
        <w:t>uorum of the Company’s registered shareholders is necessary to have a valid shareholders’ meeting. The required quorum for the transaction of business at the extraordinary general meeting is the presence, in person or by proxy (or in the case of a sharehol</w:t>
      </w:r>
      <w:r>
        <w:rPr>
          <w:sz w:val="20"/>
          <w:szCs w:val="20"/>
        </w:rPr>
        <w:t>der being a corporation or other non-natural person, by a duly authorized representative), of one or more shareholders holding Shares which carry in aggregate not less than one-third of all votes attaching to all Shares in issue and entitled to vote at suc</w:t>
      </w:r>
      <w:r>
        <w:rPr>
          <w:sz w:val="20"/>
          <w:szCs w:val="20"/>
        </w:rPr>
        <w:t>h meeting. In the event that a quorum is not present, the extraordinary general meeting will be dissolved and will need to be re-convened.</w:t>
      </w:r>
    </w:p>
    <w:p w14:paraId="7A3689C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9504F7E"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As of 5 p.m. Cayman Islands time on the Share Record Date, the Rollover Shareholders collectively beneficially owne</w:t>
      </w:r>
      <w:r>
        <w:rPr>
          <w:sz w:val="20"/>
          <w:szCs w:val="20"/>
        </w:rPr>
        <w:t>d 21,988,169 Shares, which collectively represented approximately 53.35% of the voting power of the total issued and outstanding Shares. Pursuant to the Support Agreement, each of the Rollover Shareholders has agreed, among other things, (i) to vote, or ca</w:t>
      </w:r>
      <w:r>
        <w:rPr>
          <w:sz w:val="20"/>
          <w:szCs w:val="20"/>
        </w:rPr>
        <w:t>use to be voted, all of the Rollover Shares beneficially owned by it in favor of the authorization and approval of the Merger Agreement, the Plan of Merger and the consummation of the Transactions; and (ii) until the earliest of (x) the closing of the Merg</w:t>
      </w:r>
      <w:r>
        <w:rPr>
          <w:sz w:val="20"/>
          <w:szCs w:val="20"/>
        </w:rPr>
        <w:t>er, (y) the termination of the Merger Agreement, and (z) the written agreement of the Rollover Shareholders, Parent and the Company, not to, directly or indirectly, transfer any shares of Shares owned by it, not to, directly or indirectly, transfer any sha</w:t>
      </w:r>
      <w:r>
        <w:rPr>
          <w:sz w:val="20"/>
          <w:szCs w:val="20"/>
        </w:rPr>
        <w:t>res of Shares owned by it. Accordingly, assuming the Rollover Shareholders comply with their respective obligations under the Support Agreement, the presence of the Shares owned by the Rollover Shareholders at the extraordinary general meeting would ensure</w:t>
      </w:r>
      <w:r>
        <w:rPr>
          <w:sz w:val="20"/>
          <w:szCs w:val="20"/>
        </w:rPr>
        <w:t xml:space="preserve"> a quorum at the extraordinary general meeting.</w:t>
      </w:r>
    </w:p>
    <w:p w14:paraId="3906513E"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42678167" w14:textId="77777777" w:rsidR="00000000" w:rsidRDefault="002F725F">
      <w:pPr>
        <w:pStyle w:val="NormalWeb"/>
        <w:spacing w:before="0" w:beforeAutospacing="0" w:after="0" w:afterAutospacing="0"/>
        <w:jc w:val="both"/>
        <w:divId w:val="415980837"/>
        <w:rPr>
          <w:sz w:val="20"/>
          <w:szCs w:val="20"/>
        </w:rPr>
      </w:pPr>
      <w:r>
        <w:rPr>
          <w:b/>
          <w:bCs/>
          <w:sz w:val="20"/>
          <w:szCs w:val="20"/>
        </w:rPr>
        <w:t>Vote Required</w:t>
      </w:r>
    </w:p>
    <w:p w14:paraId="17DC2A0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4443D2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Under the Cayman Islands Companies Act and the Company’</w:t>
      </w:r>
      <w:r>
        <w:rPr>
          <w:sz w:val="20"/>
          <w:szCs w:val="20"/>
        </w:rPr>
        <w:t xml:space="preserve">s second amended and restated memorandum and articles of association, in order for the Merger to be consummated, the Merger Agreement and the Plan of Merger must be approved by a special resolution of the shareholders of the Company in accordance with the </w:t>
      </w:r>
      <w:r>
        <w:rPr>
          <w:sz w:val="20"/>
          <w:szCs w:val="20"/>
        </w:rPr>
        <w:t>Company’s second amended and restated memorandum and articles of association and the Cayman Islands Companies Act, which requires the affirmative vote of holders of Shares representing not less than two-thirds of the votes cast by such shareholders as, bei</w:t>
      </w:r>
      <w:r>
        <w:rPr>
          <w:sz w:val="20"/>
          <w:szCs w:val="20"/>
        </w:rPr>
        <w:t>ng entitled to do so, vote in person or, where proxies are allowed, by proxy or, in the case of corporations, by their duly authorised representatives, as a single class at the extraordinary general meeting or any adjournment or postponement thereof. If th</w:t>
      </w:r>
      <w:r>
        <w:rPr>
          <w:sz w:val="20"/>
          <w:szCs w:val="20"/>
        </w:rPr>
        <w:t>is vote is not obtained, the Merger will not be consummated.</w:t>
      </w:r>
    </w:p>
    <w:p w14:paraId="78EBFF3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0AB351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In addition, a special resolution of the shareholders of the Company is required to authorize the Special Committee to do all things necessary to give effect to the Merger Agreement, the Plan o</w:t>
      </w:r>
      <w:r>
        <w:rPr>
          <w:sz w:val="20"/>
          <w:szCs w:val="20"/>
        </w:rPr>
        <w:t>f Merger and the consummation of the Transactions, including the Merger, the Variation of Share Capital, and the Adoption of Amended M&amp;A, which is subject to the same two-thirds voting threshold as described above. An ordinary resolution of the shareholder</w:t>
      </w:r>
      <w:r>
        <w:rPr>
          <w:sz w:val="20"/>
          <w:szCs w:val="20"/>
        </w:rPr>
        <w:t>s of the Company is required to adjourn the extraordinary general meeting, if necessary, to allow the Company to solicit additional proxies in the event that there are insufficient proxies received at the time of the extraordinary general meeting to pass t</w:t>
      </w:r>
      <w:r>
        <w:rPr>
          <w:sz w:val="20"/>
          <w:szCs w:val="20"/>
        </w:rPr>
        <w:t>he special resolutions to be proposed at the extraordinary general meeting. Such an ordinary resolution requires the affirmative vote of holders of Shares representing a simple majority of the votes cast by such shareholders as, being entitled to do so, vo</w:t>
      </w:r>
      <w:r>
        <w:rPr>
          <w:sz w:val="20"/>
          <w:szCs w:val="20"/>
        </w:rPr>
        <w:t>te in person or, where proxies are allowed, by proxy or, in the case of corporations, by their duly authorised representatives, as a single class at the extraordinary general meeting or any adjournment or postponement thereof.</w:t>
      </w:r>
    </w:p>
    <w:p w14:paraId="132108FB"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5623330" w14:textId="77777777" w:rsidR="00000000" w:rsidRDefault="002F725F">
      <w:pPr>
        <w:pStyle w:val="NormalWeb"/>
        <w:spacing w:before="0" w:beforeAutospacing="0" w:after="0" w:afterAutospacing="0"/>
        <w:jc w:val="center"/>
        <w:divId w:val="1916278615"/>
        <w:rPr>
          <w:sz w:val="20"/>
          <w:szCs w:val="20"/>
        </w:rPr>
      </w:pPr>
      <w:r>
        <w:rPr>
          <w:sz w:val="20"/>
          <w:szCs w:val="20"/>
        </w:rPr>
        <w:t>7</w:t>
      </w:r>
      <w:r>
        <w:rPr>
          <w:sz w:val="20"/>
          <w:szCs w:val="20"/>
        </w:rPr>
        <w:t>8</w:t>
      </w:r>
    </w:p>
    <w:p w14:paraId="5352A682" w14:textId="77777777" w:rsidR="00000000" w:rsidRDefault="002F725F">
      <w:pPr>
        <w:pStyle w:val="NormalWeb"/>
        <w:spacing w:before="0" w:beforeAutospacing="0" w:after="0" w:afterAutospacing="0"/>
        <w:divId w:val="1962761022"/>
        <w:rPr>
          <w:sz w:val="20"/>
          <w:szCs w:val="20"/>
        </w:rPr>
      </w:pPr>
      <w:r>
        <w:rPr>
          <w:sz w:val="20"/>
          <w:szCs w:val="20"/>
        </w:rPr>
        <w:t> </w:t>
      </w:r>
    </w:p>
    <w:p w14:paraId="24CA9CA0"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0BE75FF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As of the date of th</w:t>
      </w:r>
      <w:r>
        <w:rPr>
          <w:sz w:val="20"/>
          <w:szCs w:val="20"/>
        </w:rPr>
        <w:t>is proxy statement, there are 41,212,693 Shares issued and outstanding, all of which are entitled to vote on the proposals at the extraordinary general meeting, subject to the procedures described below under “The Extraordinary General Meeting—Procedures f</w:t>
      </w:r>
      <w:r>
        <w:rPr>
          <w:sz w:val="20"/>
          <w:szCs w:val="20"/>
        </w:rPr>
        <w:t>or Voting.” We expect that, as of the Share Record Date, there will be 41,212,693 Shares issued and outstanding, all of which will be entitled to vote on the proposals at the extraordinary general meeting, subject to the procedures described below under “T</w:t>
      </w:r>
      <w:r>
        <w:rPr>
          <w:sz w:val="20"/>
          <w:szCs w:val="20"/>
        </w:rPr>
        <w:t>he Extraordinary General Meeting—Procedures for Voting.”</w:t>
      </w:r>
    </w:p>
    <w:p w14:paraId="46598FA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4E7C17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As of the date of this proxy statement, the Rollover Shareholders beneficially own 21,988,169 Shares, which collectively represent approximately 53.35% of the voting power of the total issued and o</w:t>
      </w:r>
      <w:r>
        <w:rPr>
          <w:sz w:val="20"/>
          <w:szCs w:val="20"/>
        </w:rPr>
        <w:t>utstanding Shares. See “Security Ownership of Certain Beneficial Owners and Management of the Company” beginning on page 104 for additional information. Pursuant to the terms of the Support Agreement, these Shares will be voted by the Rollover Shareholders</w:t>
      </w:r>
      <w:r>
        <w:rPr>
          <w:sz w:val="20"/>
          <w:szCs w:val="20"/>
        </w:rPr>
        <w:t xml:space="preserve"> in favor of the authorization and approval of the Merger Agreement, the Plan of Merger and the consummation of the Transactions, and the authorization of the Special Committee to do all things necessary to give effect to the foregoing, at the extraordinar</w:t>
      </w:r>
      <w:r>
        <w:rPr>
          <w:sz w:val="20"/>
          <w:szCs w:val="20"/>
        </w:rPr>
        <w:t xml:space="preserve">y general meeting, which requires the affirmative vote of holders of Shares representing not less than two-thirds of the votes cast by such shareholders as, being entitled to do so, vote in person </w:t>
      </w:r>
      <w:r>
        <w:rPr>
          <w:sz w:val="20"/>
          <w:szCs w:val="20"/>
        </w:rPr>
        <w:lastRenderedPageBreak/>
        <w:t xml:space="preserve">or, where proxies are allowed, by proxy or, in the case of </w:t>
      </w:r>
      <w:r>
        <w:rPr>
          <w:sz w:val="20"/>
          <w:szCs w:val="20"/>
        </w:rPr>
        <w:t>corporations, by their duly authorised representatives, as a single class at the extraordinary general meeting or any adjournment or postponement thereof. Given the Rollover Shareholders’ shareholding as described above and assuming their compliance with t</w:t>
      </w:r>
      <w:r>
        <w:rPr>
          <w:sz w:val="20"/>
          <w:szCs w:val="20"/>
        </w:rPr>
        <w:t>heir voting undertaking under the Support Agreement to vote all their Shares in favor of the special resolutions, based on the number of Shares expected to be issued and outstanding on the Share Record Date, (a) at least 5,486,960 Shares owned by the Unaff</w:t>
      </w:r>
      <w:r>
        <w:rPr>
          <w:sz w:val="20"/>
          <w:szCs w:val="20"/>
        </w:rPr>
        <w:t>iliated Security Holders equal to approximately 13.31% of the voting power of the total issued and outstanding Shares as of the Share Record Date must be voted in favor of the special resolutions to be proposed at the extraordinary general meeting for them</w:t>
      </w:r>
      <w:r>
        <w:rPr>
          <w:sz w:val="20"/>
          <w:szCs w:val="20"/>
        </w:rPr>
        <w:t xml:space="preserve"> to be approved, assuming all shareholders of the Company will be present and voting in person or by proxy at the extraordinary general meeting; (b) at least 2,739,447 Shares owned by the Unaffiliated Security Holders equal to approximately 6.65% of the vo</w:t>
      </w:r>
      <w:r>
        <w:rPr>
          <w:sz w:val="20"/>
          <w:szCs w:val="20"/>
        </w:rPr>
        <w:t>ting power of the total issued and outstanding Shares as of the Share Record Date must be voted in favor of the special resolutions to be proposed at the extraordinary general meeting for them to be approved, assuming the shareholders holding 90% of the vo</w:t>
      </w:r>
      <w:r>
        <w:rPr>
          <w:sz w:val="20"/>
          <w:szCs w:val="20"/>
        </w:rPr>
        <w:t>ting power of the total issued and outstanding Shares as of the Share Record Date will be present and voting in person or by proxy at the extraordinary general meeting; and (c) shareholders holding more than 80.03% of the voting power of the total issued a</w:t>
      </w:r>
      <w:r>
        <w:rPr>
          <w:sz w:val="20"/>
          <w:szCs w:val="20"/>
        </w:rPr>
        <w:t>nd outstanding Shares as of the Share Record Date (including 53.35% of the voting power held by the Rollover Shareholders) must be present and voting in person or by proxy at the extraordinary general meeting, such that the votes cast solely by the Rollove</w:t>
      </w:r>
      <w:r>
        <w:rPr>
          <w:sz w:val="20"/>
          <w:szCs w:val="20"/>
        </w:rPr>
        <w:t>r Shareholders will be insufficient to reach the two-thirds approval threshold for the special resolutions. In practice, with 53.35% of the voting power committed to vote in favor, it is unlikely that the Merger Agreement, the Plan of Merger, and the consu</w:t>
      </w:r>
      <w:r>
        <w:rPr>
          <w:sz w:val="20"/>
          <w:szCs w:val="20"/>
        </w:rPr>
        <w:t>mmation of the Transactions will not be authorized and approved by the Company’s shareholders.</w:t>
      </w:r>
    </w:p>
    <w:p w14:paraId="79F6ECD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0E8EDD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Pursuant to the terms of the Support Agreement, the Rollover Shareholders will vote all Shares they beneficially own in favor of any ordinary resolution to adj</w:t>
      </w:r>
      <w:r>
        <w:rPr>
          <w:sz w:val="20"/>
          <w:szCs w:val="20"/>
        </w:rPr>
        <w:t>ourn the extraordinary general meeting, if necessary, to allow the Company to solicit additional proxies in the event that there are insufficient proxies received at the time of the extraordinary general meeting to pass the special resolutions to be propos</w:t>
      </w:r>
      <w:r>
        <w:rPr>
          <w:sz w:val="20"/>
          <w:szCs w:val="20"/>
        </w:rPr>
        <w:t>ed at the extraordinary general meeting. Given the Rollover Shareholders’ shareholding as described above and assuming their compliance with their voting undertaking under the Support Agreement to vote all their Shares in favor of such ordinary resolution,</w:t>
      </w:r>
      <w:r>
        <w:rPr>
          <w:sz w:val="20"/>
          <w:szCs w:val="20"/>
        </w:rPr>
        <w:t xml:space="preserve"> based on the number of Shares expected to be issued and outstanding on the Share Record Date, approval of the ordinary resolution will not require any affirmative votes from the Unaffiliated Security Holders.</w:t>
      </w:r>
    </w:p>
    <w:p w14:paraId="52FA1791"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5F66FF2C" w14:textId="77777777" w:rsidR="00000000" w:rsidRDefault="002F725F">
      <w:pPr>
        <w:pStyle w:val="NormalWeb"/>
        <w:spacing w:before="0" w:beforeAutospacing="0" w:after="0" w:afterAutospacing="0"/>
        <w:jc w:val="both"/>
        <w:divId w:val="415980837"/>
        <w:rPr>
          <w:sz w:val="20"/>
          <w:szCs w:val="20"/>
        </w:rPr>
      </w:pPr>
      <w:r>
        <w:rPr>
          <w:b/>
          <w:bCs/>
          <w:sz w:val="20"/>
          <w:szCs w:val="20"/>
        </w:rPr>
        <w:t>Procedures for Voting</w:t>
      </w:r>
    </w:p>
    <w:p w14:paraId="0D583199" w14:textId="77777777" w:rsidR="00000000" w:rsidRDefault="002F725F">
      <w:pPr>
        <w:pStyle w:val="NormalWeb"/>
        <w:spacing w:before="0" w:beforeAutospacing="0" w:after="0" w:afterAutospacing="0"/>
        <w:jc w:val="both"/>
        <w:divId w:val="415980837"/>
        <w:rPr>
          <w:sz w:val="20"/>
          <w:szCs w:val="20"/>
        </w:rPr>
      </w:pPr>
      <w:r>
        <w:rPr>
          <w:b/>
          <w:bCs/>
          <w:i/>
          <w:iCs/>
          <w:sz w:val="20"/>
          <w:szCs w:val="20"/>
        </w:rPr>
        <w:t> </w:t>
      </w:r>
    </w:p>
    <w:p w14:paraId="0B7382AB" w14:textId="77777777" w:rsidR="00000000" w:rsidRDefault="002F725F">
      <w:pPr>
        <w:pStyle w:val="NormalWeb"/>
        <w:spacing w:before="0" w:beforeAutospacing="0" w:after="0" w:afterAutospacing="0"/>
        <w:jc w:val="both"/>
        <w:divId w:val="415980837"/>
        <w:rPr>
          <w:sz w:val="20"/>
          <w:szCs w:val="20"/>
        </w:rPr>
      </w:pPr>
      <w:r>
        <w:rPr>
          <w:b/>
          <w:bCs/>
          <w:i/>
          <w:iCs/>
          <w:sz w:val="20"/>
          <w:szCs w:val="20"/>
        </w:rPr>
        <w:t>Shares</w:t>
      </w:r>
    </w:p>
    <w:p w14:paraId="6968838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98BC99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Only shareh</w:t>
      </w:r>
      <w:r>
        <w:rPr>
          <w:sz w:val="20"/>
          <w:szCs w:val="20"/>
        </w:rPr>
        <w:t>olders registered in the register of members of the Company as of 5 p.m. Cayman Islands time on the Share Record Date will receive the final proxy statement and proxy card directly from the Company. Shareholders registered in the register of members of the</w:t>
      </w:r>
      <w:r>
        <w:rPr>
          <w:sz w:val="20"/>
          <w:szCs w:val="20"/>
        </w:rPr>
        <w:t xml:space="preserve"> Company as of 5 p.m. Cayman Islands time on the Share Record Date or their proxy holders are entitled to vote and may participate in the extraordinary general meeting or any adjournment thereof. Shareholders who have acquired Shares after 5 p.m. Cayman Is</w:t>
      </w:r>
      <w:r>
        <w:rPr>
          <w:sz w:val="20"/>
          <w:szCs w:val="20"/>
        </w:rPr>
        <w:t>lands time on the Share Record Date may not attend or vote at the extraordinary general meeting unless they receive a proxy from the person or entity who was the registered holder of such Shares as of the Share Record Date. Each registered holder of Shares</w:t>
      </w:r>
      <w:r>
        <w:rPr>
          <w:sz w:val="20"/>
          <w:szCs w:val="20"/>
        </w:rPr>
        <w:t xml:space="preserve"> has one vote for each Share held as of 5 p.m. Cayman Islands time on the Share Record Date.</w:t>
      </w:r>
    </w:p>
    <w:p w14:paraId="32C141A8" w14:textId="77777777" w:rsidR="00000000" w:rsidRDefault="002F725F">
      <w:pPr>
        <w:pStyle w:val="NormalWeb"/>
        <w:spacing w:before="0" w:beforeAutospacing="0" w:after="0" w:afterAutospacing="0"/>
        <w:divId w:val="415980837"/>
        <w:rPr>
          <w:sz w:val="20"/>
          <w:szCs w:val="20"/>
        </w:rPr>
      </w:pPr>
      <w:r>
        <w:rPr>
          <w:sz w:val="20"/>
          <w:szCs w:val="20"/>
        </w:rPr>
        <w:t> </w:t>
      </w:r>
    </w:p>
    <w:p w14:paraId="3B008C6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Shareholders wanting to vote by proxy should indicate on their proxy card how they want to vote, sign and date the proxy card, and mail the proxy card in the ret</w:t>
      </w:r>
      <w:r>
        <w:rPr>
          <w:sz w:val="20"/>
          <w:szCs w:val="20"/>
        </w:rPr>
        <w:t xml:space="preserve">urn envelope as soon as possible so that it is received by the Company no later than </w:t>
      </w:r>
      <w:r>
        <w:rPr>
          <w:sz w:val="20"/>
          <w:szCs w:val="20"/>
          <w:u w:val="single"/>
        </w:rPr>
        <w:t>               </w:t>
      </w:r>
      <w:r>
        <w:rPr>
          <w:sz w:val="20"/>
          <w:szCs w:val="20"/>
        </w:rPr>
        <w:t xml:space="preserve"> a.m. (Beijing time) on </w:t>
      </w:r>
      <w:r>
        <w:rPr>
          <w:sz w:val="20"/>
          <w:szCs w:val="20"/>
          <w:u w:val="single"/>
        </w:rPr>
        <w:t>               </w:t>
      </w:r>
      <w:r>
        <w:rPr>
          <w:sz w:val="20"/>
          <w:szCs w:val="20"/>
        </w:rPr>
        <w:t>, being 48 hours before the time appointed for the extraordinary general meeting, the deadline to lodge the proxy car</w:t>
      </w:r>
      <w:r>
        <w:rPr>
          <w:sz w:val="20"/>
          <w:szCs w:val="20"/>
        </w:rPr>
        <w:t>d for it to be valid. Registered shareholders can also attend the extraordinary general meeting and vote in person.</w:t>
      </w:r>
    </w:p>
    <w:p w14:paraId="1F17BC2A" w14:textId="77777777" w:rsidR="00000000" w:rsidRDefault="002F725F">
      <w:pPr>
        <w:pStyle w:val="NormalWeb"/>
        <w:spacing w:before="0" w:beforeAutospacing="0" w:after="0" w:afterAutospacing="0"/>
        <w:divId w:val="415980837"/>
        <w:rPr>
          <w:sz w:val="20"/>
          <w:szCs w:val="20"/>
        </w:rPr>
      </w:pPr>
      <w:r>
        <w:rPr>
          <w:sz w:val="20"/>
          <w:szCs w:val="20"/>
        </w:rPr>
        <w:t> </w:t>
      </w:r>
    </w:p>
    <w:p w14:paraId="6C9A622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Shareholders who have questions </w:t>
      </w:r>
      <w:r>
        <w:rPr>
          <w:sz w:val="20"/>
          <w:szCs w:val="20"/>
        </w:rPr>
        <w:t>or requests for assistance in completing and submitting proxy cards or need additional copies of this proxy statement or the accompanying proxy card should contact our Investor Relations Department by phone at +86 (10) 8920-2086 or by email at ir@lakeshore</w:t>
      </w:r>
      <w:r>
        <w:rPr>
          <w:sz w:val="20"/>
          <w:szCs w:val="20"/>
        </w:rPr>
        <w:t>bio.com.</w:t>
      </w:r>
    </w:p>
    <w:p w14:paraId="79B5977D"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46817E56" w14:textId="77777777" w:rsidR="00000000" w:rsidRDefault="002F725F">
      <w:pPr>
        <w:pStyle w:val="NormalWeb"/>
        <w:spacing w:before="0" w:beforeAutospacing="0" w:after="0" w:afterAutospacing="0"/>
        <w:jc w:val="both"/>
        <w:divId w:val="415980837"/>
        <w:rPr>
          <w:sz w:val="20"/>
          <w:szCs w:val="20"/>
        </w:rPr>
      </w:pPr>
      <w:r>
        <w:rPr>
          <w:b/>
          <w:bCs/>
          <w:sz w:val="20"/>
          <w:szCs w:val="20"/>
        </w:rPr>
        <w:t>Proxy Holders for Registered Shareholders</w:t>
      </w:r>
    </w:p>
    <w:p w14:paraId="70D880A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CCD9271"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Shareholders registered in the register of members of the Company as of 5 p.m. Cayman Islands time on the Share Record Date who are unable to participate in the extraordinary general meeting may appoin</w:t>
      </w:r>
      <w:r>
        <w:rPr>
          <w:sz w:val="20"/>
          <w:szCs w:val="20"/>
        </w:rPr>
        <w:t>t the chairman of the extraordinary general meeting as proxy holder by completing and returning the form of proxy in accordance with the instructions printed thereon. With regard to the items listed on the agenda and without any explicit instructions to th</w:t>
      </w:r>
      <w:r>
        <w:rPr>
          <w:sz w:val="20"/>
          <w:szCs w:val="20"/>
        </w:rPr>
        <w:t>e contrary, the chairman of the extraordinary general meeting as proxy holder will vote in favor of the resolutions proposed at the extraordinary general meeting according to the recommendation of the Special Committee. If new proposals (other than those o</w:t>
      </w:r>
      <w:r>
        <w:rPr>
          <w:sz w:val="20"/>
          <w:szCs w:val="20"/>
        </w:rPr>
        <w:t>n the agenda) are put forth before the extraordinary general meeting, the chairman of the extraordinary general meeting as proxy holder will vote in accordance with the position of the Board.</w:t>
      </w:r>
    </w:p>
    <w:p w14:paraId="3577BD03"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4D9AEC43" w14:textId="77777777" w:rsidR="00000000" w:rsidRDefault="002F725F">
      <w:pPr>
        <w:pStyle w:val="NormalWeb"/>
        <w:spacing w:before="0" w:beforeAutospacing="0" w:after="0" w:afterAutospacing="0"/>
        <w:jc w:val="center"/>
        <w:divId w:val="158277789"/>
        <w:rPr>
          <w:sz w:val="20"/>
          <w:szCs w:val="20"/>
        </w:rPr>
      </w:pPr>
      <w:r>
        <w:rPr>
          <w:sz w:val="20"/>
          <w:szCs w:val="20"/>
        </w:rPr>
        <w:t>7</w:t>
      </w:r>
      <w:r>
        <w:rPr>
          <w:sz w:val="20"/>
          <w:szCs w:val="20"/>
        </w:rPr>
        <w:t>9</w:t>
      </w:r>
    </w:p>
    <w:p w14:paraId="4B66ADD1" w14:textId="77777777" w:rsidR="00000000" w:rsidRDefault="002F725F">
      <w:pPr>
        <w:pStyle w:val="NormalWeb"/>
        <w:spacing w:before="0" w:beforeAutospacing="0" w:after="0" w:afterAutospacing="0"/>
        <w:divId w:val="746659067"/>
        <w:rPr>
          <w:sz w:val="20"/>
          <w:szCs w:val="20"/>
        </w:rPr>
      </w:pPr>
      <w:r>
        <w:rPr>
          <w:sz w:val="20"/>
          <w:szCs w:val="20"/>
        </w:rPr>
        <w:t> </w:t>
      </w:r>
    </w:p>
    <w:p w14:paraId="3D26FED9"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1C0B8F18" w14:textId="77777777" w:rsidR="00000000" w:rsidRDefault="002F725F">
      <w:pPr>
        <w:pStyle w:val="NormalWeb"/>
        <w:spacing w:before="0" w:beforeAutospacing="0" w:after="0" w:afterAutospacing="0"/>
        <w:jc w:val="both"/>
        <w:divId w:val="415980837"/>
        <w:rPr>
          <w:sz w:val="20"/>
          <w:szCs w:val="20"/>
        </w:rPr>
      </w:pPr>
      <w:r>
        <w:rPr>
          <w:b/>
          <w:bCs/>
          <w:sz w:val="20"/>
          <w:szCs w:val="20"/>
        </w:rPr>
        <w:t>Voting of Proxies and Failure to Vote</w:t>
      </w:r>
    </w:p>
    <w:p w14:paraId="027D516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CA8B36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All Shares repr</w:t>
      </w:r>
      <w:r>
        <w:rPr>
          <w:sz w:val="20"/>
          <w:szCs w:val="20"/>
        </w:rPr>
        <w:t xml:space="preserve">esented by valid proxies will be voted at the extraordinary general meeting in the manner specified by the holder. If a registered shareholder returns a properly signed proxy card but does not indicate how the shareholder wants to vote, Shares represented </w:t>
      </w:r>
      <w:r>
        <w:rPr>
          <w:sz w:val="20"/>
          <w:szCs w:val="20"/>
        </w:rPr>
        <w:t>by that proxy card will be voted FOR the proposal to authorize and approve the Merger Agreement, the Plan of Merger and the consummation of the Transactions, FOR the proposal to authorize each of the members of the Special Committee to do all things necess</w:t>
      </w:r>
      <w:r>
        <w:rPr>
          <w:sz w:val="20"/>
          <w:szCs w:val="20"/>
        </w:rPr>
        <w:t>ary to give effect to the Merger Agreement, the Plan of Merger and the consummation of the Transactions, and FOR the proposal to adjourn the extraordinary general meeting in order to allow the Company to solicit additional proxies in the event that there a</w:t>
      </w:r>
      <w:r>
        <w:rPr>
          <w:sz w:val="20"/>
          <w:szCs w:val="20"/>
        </w:rPr>
        <w:t>re insufficient proxies received to pass the special resolutions during the extraordinary general meeting, unless the registered shareholder appoints a person other than the chairman of the meeting as proxy, in which case the Shares represented by that pro</w:t>
      </w:r>
      <w:r>
        <w:rPr>
          <w:sz w:val="20"/>
          <w:szCs w:val="20"/>
        </w:rPr>
        <w:t xml:space="preserve">xy card will be voted (or not submitted for voting) as the proxy determines. In light of the 53.35% voting power of the total issued and outstanding Shares held by the Rollover Shareholders and assuming their compliance with their voting obligations under </w:t>
      </w:r>
      <w:r>
        <w:rPr>
          <w:sz w:val="20"/>
          <w:szCs w:val="20"/>
        </w:rPr>
        <w:t>the Support Agreement, the presence of the Shares owned by the Rollover Shareholders at the extraordinary general meeting would ensure a quorum at the extraordinary general meeting. Brokers, banks or other nominees who hold Shares in “street name” for cust</w:t>
      </w:r>
      <w:r>
        <w:rPr>
          <w:sz w:val="20"/>
          <w:szCs w:val="20"/>
        </w:rPr>
        <w:t xml:space="preserve">omers who are the beneficial owners of such Shares may not give a proxy to vote those customers’ Shares in the absence of specific instructions from those customers. If proxies are properly dated, executed and returned by holders of Shares and no specific </w:t>
      </w:r>
      <w:r>
        <w:rPr>
          <w:sz w:val="20"/>
          <w:szCs w:val="20"/>
        </w:rPr>
        <w:t>instructions are given by such holders, such Shares will be voted “FOR” the proposals (unless the shareholder appoints a person other than the chairman of the meeting as proxy, in which case the Shares represented by that proxy card will be voted (or not s</w:t>
      </w:r>
      <w:r>
        <w:rPr>
          <w:sz w:val="20"/>
          <w:szCs w:val="20"/>
        </w:rPr>
        <w:t>ubmitted for voting) as the proxy determines) and in the proxy holder’s discretion as to other matters that may properly come before the extraordinary general meeting. Abstentions by holders of Shares are included in the determination of the number of Shar</w:t>
      </w:r>
      <w:r>
        <w:rPr>
          <w:sz w:val="20"/>
          <w:szCs w:val="20"/>
        </w:rPr>
        <w:t>es present but are not counted as votes for or against a proposal. If no proxy is given by such holders of Shares, broker non-votes will be counted towards the quorum but will not be treated as voted on any proposals at the extraordinary general meeting.</w:t>
      </w:r>
    </w:p>
    <w:p w14:paraId="0EF7989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BA4BFDA" w14:textId="77777777" w:rsidR="00000000" w:rsidRDefault="002F725F">
      <w:pPr>
        <w:pStyle w:val="NormalWeb"/>
        <w:spacing w:before="0" w:beforeAutospacing="0" w:after="0" w:afterAutospacing="0"/>
        <w:divId w:val="415980837"/>
        <w:rPr>
          <w:sz w:val="20"/>
          <w:szCs w:val="20"/>
        </w:rPr>
      </w:pPr>
      <w:r>
        <w:rPr>
          <w:b/>
          <w:bCs/>
          <w:sz w:val="20"/>
          <w:szCs w:val="20"/>
        </w:rPr>
        <w:t>Revocability of Proxies</w:t>
      </w:r>
    </w:p>
    <w:p w14:paraId="0A60EB7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336ACF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Registered holders of our Shares may revoke their proxies in one of three ways:</w:t>
      </w:r>
    </w:p>
    <w:p w14:paraId="239767EA"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2389F3C" w14:textId="77777777">
        <w:trPr>
          <w:divId w:val="415980837"/>
          <w:tblCellSpacing w:w="0" w:type="dxa"/>
        </w:trPr>
        <w:tc>
          <w:tcPr>
            <w:tcW w:w="720" w:type="dxa"/>
            <w:hideMark/>
          </w:tcPr>
          <w:p w14:paraId="027A351B" w14:textId="77777777" w:rsidR="00000000" w:rsidRDefault="002F725F">
            <w:pPr>
              <w:rPr>
                <w:sz w:val="20"/>
                <w:szCs w:val="20"/>
              </w:rPr>
            </w:pPr>
          </w:p>
        </w:tc>
        <w:tc>
          <w:tcPr>
            <w:tcW w:w="360" w:type="dxa"/>
            <w:hideMark/>
          </w:tcPr>
          <w:p w14:paraId="25541005" w14:textId="77777777" w:rsidR="00000000" w:rsidRDefault="002F725F">
            <w:pPr>
              <w:rPr>
                <w:rFonts w:eastAsia="Times New Roman"/>
                <w:sz w:val="20"/>
                <w:szCs w:val="20"/>
              </w:rPr>
            </w:pPr>
            <w:r>
              <w:rPr>
                <w:rFonts w:eastAsia="Times New Roman"/>
                <w:sz w:val="20"/>
                <w:szCs w:val="20"/>
              </w:rPr>
              <w:t>●</w:t>
            </w:r>
          </w:p>
        </w:tc>
        <w:tc>
          <w:tcPr>
            <w:tcW w:w="0" w:type="auto"/>
            <w:hideMark/>
          </w:tcPr>
          <w:p w14:paraId="24F7670A" w14:textId="77777777" w:rsidR="00000000" w:rsidRDefault="002F725F">
            <w:pPr>
              <w:jc w:val="both"/>
              <w:rPr>
                <w:rFonts w:eastAsia="Times New Roman"/>
                <w:sz w:val="20"/>
                <w:szCs w:val="20"/>
              </w:rPr>
            </w:pPr>
            <w:r>
              <w:rPr>
                <w:rFonts w:eastAsia="Times New Roman"/>
                <w:sz w:val="20"/>
                <w:szCs w:val="20"/>
              </w:rPr>
              <w:t>First, a registered shareholder can revoke a proxy by written notice of revocation given to the chairman of the extraordinary general meeting at</w:t>
            </w:r>
            <w:r>
              <w:rPr>
                <w:rFonts w:eastAsia="Times New Roman"/>
                <w:sz w:val="20"/>
                <w:szCs w:val="20"/>
              </w:rPr>
              <w:t xml:space="preserve"> least two hours before the commencement of the extraordinary general meeting. Any written notice revoking a proxy should also be sent to Continental Stock Transfer, 1 State Street - SC1, New York, NY 10004, at least two hours before the commencement of th</w:t>
            </w:r>
            <w:r>
              <w:rPr>
                <w:rFonts w:eastAsia="Times New Roman"/>
                <w:sz w:val="20"/>
                <w:szCs w:val="20"/>
              </w:rPr>
              <w:t>e extraordinary general meeting.</w:t>
            </w:r>
          </w:p>
        </w:tc>
      </w:tr>
    </w:tbl>
    <w:p w14:paraId="114187E8"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0E8D087" w14:textId="77777777">
        <w:trPr>
          <w:divId w:val="415980837"/>
          <w:tblCellSpacing w:w="0" w:type="dxa"/>
        </w:trPr>
        <w:tc>
          <w:tcPr>
            <w:tcW w:w="720" w:type="dxa"/>
            <w:hideMark/>
          </w:tcPr>
          <w:p w14:paraId="1A079139" w14:textId="77777777" w:rsidR="00000000" w:rsidRDefault="002F725F">
            <w:pPr>
              <w:rPr>
                <w:sz w:val="20"/>
                <w:szCs w:val="20"/>
              </w:rPr>
            </w:pPr>
          </w:p>
        </w:tc>
        <w:tc>
          <w:tcPr>
            <w:tcW w:w="360" w:type="dxa"/>
            <w:hideMark/>
          </w:tcPr>
          <w:p w14:paraId="2F5AE531" w14:textId="77777777" w:rsidR="00000000" w:rsidRDefault="002F725F">
            <w:pPr>
              <w:rPr>
                <w:rFonts w:eastAsia="Times New Roman"/>
                <w:sz w:val="20"/>
                <w:szCs w:val="20"/>
              </w:rPr>
            </w:pPr>
            <w:r>
              <w:rPr>
                <w:rFonts w:eastAsia="Times New Roman"/>
                <w:sz w:val="20"/>
                <w:szCs w:val="20"/>
              </w:rPr>
              <w:t>●</w:t>
            </w:r>
          </w:p>
        </w:tc>
        <w:tc>
          <w:tcPr>
            <w:tcW w:w="0" w:type="auto"/>
            <w:hideMark/>
          </w:tcPr>
          <w:p w14:paraId="4D174617" w14:textId="77777777" w:rsidR="00000000" w:rsidRDefault="002F725F">
            <w:pPr>
              <w:jc w:val="both"/>
              <w:rPr>
                <w:rFonts w:eastAsia="Times New Roman"/>
                <w:sz w:val="20"/>
                <w:szCs w:val="20"/>
              </w:rPr>
            </w:pPr>
            <w:r>
              <w:rPr>
                <w:rFonts w:eastAsia="Times New Roman"/>
                <w:sz w:val="20"/>
                <w:szCs w:val="20"/>
              </w:rPr>
              <w:t xml:space="preserve">Second, a registered shareholder can complete, date and submit a new </w:t>
            </w:r>
            <w:r>
              <w:rPr>
                <w:rFonts w:eastAsia="Times New Roman"/>
                <w:sz w:val="20"/>
                <w:szCs w:val="20"/>
              </w:rPr>
              <w:t xml:space="preserve">proxy card bearing a later date than the proxy card sought to be revoked to the Company so that the new proxy card is received by the Company no later than </w:t>
            </w:r>
            <w:r>
              <w:rPr>
                <w:rFonts w:eastAsia="Times New Roman"/>
                <w:sz w:val="20"/>
                <w:szCs w:val="20"/>
                <w:u w:val="single"/>
              </w:rPr>
              <w:t>           </w:t>
            </w:r>
            <w:r>
              <w:rPr>
                <w:rFonts w:eastAsia="Times New Roman"/>
                <w:sz w:val="20"/>
                <w:szCs w:val="20"/>
              </w:rPr>
              <w:t xml:space="preserve">a.m. (Beijing time) on </w:t>
            </w:r>
            <w:r>
              <w:rPr>
                <w:rFonts w:eastAsia="Times New Roman"/>
                <w:sz w:val="20"/>
                <w:szCs w:val="20"/>
                <w:u w:val="single"/>
              </w:rPr>
              <w:t>            </w:t>
            </w:r>
            <w:r>
              <w:rPr>
                <w:rFonts w:eastAsia="Times New Roman"/>
                <w:sz w:val="20"/>
                <w:szCs w:val="20"/>
              </w:rPr>
              <w:t>, being 48 hours before the time appointed for the ext</w:t>
            </w:r>
            <w:r>
              <w:rPr>
                <w:rFonts w:eastAsia="Times New Roman"/>
                <w:sz w:val="20"/>
                <w:szCs w:val="20"/>
              </w:rPr>
              <w:t>raordinary general meeting, the deadline for shareholders to lodge proxy cards for them to be valid.</w:t>
            </w:r>
          </w:p>
        </w:tc>
      </w:tr>
    </w:tbl>
    <w:p w14:paraId="4E947B4C" w14:textId="77777777" w:rsidR="00000000" w:rsidRDefault="002F725F">
      <w:pPr>
        <w:pStyle w:val="NormalWeb"/>
        <w:spacing w:before="0" w:beforeAutospacing="0" w:after="0" w:afterAutospacing="0"/>
        <w:ind w:left="1080" w:hanging="360"/>
        <w:jc w:val="both"/>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492EF69" w14:textId="77777777">
        <w:trPr>
          <w:divId w:val="415980837"/>
          <w:tblCellSpacing w:w="0" w:type="dxa"/>
        </w:trPr>
        <w:tc>
          <w:tcPr>
            <w:tcW w:w="720" w:type="dxa"/>
            <w:hideMark/>
          </w:tcPr>
          <w:p w14:paraId="314AEB8D" w14:textId="77777777" w:rsidR="00000000" w:rsidRDefault="002F725F">
            <w:pPr>
              <w:rPr>
                <w:sz w:val="20"/>
                <w:szCs w:val="20"/>
              </w:rPr>
            </w:pPr>
          </w:p>
        </w:tc>
        <w:tc>
          <w:tcPr>
            <w:tcW w:w="360" w:type="dxa"/>
            <w:hideMark/>
          </w:tcPr>
          <w:p w14:paraId="223B4B01" w14:textId="77777777" w:rsidR="00000000" w:rsidRDefault="002F725F">
            <w:pPr>
              <w:rPr>
                <w:rFonts w:eastAsia="Times New Roman"/>
                <w:sz w:val="20"/>
                <w:szCs w:val="20"/>
              </w:rPr>
            </w:pPr>
            <w:r>
              <w:rPr>
                <w:rFonts w:eastAsia="Times New Roman"/>
                <w:sz w:val="20"/>
                <w:szCs w:val="20"/>
              </w:rPr>
              <w:t>●</w:t>
            </w:r>
          </w:p>
        </w:tc>
        <w:tc>
          <w:tcPr>
            <w:tcW w:w="0" w:type="auto"/>
            <w:hideMark/>
          </w:tcPr>
          <w:p w14:paraId="57B9237A" w14:textId="77777777" w:rsidR="00000000" w:rsidRDefault="002F725F">
            <w:pPr>
              <w:jc w:val="both"/>
              <w:rPr>
                <w:rFonts w:eastAsia="Times New Roman"/>
                <w:sz w:val="20"/>
                <w:szCs w:val="20"/>
              </w:rPr>
            </w:pPr>
            <w:r>
              <w:rPr>
                <w:rFonts w:eastAsia="Times New Roman"/>
                <w:sz w:val="20"/>
                <w:szCs w:val="20"/>
              </w:rPr>
              <w:t>Third, a registered shareholder can attend the meeting and vote in person. Attendance, by itself, will not revoke a proxy. It will only be revoked if</w:t>
            </w:r>
            <w:r>
              <w:rPr>
                <w:rFonts w:eastAsia="Times New Roman"/>
                <w:sz w:val="20"/>
                <w:szCs w:val="20"/>
              </w:rPr>
              <w:t xml:space="preserve"> the registered shareholder attends and actually votes in person at the extraordinary general meeting.</w:t>
            </w:r>
          </w:p>
        </w:tc>
      </w:tr>
    </w:tbl>
    <w:p w14:paraId="43F7852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9BC2CA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If a shareholder holds Shares through a broker, bank or other nominee and has instructed the broker, bank or other nominee to vote the shareholder’s S</w:t>
      </w:r>
      <w:r>
        <w:rPr>
          <w:sz w:val="20"/>
          <w:szCs w:val="20"/>
        </w:rPr>
        <w:t>hares, the shareholder must follow directions received from the broker, bank or other nominee to change those instructions.</w:t>
      </w:r>
    </w:p>
    <w:p w14:paraId="130A6D7F" w14:textId="77777777" w:rsidR="00000000" w:rsidRDefault="002F725F">
      <w:pPr>
        <w:pStyle w:val="NormalWeb"/>
        <w:spacing w:before="0" w:beforeAutospacing="0" w:after="0" w:afterAutospacing="0"/>
        <w:divId w:val="415980837"/>
        <w:rPr>
          <w:sz w:val="20"/>
          <w:szCs w:val="20"/>
        </w:rPr>
      </w:pPr>
      <w:r>
        <w:rPr>
          <w:sz w:val="20"/>
          <w:szCs w:val="20"/>
        </w:rPr>
        <w:t> </w:t>
      </w:r>
    </w:p>
    <w:p w14:paraId="12175EA8" w14:textId="77777777" w:rsidR="00000000" w:rsidRDefault="002F725F">
      <w:pPr>
        <w:pStyle w:val="NormalWeb"/>
        <w:spacing w:before="0" w:beforeAutospacing="0" w:after="0" w:afterAutospacing="0"/>
        <w:jc w:val="both"/>
        <w:divId w:val="415980837"/>
        <w:rPr>
          <w:sz w:val="20"/>
          <w:szCs w:val="20"/>
        </w:rPr>
      </w:pPr>
      <w:r>
        <w:rPr>
          <w:b/>
          <w:bCs/>
          <w:sz w:val="20"/>
          <w:szCs w:val="20"/>
        </w:rPr>
        <w:t>Rights of Shareholders Who Wish to Dissent from the Merger</w:t>
      </w:r>
    </w:p>
    <w:p w14:paraId="25970B6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E9C527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Registered shareholders who have validly exercised and have not effec</w:t>
      </w:r>
      <w:r>
        <w:rPr>
          <w:sz w:val="20"/>
          <w:szCs w:val="20"/>
        </w:rPr>
        <w:t>tively withdrawn or lost their rights to dissent from the Merger in accordance with the requirements of the Cayman Islands Companies Act will have the right to receive payment of the fair value of their Shares as determined by the Grand Court of the Cayman</w:t>
      </w:r>
      <w:r>
        <w:rPr>
          <w:sz w:val="20"/>
          <w:szCs w:val="20"/>
        </w:rPr>
        <w:t xml:space="preserve"> Islands in accordance with Section 238 of the Cayman Islands Companies Act, subject to Section 239 of the Cayman Islands Companies Act, if the Merger is consummated, but only if they deliver to the Company, before the vote to authorize and approve the Mer</w:t>
      </w:r>
      <w:r>
        <w:rPr>
          <w:sz w:val="20"/>
          <w:szCs w:val="20"/>
        </w:rPr>
        <w:t>ger is taken at the extraordinary general meeting, a written objection to the Merger and subsequently comply with all procedures and requirements of Section 238 of the Cayman Islands Companies Act. A copy of Section 238 is attached as Annex D to this proxy</w:t>
      </w:r>
      <w:r>
        <w:rPr>
          <w:sz w:val="20"/>
          <w:szCs w:val="20"/>
        </w:rPr>
        <w:t xml:space="preserve"> statement. The fair value of your Shares as determined by the Grand Court of the Cayman Islands under the Cayman Islands Companies Act could be more than, the same as, or less than the merger consideration you would receive pursuant to the Merger Agreemen</w:t>
      </w:r>
      <w:r>
        <w:rPr>
          <w:sz w:val="20"/>
          <w:szCs w:val="20"/>
        </w:rPr>
        <w:t xml:space="preserve">t if you do not exercise your right to dissent with respect to your Shares. This proxy statement is not to be construed or taken as legal advice on Cayman Islands law. Registered shareholders who wish to exercise any rights under Section 238 of the Cayman </w:t>
      </w:r>
      <w:r>
        <w:rPr>
          <w:sz w:val="20"/>
          <w:szCs w:val="20"/>
        </w:rPr>
        <w:t>Islands Companies Act, or otherwise, should obtain their own copy of the complete Cayman Islands Companies Act and seek legal advice from a law firm authorized to practice Cayman Islands law without delay.</w:t>
      </w:r>
    </w:p>
    <w:p w14:paraId="3E1585D6"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5ABC4951" w14:textId="77777777" w:rsidR="00000000" w:rsidRDefault="002F725F">
      <w:pPr>
        <w:pStyle w:val="NormalWeb"/>
        <w:spacing w:before="0" w:beforeAutospacing="0" w:after="0" w:afterAutospacing="0"/>
        <w:jc w:val="center"/>
        <w:divId w:val="2084837439"/>
        <w:rPr>
          <w:sz w:val="20"/>
          <w:szCs w:val="20"/>
        </w:rPr>
      </w:pPr>
      <w:r>
        <w:rPr>
          <w:sz w:val="20"/>
          <w:szCs w:val="20"/>
        </w:rPr>
        <w:t>8</w:t>
      </w:r>
      <w:r>
        <w:rPr>
          <w:sz w:val="20"/>
          <w:szCs w:val="20"/>
        </w:rPr>
        <w:t>0</w:t>
      </w:r>
    </w:p>
    <w:p w14:paraId="04559BD2" w14:textId="77777777" w:rsidR="00000000" w:rsidRDefault="002F725F">
      <w:pPr>
        <w:pStyle w:val="NormalWeb"/>
        <w:spacing w:before="0" w:beforeAutospacing="0" w:after="0" w:afterAutospacing="0"/>
        <w:divId w:val="629437096"/>
        <w:rPr>
          <w:sz w:val="20"/>
          <w:szCs w:val="20"/>
        </w:rPr>
      </w:pPr>
      <w:r>
        <w:rPr>
          <w:sz w:val="20"/>
          <w:szCs w:val="20"/>
        </w:rPr>
        <w:t> </w:t>
      </w:r>
    </w:p>
    <w:p w14:paraId="63477046"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46AB14FB" w14:textId="77777777" w:rsidR="00000000" w:rsidRDefault="002F725F">
      <w:pPr>
        <w:pStyle w:val="NormalWeb"/>
        <w:spacing w:before="0" w:beforeAutospacing="0" w:after="0" w:afterAutospacing="0"/>
        <w:jc w:val="both"/>
        <w:divId w:val="415980837"/>
        <w:rPr>
          <w:sz w:val="20"/>
          <w:szCs w:val="20"/>
        </w:rPr>
      </w:pPr>
      <w:r>
        <w:rPr>
          <w:b/>
          <w:bCs/>
          <w:sz w:val="20"/>
          <w:szCs w:val="20"/>
        </w:rPr>
        <w:t>Whom to Call for Assistance</w:t>
      </w:r>
    </w:p>
    <w:p w14:paraId="2C50BC1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04BE50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If you need assistance, including </w:t>
      </w:r>
      <w:r>
        <w:rPr>
          <w:sz w:val="20"/>
          <w:szCs w:val="20"/>
        </w:rPr>
        <w:t>help in changing or revoking your proxy, please contact our Investor Relations Department by phone at +86 (10) 8920-2086 or by email at ir@lakeshorebio.com.</w:t>
      </w:r>
    </w:p>
    <w:p w14:paraId="6A9E9D0D"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61FBF58E" w14:textId="77777777" w:rsidR="00000000" w:rsidRDefault="002F725F">
      <w:pPr>
        <w:pStyle w:val="NormalWeb"/>
        <w:spacing w:before="0" w:beforeAutospacing="0" w:after="0" w:afterAutospacing="0"/>
        <w:jc w:val="both"/>
        <w:divId w:val="415980837"/>
        <w:rPr>
          <w:sz w:val="20"/>
          <w:szCs w:val="20"/>
        </w:rPr>
      </w:pPr>
      <w:r>
        <w:rPr>
          <w:b/>
          <w:bCs/>
          <w:sz w:val="20"/>
          <w:szCs w:val="20"/>
        </w:rPr>
        <w:t>Solicitation of Proxies</w:t>
      </w:r>
    </w:p>
    <w:p w14:paraId="1A082FC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71D2A4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We have not retained a third-party service provider to assist in the so</w:t>
      </w:r>
      <w:r>
        <w:rPr>
          <w:sz w:val="20"/>
          <w:szCs w:val="20"/>
        </w:rPr>
        <w:t>licitation process. We will ask banks, brokers and other custodians, nominees and fiduciaries to forward our proxy solicitation materials to the beneficial owners of Shares registered in the name of such nominee holders. In addition, proxies may be solicit</w:t>
      </w:r>
      <w:r>
        <w:rPr>
          <w:sz w:val="20"/>
          <w:szCs w:val="20"/>
        </w:rPr>
        <w:t>ed by mail, in person, by telephone, by internet or by facsimile by certain of our officers, directors and employees. These persons will receive no additional compensation for solicitation of proxies but may be reimbursed for reasonable out-of-pocket expen</w:t>
      </w:r>
      <w:r>
        <w:rPr>
          <w:sz w:val="20"/>
          <w:szCs w:val="20"/>
        </w:rPr>
        <w:t>ses. We will reimburse banks, brokers, nominees, custodians and fiduciaries for their reasonable expenses in forwarding copies of this proxy statement to the beneficial owners of our Shares and in obtaining voting instructions from those owners. We will pa</w:t>
      </w:r>
      <w:r>
        <w:rPr>
          <w:sz w:val="20"/>
          <w:szCs w:val="20"/>
        </w:rPr>
        <w:t>y all expenses of filing, printing and mailing this proxy statement.</w:t>
      </w:r>
    </w:p>
    <w:p w14:paraId="44EAADFE"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7A21D3D1" w14:textId="77777777" w:rsidR="00000000" w:rsidRDefault="002F725F">
      <w:pPr>
        <w:pStyle w:val="NormalWeb"/>
        <w:spacing w:before="0" w:beforeAutospacing="0" w:after="0" w:afterAutospacing="0"/>
        <w:jc w:val="both"/>
        <w:divId w:val="415980837"/>
        <w:rPr>
          <w:sz w:val="20"/>
          <w:szCs w:val="20"/>
        </w:rPr>
      </w:pPr>
      <w:r>
        <w:rPr>
          <w:b/>
          <w:bCs/>
          <w:sz w:val="20"/>
          <w:szCs w:val="20"/>
        </w:rPr>
        <w:t>Other Business</w:t>
      </w:r>
    </w:p>
    <w:p w14:paraId="7EC8045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A5C655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We are not currently aware of any business to be acted upon at the extraordinary general meeting other than the matters discussed in this proxy statement.</w:t>
      </w:r>
    </w:p>
    <w:p w14:paraId="25A8705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9EA296C" w14:textId="77777777" w:rsidR="00000000" w:rsidRDefault="002F725F">
      <w:pPr>
        <w:pStyle w:val="NormalWeb"/>
        <w:spacing w:before="0" w:beforeAutospacing="0" w:after="0" w:afterAutospacing="0"/>
        <w:jc w:val="center"/>
        <w:divId w:val="1345521926"/>
        <w:rPr>
          <w:sz w:val="20"/>
          <w:szCs w:val="20"/>
        </w:rPr>
      </w:pPr>
      <w:r>
        <w:rPr>
          <w:sz w:val="20"/>
          <w:szCs w:val="20"/>
        </w:rPr>
        <w:t>8</w:t>
      </w:r>
      <w:r>
        <w:rPr>
          <w:sz w:val="20"/>
          <w:szCs w:val="20"/>
        </w:rPr>
        <w:t>1</w:t>
      </w:r>
    </w:p>
    <w:p w14:paraId="3743E515" w14:textId="77777777" w:rsidR="00000000" w:rsidRDefault="002F725F">
      <w:pPr>
        <w:pStyle w:val="NormalWeb"/>
        <w:spacing w:before="0" w:beforeAutospacing="0" w:after="0" w:afterAutospacing="0"/>
        <w:divId w:val="1084765003"/>
        <w:rPr>
          <w:sz w:val="20"/>
          <w:szCs w:val="20"/>
        </w:rPr>
      </w:pPr>
      <w:r>
        <w:rPr>
          <w:sz w:val="20"/>
          <w:szCs w:val="20"/>
        </w:rPr>
        <w:lastRenderedPageBreak/>
        <w:t> </w:t>
      </w:r>
    </w:p>
    <w:p w14:paraId="42B83018"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2F19DDEA" w14:textId="77777777" w:rsidR="00000000" w:rsidRDefault="002F725F">
      <w:pPr>
        <w:pStyle w:val="NormalWeb"/>
        <w:spacing w:before="0" w:beforeAutospacing="0" w:after="0" w:afterAutospacing="0"/>
        <w:jc w:val="center"/>
        <w:divId w:val="415980837"/>
        <w:rPr>
          <w:sz w:val="20"/>
          <w:szCs w:val="20"/>
        </w:rPr>
      </w:pPr>
      <w:bookmarkStart w:id="25" w:name="gfpea028961701ex99-a1.htmk_006"/>
      <w:bookmarkEnd w:id="25"/>
      <w:r>
        <w:rPr>
          <w:b/>
          <w:bCs/>
          <w:sz w:val="20"/>
          <w:szCs w:val="20"/>
        </w:rPr>
        <w:t xml:space="preserve">THE </w:t>
      </w:r>
      <w:r>
        <w:rPr>
          <w:b/>
          <w:bCs/>
          <w:sz w:val="20"/>
          <w:szCs w:val="20"/>
        </w:rPr>
        <w:t>MERGER AGREEMENT</w:t>
      </w:r>
    </w:p>
    <w:p w14:paraId="0E6321A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C0E5CE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following summary describes the material provisions of the Merger Agreement. This summary may not include all of the information about the Merger Agreement that is important to you. This summary is subject to, and qualified in its en</w:t>
      </w:r>
      <w:r>
        <w:rPr>
          <w:sz w:val="20"/>
          <w:szCs w:val="20"/>
        </w:rPr>
        <w:t>tirety by reference to, the Original Merger Agreement and Amendment No. 1 to the Merger Agreement, which are attached as Annex A, and incorporated by reference into this section of this proxy statement. You are urged to read each of the Merger Agreement an</w:t>
      </w:r>
      <w:r>
        <w:rPr>
          <w:sz w:val="20"/>
          <w:szCs w:val="20"/>
        </w:rPr>
        <w:t>d the Plan of Merger carefully and in its entirety, as they are the legal documents governing the Merger.</w:t>
      </w:r>
    </w:p>
    <w:p w14:paraId="1E0FF3D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509A59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summary of the Merger Agreement below is included in this proxy statement only to provide you with information regarding the terms and condition</w:t>
      </w:r>
      <w:r>
        <w:rPr>
          <w:sz w:val="20"/>
          <w:szCs w:val="20"/>
        </w:rPr>
        <w:t>s of the Merger Agreement, and not to provide any other factual information regarding the Company, Parent, Merger Sub (or any other entities of the Buyer Group) or their respective businesses. Accordingly, the representations and warranties and other provi</w:t>
      </w:r>
      <w:r>
        <w:rPr>
          <w:sz w:val="20"/>
          <w:szCs w:val="20"/>
        </w:rPr>
        <w:t xml:space="preserve">sions of the Merger Agreement should not be read alone, but instead should be read only in conjunction with the information provided elsewhere in this proxy statement and in the documents incorporated by reference into this proxy statement. See “Where You </w:t>
      </w:r>
      <w:r>
        <w:rPr>
          <w:sz w:val="20"/>
          <w:szCs w:val="20"/>
        </w:rPr>
        <w:t>Can Find More Information” beginning on page 108.</w:t>
      </w:r>
    </w:p>
    <w:p w14:paraId="3E218331"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26B2CEA3" w14:textId="77777777" w:rsidR="00000000" w:rsidRDefault="002F725F">
      <w:pPr>
        <w:pStyle w:val="NormalWeb"/>
        <w:spacing w:before="0" w:beforeAutospacing="0" w:after="0" w:afterAutospacing="0"/>
        <w:jc w:val="both"/>
        <w:divId w:val="415980837"/>
        <w:rPr>
          <w:sz w:val="20"/>
          <w:szCs w:val="20"/>
        </w:rPr>
      </w:pPr>
      <w:r>
        <w:rPr>
          <w:b/>
          <w:bCs/>
          <w:sz w:val="20"/>
          <w:szCs w:val="20"/>
        </w:rPr>
        <w:t>Structure and Consummation of the Merger</w:t>
      </w:r>
    </w:p>
    <w:p w14:paraId="34AE02E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2B240E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Merger Agreement provides for the merger of Merger Sub with and </w:t>
      </w:r>
      <w:r>
        <w:rPr>
          <w:sz w:val="20"/>
          <w:szCs w:val="20"/>
        </w:rPr>
        <w:t>into the Company on the terms, and subject to the conditions, of the Merger Agreement, with the Company being the Surviving Company of the Merger. If the Merger is consummated, the Company will cease to be a publicly traded company and will become a wholly</w:t>
      </w:r>
      <w:r>
        <w:rPr>
          <w:sz w:val="20"/>
          <w:szCs w:val="20"/>
        </w:rPr>
        <w:t xml:space="preserve"> owned subsidiary of Parent. The closing of the Merger will occur no later than the fifth business day following the day on which the last of the conditions to the Merger has been satisfied or waived (other than those conditions that by their nature are to</w:t>
      </w:r>
      <w:r>
        <w:rPr>
          <w:sz w:val="20"/>
          <w:szCs w:val="20"/>
        </w:rPr>
        <w:t xml:space="preserve"> be satisfied at the closing, but subject to the satisfaction or waiver of those conditions). On the closing date, Merger Sub and the Company will execute and file the Plan of Merger, the Variation of Share Capital, the Adoption of Amended M&amp;A and other ap</w:t>
      </w:r>
      <w:r>
        <w:rPr>
          <w:sz w:val="20"/>
          <w:szCs w:val="20"/>
        </w:rPr>
        <w:t>propriate documents with the Cayman Registrar as required by the Cayman Islands Companies Act. The Merger will become effective at such time as specified in the Plan of Merger, in accordance with the Cayman Islands Companies Act.</w:t>
      </w:r>
    </w:p>
    <w:p w14:paraId="5B70570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FC7661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We currently expect that</w:t>
      </w:r>
      <w:r>
        <w:rPr>
          <w:sz w:val="20"/>
          <w:szCs w:val="20"/>
        </w:rPr>
        <w:t xml:space="preserve"> the Merger will be consummated during the third quarter of 2026, after all conditions to the Merger have been satisfied or waived. We cannot specify when, or assure you that, all conditions to the Merger will be satisfied or waived; however, we intend to </w:t>
      </w:r>
      <w:r>
        <w:rPr>
          <w:sz w:val="20"/>
          <w:szCs w:val="20"/>
        </w:rPr>
        <w:t>complete the Merger as promptly as practicable.</w:t>
      </w:r>
    </w:p>
    <w:p w14:paraId="1FA50D5A"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19FDECC5" w14:textId="77777777" w:rsidR="00000000" w:rsidRDefault="002F725F">
      <w:pPr>
        <w:pStyle w:val="NormalWeb"/>
        <w:spacing w:before="0" w:beforeAutospacing="0" w:after="0" w:afterAutospacing="0"/>
        <w:jc w:val="both"/>
        <w:divId w:val="415980837"/>
        <w:rPr>
          <w:sz w:val="20"/>
          <w:szCs w:val="20"/>
        </w:rPr>
      </w:pPr>
      <w:r>
        <w:rPr>
          <w:b/>
          <w:bCs/>
          <w:sz w:val="20"/>
          <w:szCs w:val="20"/>
        </w:rPr>
        <w:t>Memorandum and Articles of Association; Authorized Share Capital; Directors and Officers of the Surviving Company</w:t>
      </w:r>
    </w:p>
    <w:p w14:paraId="3D71087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45DF72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the Effective Time, the memorandum and articles of association of the Company, by virtu</w:t>
      </w:r>
      <w:r>
        <w:rPr>
          <w:sz w:val="20"/>
          <w:szCs w:val="20"/>
        </w:rPr>
        <w:t>e of the Merger and without any further action by the Surviving Company, will be amended and restated in its entirety to read identically to the memorandum and articles of association of Merger Sub, as in effect immediately prior to the Effective Time, unt</w:t>
      </w:r>
      <w:r>
        <w:rPr>
          <w:sz w:val="20"/>
          <w:szCs w:val="20"/>
        </w:rPr>
        <w:t>il thereafter amended in accordance with applicable laws and as provided in such memorandum and articles of association; provided, however, that, (a) all references to “Oceanpine Merger Sub Inc.” in the memorandum and articles of association of the Survivi</w:t>
      </w:r>
      <w:r>
        <w:rPr>
          <w:sz w:val="20"/>
          <w:szCs w:val="20"/>
        </w:rPr>
        <w:t>ng Company will be amended to “LakeShore Biopharma Co., Ltd”, (b) references therein to the authorized share capital of the Merger Sub will be amended as necessary to correctly describe the authorized share capital of the Surviving Company as approved in t</w:t>
      </w:r>
      <w:r>
        <w:rPr>
          <w:sz w:val="20"/>
          <w:szCs w:val="20"/>
        </w:rPr>
        <w:t>he Plan of Merger, and (c) such memorandum and articles of association will include such indemnification, advancement of expenses and exculpation provisions as required by the Merger Agreement.</w:t>
      </w:r>
    </w:p>
    <w:p w14:paraId="13E0333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B18C15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At the Effective Time, pursuant to the Merger Agreement and </w:t>
      </w:r>
      <w:r>
        <w:rPr>
          <w:sz w:val="20"/>
          <w:szCs w:val="20"/>
        </w:rPr>
        <w:t>the Plan of Merger, the Company’s authorized share capital will be amended, from US$50,000 divided into 250,000,000 ordinary shares of a par value of US$0.0002 each to US$50,000 divided into 500,000,000 ordinary shares of a par value of US$0.0001 each, whi</w:t>
      </w:r>
      <w:r>
        <w:rPr>
          <w:sz w:val="20"/>
          <w:szCs w:val="20"/>
        </w:rPr>
        <w:t xml:space="preserve">ch is necessary to align the Surviving Company’s authorized share capital to be the same as that of Merger Sub as set forth in the Plan </w:t>
      </w:r>
      <w:r>
        <w:rPr>
          <w:sz w:val="20"/>
          <w:szCs w:val="20"/>
        </w:rPr>
        <w:lastRenderedPageBreak/>
        <w:t>of Merger. The Variation of Share Capital will not affect the merger consideration to be received by the Unaffiliated Se</w:t>
      </w:r>
      <w:r>
        <w:rPr>
          <w:sz w:val="20"/>
          <w:szCs w:val="20"/>
        </w:rPr>
        <w:t>curity Holders.</w:t>
      </w:r>
    </w:p>
    <w:p w14:paraId="1FBDAE4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AD294F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directors of Merger Sub immediately prior to the Effective Time will be the initial directors of the Surviving Company, and the officers of the Company immediately prior to the Effective Time will be the initial officers of the Surviv</w:t>
      </w:r>
      <w:r>
        <w:rPr>
          <w:sz w:val="20"/>
          <w:szCs w:val="20"/>
        </w:rPr>
        <w:t>ing Company, in each case, unless otherwise determined by Parent prior to the Effective Time, and until their respective successors are duly elected or appointed and qualified or until the earlier of their death, resignation or removal in accordance with t</w:t>
      </w:r>
      <w:r>
        <w:rPr>
          <w:sz w:val="20"/>
          <w:szCs w:val="20"/>
        </w:rPr>
        <w:t>he memorandum and articles of association of the Surviving Company and applicable laws.</w:t>
      </w:r>
    </w:p>
    <w:p w14:paraId="0BA94E54" w14:textId="77777777" w:rsidR="00000000" w:rsidRDefault="002F725F">
      <w:pPr>
        <w:pStyle w:val="NormalWeb"/>
        <w:spacing w:before="0" w:beforeAutospacing="0" w:after="0" w:afterAutospacing="0"/>
        <w:jc w:val="both"/>
        <w:divId w:val="415980837"/>
        <w:rPr>
          <w:sz w:val="20"/>
          <w:szCs w:val="20"/>
        </w:rPr>
      </w:pPr>
      <w:r>
        <w:rPr>
          <w:b/>
          <w:bCs/>
          <w:sz w:val="20"/>
          <w:szCs w:val="20"/>
        </w:rPr>
        <w:t> </w:t>
      </w:r>
    </w:p>
    <w:p w14:paraId="792E9F64" w14:textId="77777777" w:rsidR="00000000" w:rsidRDefault="002F725F">
      <w:pPr>
        <w:pStyle w:val="NormalWeb"/>
        <w:spacing w:before="0" w:beforeAutospacing="0" w:after="0" w:afterAutospacing="0"/>
        <w:jc w:val="both"/>
        <w:divId w:val="415980837"/>
        <w:rPr>
          <w:sz w:val="20"/>
          <w:szCs w:val="20"/>
        </w:rPr>
      </w:pPr>
      <w:r>
        <w:rPr>
          <w:b/>
          <w:bCs/>
          <w:sz w:val="20"/>
          <w:szCs w:val="20"/>
        </w:rPr>
        <w:t>Merger Consideration</w:t>
      </w:r>
    </w:p>
    <w:p w14:paraId="0CA5A5F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9DD625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If the Merger is consummated, at the Effective Time, (a) each Share issued and outstanding immediately prior to the Effective Time (other than </w:t>
      </w:r>
      <w:r>
        <w:rPr>
          <w:sz w:val="20"/>
          <w:szCs w:val="20"/>
        </w:rPr>
        <w:t>the Excluded Shares and the Dissenting Shares) will be cancelled and cease to exist in exchange for the right to receive US$0.066 in cash per Share without interest and net of any applicable withholding taxes, (b) each Excluded Share issued and outstanding</w:t>
      </w:r>
      <w:r>
        <w:rPr>
          <w:sz w:val="20"/>
          <w:szCs w:val="20"/>
        </w:rPr>
        <w:t xml:space="preserve"> immediately prior to the Effective Time will be cancelled and cease to exist without payment of any consideration or distribution therefor, and (c) each Dissenting Share will be cancelled and cease to exist and thereafter represent only the right to recei</w:t>
      </w:r>
      <w:r>
        <w:rPr>
          <w:sz w:val="20"/>
          <w:szCs w:val="20"/>
        </w:rPr>
        <w:t>ve payment of the fair value of such Dissenting Share as determined in accordance with the provisions of Section 238 of the Cayman Islands Companies Act.</w:t>
      </w:r>
    </w:p>
    <w:p w14:paraId="4D1209AE"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80A37E5" w14:textId="77777777" w:rsidR="00000000" w:rsidRDefault="002F725F">
      <w:pPr>
        <w:pStyle w:val="NormalWeb"/>
        <w:spacing w:before="0" w:beforeAutospacing="0" w:after="0" w:afterAutospacing="0"/>
        <w:jc w:val="center"/>
        <w:divId w:val="1623920750"/>
        <w:rPr>
          <w:sz w:val="20"/>
          <w:szCs w:val="20"/>
        </w:rPr>
      </w:pPr>
      <w:r>
        <w:rPr>
          <w:sz w:val="20"/>
          <w:szCs w:val="20"/>
        </w:rPr>
        <w:t>8</w:t>
      </w:r>
      <w:r>
        <w:rPr>
          <w:sz w:val="20"/>
          <w:szCs w:val="20"/>
        </w:rPr>
        <w:t>2</w:t>
      </w:r>
    </w:p>
    <w:p w14:paraId="4B0F244F" w14:textId="77777777" w:rsidR="00000000" w:rsidRDefault="002F725F">
      <w:pPr>
        <w:pStyle w:val="NormalWeb"/>
        <w:spacing w:before="0" w:beforeAutospacing="0" w:after="0" w:afterAutospacing="0"/>
        <w:divId w:val="1604997811"/>
        <w:rPr>
          <w:sz w:val="20"/>
          <w:szCs w:val="20"/>
        </w:rPr>
      </w:pPr>
      <w:r>
        <w:rPr>
          <w:sz w:val="20"/>
          <w:szCs w:val="20"/>
        </w:rPr>
        <w:t> </w:t>
      </w:r>
    </w:p>
    <w:p w14:paraId="1EF0B58E"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371CDA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Per Share Merger Consideration and any other amounts payable pursuant to the Merger Agree</w:t>
      </w:r>
      <w:r>
        <w:rPr>
          <w:sz w:val="20"/>
          <w:szCs w:val="20"/>
        </w:rPr>
        <w:t>ment will be adjusted appropriately to reflect the effect of any share split, reverse share split, share dividend (including any dividend or other distribution of securities convertible into Shares), reorganization, recapitalization, reclassification, comb</w:t>
      </w:r>
      <w:r>
        <w:rPr>
          <w:sz w:val="20"/>
          <w:szCs w:val="20"/>
        </w:rPr>
        <w:t xml:space="preserve">ination, exchange of shares or other like change with respect to the Shares, effectuated after the date of the Merger Agreement and prior to the Effective Time (but excluding any change that results from any exercise of Company Options or Company Warrants </w:t>
      </w:r>
      <w:r>
        <w:rPr>
          <w:sz w:val="20"/>
          <w:szCs w:val="20"/>
        </w:rPr>
        <w:t>to purchase Shares or the vesting of any Company RSUs), and to provide the holders of Shares, Company Options, Company Warrants and Company RSUs with the same economic effect as contemplated by the Merger Agreement prior to such event and as so adjusted wi</w:t>
      </w:r>
      <w:r>
        <w:rPr>
          <w:sz w:val="20"/>
          <w:szCs w:val="20"/>
        </w:rPr>
        <w:t>ll, from and after the date of such event, be the Per Share Merger Consideration.</w:t>
      </w:r>
    </w:p>
    <w:p w14:paraId="0FEC051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C8C39BD" w14:textId="77777777" w:rsidR="00000000" w:rsidRDefault="002F725F">
      <w:pPr>
        <w:pStyle w:val="NormalWeb"/>
        <w:spacing w:before="0" w:beforeAutospacing="0" w:after="0" w:afterAutospacing="0"/>
        <w:jc w:val="both"/>
        <w:divId w:val="415980837"/>
        <w:rPr>
          <w:sz w:val="20"/>
          <w:szCs w:val="20"/>
        </w:rPr>
      </w:pPr>
      <w:r>
        <w:rPr>
          <w:b/>
          <w:bCs/>
          <w:sz w:val="20"/>
          <w:szCs w:val="20"/>
        </w:rPr>
        <w:t>Treatment of Company Warrants</w:t>
      </w:r>
    </w:p>
    <w:p w14:paraId="5A900790"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27EFB8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From and after the Effective </w:t>
      </w:r>
      <w:r>
        <w:rPr>
          <w:sz w:val="20"/>
          <w:szCs w:val="20"/>
        </w:rPr>
        <w:t>Time, each Company Warrants will, by virtue of the Merger and without any action on the part of the Company, Parent, Merger Sub or the holders thereof, be treated in the manner set forth in the Warrant Agreement.</w:t>
      </w:r>
    </w:p>
    <w:p w14:paraId="3C851AB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95E33FF" w14:textId="77777777" w:rsidR="00000000" w:rsidRDefault="002F725F">
      <w:pPr>
        <w:pStyle w:val="NormalWeb"/>
        <w:spacing w:before="0" w:beforeAutospacing="0" w:after="0" w:afterAutospacing="0"/>
        <w:jc w:val="both"/>
        <w:divId w:val="415980837"/>
        <w:rPr>
          <w:sz w:val="20"/>
          <w:szCs w:val="20"/>
        </w:rPr>
      </w:pPr>
      <w:r>
        <w:rPr>
          <w:b/>
          <w:bCs/>
          <w:sz w:val="20"/>
          <w:szCs w:val="20"/>
        </w:rPr>
        <w:t>Exchange Procedures</w:t>
      </w:r>
    </w:p>
    <w:p w14:paraId="0DFD97D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4B7545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Immediately prior t</w:t>
      </w:r>
      <w:r>
        <w:rPr>
          <w:sz w:val="20"/>
          <w:szCs w:val="20"/>
        </w:rPr>
        <w:t>o the Effective Time, Parent will deposit or cause to be deposited, with a bank or trust company reasonably acceptable to the Company acting as paying agent, a cash amount in immediately available funds sufficient for the paying agent to make timely paymen</w:t>
      </w:r>
      <w:r>
        <w:rPr>
          <w:sz w:val="20"/>
          <w:szCs w:val="20"/>
        </w:rPr>
        <w:t>t of the full amount of the merger consideration.</w:t>
      </w:r>
    </w:p>
    <w:p w14:paraId="182B9F1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C8411F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Promptly after the Effective Time and in any event not later than the fifth business day following the closing date, the Surviving Company will cause the paying agent to mail to each holder of record of S</w:t>
      </w:r>
      <w:r>
        <w:rPr>
          <w:sz w:val="20"/>
          <w:szCs w:val="20"/>
        </w:rPr>
        <w:t>hares (other than Excluded Shares and Dissenting Shares) entitled to receive the Per Share Merger Consideration: (i) a letter of transmittal, which will be in customary form for a company incorporated in the Cayman Islands, and (ii) instructions for use in</w:t>
      </w:r>
      <w:r>
        <w:rPr>
          <w:sz w:val="20"/>
          <w:szCs w:val="20"/>
        </w:rPr>
        <w:t xml:space="preserve"> effecting the surrender of certificates representing the Shares (or affidavits and indemnities of loss in lieu of the certificates) in exchange for payment of the Per Share Merger Consideration to which the holder thereof is entitled.</w:t>
      </w:r>
    </w:p>
    <w:p w14:paraId="51B34425"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p w14:paraId="654A177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Upon surrender of </w:t>
      </w:r>
      <w:r>
        <w:rPr>
          <w:sz w:val="20"/>
          <w:szCs w:val="20"/>
        </w:rPr>
        <w:t>a certificate representing the Shares (or affidavits and indemnities of loss in lieu of the certificates) for cancellation to the paying agent together with such letter of transmittal, duly executed in accordance with the instructions thereto, the holder o</w:t>
      </w:r>
      <w:r>
        <w:rPr>
          <w:sz w:val="20"/>
          <w:szCs w:val="20"/>
        </w:rPr>
        <w:t>f such certificate (or affidavits and indemnities of loss in lieu of the certificates) will be entitled to receive in exchange therefor cash, in the amount (after giving effect to any required withholding of taxes) equal to (A) the number of Shares formerl</w:t>
      </w:r>
      <w:r>
        <w:rPr>
          <w:sz w:val="20"/>
          <w:szCs w:val="20"/>
        </w:rPr>
        <w:t>y represented by such certificate (or affidavits and indemnities of loss in lieu of the certificates) multiplied by (B) the Per Share Merger Consideration, and the certificate so surrendered will forthwith be cancelled.</w:t>
      </w:r>
    </w:p>
    <w:p w14:paraId="6673B3E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FCAA107" w14:textId="77777777" w:rsidR="00000000" w:rsidRDefault="002F725F">
      <w:pPr>
        <w:pStyle w:val="NormalWeb"/>
        <w:spacing w:before="0" w:beforeAutospacing="0" w:after="0" w:afterAutospacing="0"/>
        <w:jc w:val="both"/>
        <w:divId w:val="415980837"/>
        <w:rPr>
          <w:sz w:val="20"/>
          <w:szCs w:val="20"/>
        </w:rPr>
      </w:pPr>
      <w:r>
        <w:rPr>
          <w:b/>
          <w:bCs/>
          <w:sz w:val="20"/>
          <w:szCs w:val="20"/>
        </w:rPr>
        <w:t>Treatment of Company Equity Awards</w:t>
      </w:r>
    </w:p>
    <w:p w14:paraId="1B907524"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FEAB9A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or prior to the Effective Time, the Company will terminate the Share Incentive Plans and all award agreements entered into under Company Options and Company RSUs, effective as of the Effective Time.</w:t>
      </w:r>
    </w:p>
    <w:p w14:paraId="3ADFF6E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D0FFC9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Each Company Option granted under the 2020 Plan t</w:t>
      </w:r>
      <w:r>
        <w:rPr>
          <w:sz w:val="20"/>
          <w:szCs w:val="20"/>
        </w:rPr>
        <w:t>hat is not vested and is outstanding immediately prior to the Effective Time will become fully vested as of the Effective Time. Each Company Option granted under the 2020 Plan that is fully vested and outstanding immediately prior to the Effective Time and</w:t>
      </w:r>
      <w:r>
        <w:rPr>
          <w:sz w:val="20"/>
          <w:szCs w:val="20"/>
        </w:rPr>
        <w:t xml:space="preserve"> the unvested Company Options that become fully vested as of the Effective Time pursuant to the preceding sentence will be cancelled as of the Effective Time and immediately converted into the right to receive in exchange therefor an amount of cash equal t</w:t>
      </w:r>
      <w:r>
        <w:rPr>
          <w:sz w:val="20"/>
          <w:szCs w:val="20"/>
        </w:rPr>
        <w:t>o (i) the excess, if any, of (A) the Per Share Merger Consideration over (B) the exercise price of such Company Option, multiplied by (ii) the number of Shares underlying such Company Option, which amount will be paid as soon as reasonably practicable foll</w:t>
      </w:r>
      <w:r>
        <w:rPr>
          <w:sz w:val="20"/>
          <w:szCs w:val="20"/>
        </w:rPr>
        <w:t xml:space="preserve">owing the Effective Time by the Surviving Company pursuant to the ordinary payroll practices; provided, that if the exercise price of any such vested Company Option is equal to or greater than the Per Share Merger Consideration, such vested Company Option </w:t>
      </w:r>
      <w:r>
        <w:rPr>
          <w:sz w:val="20"/>
          <w:szCs w:val="20"/>
        </w:rPr>
        <w:t>will be cancelled without any payment therefor.</w:t>
      </w:r>
    </w:p>
    <w:p w14:paraId="2959422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04BDF8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Each Company RSU granted under the 2020 Plan that is not vested and is outstanding immediately prior to the Effective Time will become fully vested immediately prior to the Effective Time. Each Company RSU </w:t>
      </w:r>
      <w:r>
        <w:rPr>
          <w:sz w:val="20"/>
          <w:szCs w:val="20"/>
        </w:rPr>
        <w:t>granted under the 2020 Plan that is fully vested and outstanding immediately prior to the Effective Time and the unvested Company RSUs that become fully vested as of the Effective Time pursuant to the preceding sentence will be cancelled as of the Effectiv</w:t>
      </w:r>
      <w:r>
        <w:rPr>
          <w:sz w:val="20"/>
          <w:szCs w:val="20"/>
        </w:rPr>
        <w:t>e Time and immediately converted into the right to receive in exchange therefor an amount of cash equal to (i) the Per Share Merger Consideration, multiplied by (ii) the number of Shares subject to such Company RSUs, which amount will be paid as soon as re</w:t>
      </w:r>
      <w:r>
        <w:rPr>
          <w:sz w:val="20"/>
          <w:szCs w:val="20"/>
        </w:rPr>
        <w:t>asonably practicable following the Effective Time by the Surviving Company pursuant to the ordinary payroll practices.</w:t>
      </w:r>
    </w:p>
    <w:p w14:paraId="59CC416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BF6A939" w14:textId="77777777" w:rsidR="00000000" w:rsidRDefault="002F725F">
      <w:pPr>
        <w:pStyle w:val="NormalWeb"/>
        <w:spacing w:before="0" w:beforeAutospacing="0" w:after="0" w:afterAutospacing="0"/>
        <w:jc w:val="center"/>
        <w:divId w:val="1221089460"/>
        <w:rPr>
          <w:sz w:val="20"/>
          <w:szCs w:val="20"/>
        </w:rPr>
      </w:pPr>
      <w:r>
        <w:rPr>
          <w:sz w:val="20"/>
          <w:szCs w:val="20"/>
        </w:rPr>
        <w:t>8</w:t>
      </w:r>
      <w:r>
        <w:rPr>
          <w:sz w:val="20"/>
          <w:szCs w:val="20"/>
        </w:rPr>
        <w:t>3</w:t>
      </w:r>
    </w:p>
    <w:p w14:paraId="10C6B325" w14:textId="77777777" w:rsidR="00000000" w:rsidRDefault="002F725F">
      <w:pPr>
        <w:pStyle w:val="NormalWeb"/>
        <w:spacing w:before="0" w:beforeAutospacing="0" w:after="0" w:afterAutospacing="0"/>
        <w:divId w:val="580287277"/>
        <w:rPr>
          <w:sz w:val="20"/>
          <w:szCs w:val="20"/>
        </w:rPr>
      </w:pPr>
      <w:r>
        <w:rPr>
          <w:sz w:val="20"/>
          <w:szCs w:val="20"/>
        </w:rPr>
        <w:t> </w:t>
      </w:r>
    </w:p>
    <w:p w14:paraId="31D3583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3EB7A7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the Effective Time, except as otherwise agreed to in writing between a holder of a Company Option and Parent, each Company Op</w:t>
      </w:r>
      <w:r>
        <w:rPr>
          <w:sz w:val="20"/>
          <w:szCs w:val="20"/>
        </w:rPr>
        <w:t>tion under the 2024 Plan, whether vested or unvested, will be assumed by Parent as an option to purchase Parent Shares under an equity incentive plan to be established by Parent, exercisable into a number of Parent Shares equal to the product of (i) the nu</w:t>
      </w:r>
      <w:r>
        <w:rPr>
          <w:sz w:val="20"/>
          <w:szCs w:val="20"/>
        </w:rPr>
        <w:t>mber of Shares subject to the corresponding Company Option immediately prior to the Effective Time, multiplied by (ii) the Exchange Ratio, and rounding such product down to the nearest whole number of Parent Shares, with an exercise price per share subject</w:t>
      </w:r>
      <w:r>
        <w:rPr>
          <w:sz w:val="20"/>
          <w:szCs w:val="20"/>
        </w:rPr>
        <w:t xml:space="preserve"> to the assumed option equal to the exercise price for which the corresponding Company Option was exercisable immediately prior to the Effective Time divided by the Exchange Ratio, and rounded up to the nearest whole cent. Except as provided above, each as</w:t>
      </w:r>
      <w:r>
        <w:rPr>
          <w:sz w:val="20"/>
          <w:szCs w:val="20"/>
        </w:rPr>
        <w:t>sumed option will continue to have, and be subject to, the same terms and conditions as the corresponding Company Option set forth in the 2024 Plan and the applicable award agreement as in effect immediately prior to the Effective Time.</w:t>
      </w:r>
    </w:p>
    <w:p w14:paraId="4BC6DEB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75AA2A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At the Effective Time, except as otherwise agreed to in writing between a holder of a Company RSU and Parent, each Company RSU under the 2024 Plan, whether vested or unvested, will be assumed by Parent as a restricted stock unit award with respect to a num</w:t>
      </w:r>
      <w:r>
        <w:rPr>
          <w:sz w:val="20"/>
          <w:szCs w:val="20"/>
        </w:rPr>
        <w:t>ber of Parent Shares equal to the product of (i) the number of Shares subject to such Company RSU immediately prior to the Effective Time, multiplied by (ii) the Exchange Ratio, rounding such product down to the nearest whole number of Parent Shares. Excep</w:t>
      </w:r>
      <w:r>
        <w:rPr>
          <w:sz w:val="20"/>
          <w:szCs w:val="20"/>
        </w:rPr>
        <w:t xml:space="preserve">t as provided above, each assumed restricted stock </w:t>
      </w:r>
      <w:r>
        <w:rPr>
          <w:sz w:val="20"/>
          <w:szCs w:val="20"/>
        </w:rPr>
        <w:lastRenderedPageBreak/>
        <w:t>unit award will continue to have, and be subject to, the same terms and conditions as the corresponding Company RSU set forth in the 2024 Plan and the applicable award agreement as in effect immediately pr</w:t>
      </w:r>
      <w:r>
        <w:rPr>
          <w:sz w:val="20"/>
          <w:szCs w:val="20"/>
        </w:rPr>
        <w:t>ior to the Effective Time.</w:t>
      </w:r>
    </w:p>
    <w:p w14:paraId="5B1F369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77E08B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Parent may seek, prior to the closing date, to agree with an individual holder of any Company Options or Company RSUs that all or a portion of such holder’s Company Options or Company RSUs will not be treated as provided in the</w:t>
      </w:r>
      <w:r>
        <w:rPr>
          <w:sz w:val="20"/>
          <w:szCs w:val="20"/>
        </w:rPr>
        <w:t xml:space="preserve"> Merger Agreement, but will instead be treated as otherwise agreed by and among such holder, the Company and Parent; provided, that in no event will such arrangement result in the assumption, substitution or continuation of such Company Options or Company </w:t>
      </w:r>
      <w:r>
        <w:rPr>
          <w:sz w:val="20"/>
          <w:szCs w:val="20"/>
        </w:rPr>
        <w:t>RSUs with terms and conditions that provide additional benefits to such individual holder as compared to terms and conditions in effect immediately prior to the Effective Time. The Company agrees that, to the extent that Parent has identified to the Compan</w:t>
      </w:r>
      <w:r>
        <w:rPr>
          <w:sz w:val="20"/>
          <w:szCs w:val="20"/>
        </w:rPr>
        <w:t>y in writing, at least 15 days prior to the closing date, the individuals with whom it is seeking agreement with respect to such Company Options or Company RSUs, the Company will use commercially reasonable efforts to facilitate Parent’s access to such ind</w:t>
      </w:r>
      <w:r>
        <w:rPr>
          <w:sz w:val="20"/>
          <w:szCs w:val="20"/>
        </w:rPr>
        <w:t>ividuals in order to discuss such alternative arrangement.</w:t>
      </w:r>
    </w:p>
    <w:p w14:paraId="1921F1E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6493FEC" w14:textId="77777777" w:rsidR="00000000" w:rsidRDefault="002F725F">
      <w:pPr>
        <w:pStyle w:val="NormalWeb"/>
        <w:spacing w:before="0" w:beforeAutospacing="0" w:after="0" w:afterAutospacing="0"/>
        <w:jc w:val="both"/>
        <w:divId w:val="415980837"/>
        <w:rPr>
          <w:sz w:val="20"/>
          <w:szCs w:val="20"/>
        </w:rPr>
      </w:pPr>
      <w:r>
        <w:rPr>
          <w:b/>
          <w:bCs/>
          <w:sz w:val="20"/>
          <w:szCs w:val="20"/>
        </w:rPr>
        <w:t>Representations and Warranties</w:t>
      </w:r>
    </w:p>
    <w:p w14:paraId="03260BE4"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5A2E46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Merger Agreement contains representations and warranties made by the Company to Parent and Merger Sub and representations and warranties made by Parent and Me</w:t>
      </w:r>
      <w:r>
        <w:rPr>
          <w:sz w:val="20"/>
          <w:szCs w:val="20"/>
        </w:rPr>
        <w:t xml:space="preserve">rger Sub, jointly and severally, to the Company. The statements embodied in those representations and warranties were made for purposes of the Merger Agreement and are subject to important qualifications and limitations agreed by the parties in connection </w:t>
      </w:r>
      <w:r>
        <w:rPr>
          <w:sz w:val="20"/>
          <w:szCs w:val="20"/>
        </w:rPr>
        <w:t>with negotiating the terms of the Merger Agreement. In addition, some of those representations and warranties may be subject to a contractual standard of materiality different from that generally applicable to shareholders, may have been made for the princ</w:t>
      </w:r>
      <w:r>
        <w:rPr>
          <w:sz w:val="20"/>
          <w:szCs w:val="20"/>
        </w:rPr>
        <w:t>ipal purposes of establishing the circumstances in which a party to the Merger Agreement may have the right not to consummate the Merger if the representations and warranties of the other party prove to be untrue due to a change in circumstance or otherwis</w:t>
      </w:r>
      <w:r>
        <w:rPr>
          <w:sz w:val="20"/>
          <w:szCs w:val="20"/>
        </w:rPr>
        <w:t xml:space="preserve">e and allocating risks between the parties to the Merger Agreement rather than establishing matters as facts. Moreover, the representations and warranties made by the Company were qualified by (a) the public disclosure and filings made by the Company with </w:t>
      </w:r>
      <w:r>
        <w:rPr>
          <w:sz w:val="20"/>
          <w:szCs w:val="20"/>
        </w:rPr>
        <w:t>the SEC prior to the date of the Original Merger Agreement and (b) any information of which any of Parent, Merger Sub, the Sponsor or any of the Sponsor’s affiliates or any Representative (as defined below) of the Sponsor or its affiliates has knowledge, o</w:t>
      </w:r>
      <w:r>
        <w:rPr>
          <w:sz w:val="20"/>
          <w:szCs w:val="20"/>
        </w:rPr>
        <w:t xml:space="preserve">r should have knowledge after due inquiry, prior to the date of the Original Merger Agreement. It should also be noted that information concerning the subject matter of the representations and warranties, which do not purport to be accurate as of the date </w:t>
      </w:r>
      <w:r>
        <w:rPr>
          <w:sz w:val="20"/>
          <w:szCs w:val="20"/>
        </w:rPr>
        <w:t>of this proxy statement, may have changed since the date of the Merger Agreement and subsequent developments or new information qualifying a representation or warranty may have been included in this proxy statement. “Representatives” means, with respect to</w:t>
      </w:r>
      <w:r>
        <w:rPr>
          <w:sz w:val="20"/>
          <w:szCs w:val="20"/>
        </w:rPr>
        <w:t xml:space="preserve"> any person, such person’s directors, officers, general or managing partners, other employees, agents, attorneys, accountants, financial and legal advisors, consultants, financing sources and other representatives, and the respective Representatives of the</w:t>
      </w:r>
      <w:r>
        <w:rPr>
          <w:sz w:val="20"/>
          <w:szCs w:val="20"/>
        </w:rPr>
        <w:t xml:space="preserve"> foregoing.</w:t>
      </w:r>
    </w:p>
    <w:p w14:paraId="3521DEB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F6A47B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representations and warranties made by the Company to Parent and Merger Sub include representations and warranties (subject to their respective materiality qualifications as provided in the Merger Agreement) relating to, among other thing</w:t>
      </w:r>
      <w:r>
        <w:rPr>
          <w:sz w:val="20"/>
          <w:szCs w:val="20"/>
        </w:rPr>
        <w:t>s:</w:t>
      </w:r>
    </w:p>
    <w:p w14:paraId="5B4EB9A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BA92EEC" w14:textId="77777777">
        <w:trPr>
          <w:divId w:val="415980837"/>
          <w:tblCellSpacing w:w="0" w:type="dxa"/>
        </w:trPr>
        <w:tc>
          <w:tcPr>
            <w:tcW w:w="720" w:type="dxa"/>
            <w:hideMark/>
          </w:tcPr>
          <w:p w14:paraId="76364603" w14:textId="77777777" w:rsidR="00000000" w:rsidRDefault="002F725F">
            <w:pPr>
              <w:rPr>
                <w:sz w:val="20"/>
                <w:szCs w:val="20"/>
              </w:rPr>
            </w:pPr>
          </w:p>
        </w:tc>
        <w:tc>
          <w:tcPr>
            <w:tcW w:w="360" w:type="dxa"/>
            <w:hideMark/>
          </w:tcPr>
          <w:p w14:paraId="1B28E052" w14:textId="77777777" w:rsidR="00000000" w:rsidRDefault="002F725F">
            <w:pPr>
              <w:rPr>
                <w:rFonts w:eastAsia="Times New Roman"/>
                <w:sz w:val="20"/>
                <w:szCs w:val="20"/>
              </w:rPr>
            </w:pPr>
            <w:r>
              <w:rPr>
                <w:rFonts w:eastAsia="Times New Roman"/>
                <w:sz w:val="20"/>
                <w:szCs w:val="20"/>
              </w:rPr>
              <w:t>●</w:t>
            </w:r>
          </w:p>
        </w:tc>
        <w:tc>
          <w:tcPr>
            <w:tcW w:w="0" w:type="auto"/>
            <w:hideMark/>
          </w:tcPr>
          <w:p w14:paraId="0A326DC1" w14:textId="77777777" w:rsidR="00000000" w:rsidRDefault="002F725F">
            <w:pPr>
              <w:jc w:val="both"/>
              <w:rPr>
                <w:rFonts w:eastAsia="Times New Roman"/>
                <w:sz w:val="20"/>
                <w:szCs w:val="20"/>
              </w:rPr>
            </w:pPr>
            <w:r>
              <w:rPr>
                <w:rFonts w:eastAsia="Times New Roman"/>
                <w:sz w:val="20"/>
                <w:szCs w:val="20"/>
              </w:rPr>
              <w:t>due organization, valid existence and good standing of the Company and its subsidiaries, and power and authority of the Company and its subsidiaries to carry on their respective business;</w:t>
            </w:r>
          </w:p>
        </w:tc>
      </w:tr>
    </w:tbl>
    <w:p w14:paraId="3479FB36"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0AE85DF" w14:textId="77777777">
        <w:trPr>
          <w:divId w:val="415980837"/>
          <w:tblCellSpacing w:w="0" w:type="dxa"/>
        </w:trPr>
        <w:tc>
          <w:tcPr>
            <w:tcW w:w="720" w:type="dxa"/>
            <w:hideMark/>
          </w:tcPr>
          <w:p w14:paraId="46A71A89" w14:textId="77777777" w:rsidR="00000000" w:rsidRDefault="002F725F">
            <w:pPr>
              <w:rPr>
                <w:sz w:val="20"/>
                <w:szCs w:val="20"/>
              </w:rPr>
            </w:pPr>
          </w:p>
        </w:tc>
        <w:tc>
          <w:tcPr>
            <w:tcW w:w="360" w:type="dxa"/>
            <w:hideMark/>
          </w:tcPr>
          <w:p w14:paraId="13B1E465" w14:textId="77777777" w:rsidR="00000000" w:rsidRDefault="002F725F">
            <w:pPr>
              <w:rPr>
                <w:rFonts w:eastAsia="Times New Roman"/>
                <w:sz w:val="20"/>
                <w:szCs w:val="20"/>
              </w:rPr>
            </w:pPr>
            <w:r>
              <w:rPr>
                <w:rFonts w:eastAsia="Times New Roman"/>
                <w:sz w:val="20"/>
                <w:szCs w:val="20"/>
              </w:rPr>
              <w:t>●</w:t>
            </w:r>
          </w:p>
        </w:tc>
        <w:tc>
          <w:tcPr>
            <w:tcW w:w="0" w:type="auto"/>
            <w:hideMark/>
          </w:tcPr>
          <w:p w14:paraId="2A93BC60" w14:textId="77777777" w:rsidR="00000000" w:rsidRDefault="002F725F">
            <w:pPr>
              <w:jc w:val="both"/>
              <w:rPr>
                <w:rFonts w:eastAsia="Times New Roman"/>
                <w:sz w:val="20"/>
                <w:szCs w:val="20"/>
              </w:rPr>
            </w:pPr>
            <w:r>
              <w:rPr>
                <w:rFonts w:eastAsia="Times New Roman"/>
                <w:sz w:val="20"/>
                <w:szCs w:val="20"/>
              </w:rPr>
              <w:t>no violation of the memorandum and articles of associa</w:t>
            </w:r>
            <w:r>
              <w:rPr>
                <w:rFonts w:eastAsia="Times New Roman"/>
                <w:sz w:val="20"/>
                <w:szCs w:val="20"/>
              </w:rPr>
              <w:t>tion or equivalent organizational documents of the Company and its subsidiaries;</w:t>
            </w:r>
          </w:p>
        </w:tc>
      </w:tr>
    </w:tbl>
    <w:p w14:paraId="42526B11" w14:textId="77777777" w:rsidR="00000000" w:rsidRDefault="002F725F">
      <w:pPr>
        <w:pStyle w:val="NormalWeb"/>
        <w:spacing w:before="0" w:beforeAutospacing="0" w:after="0" w:afterAutospacing="0"/>
        <w:divId w:val="415980837"/>
        <w:rPr>
          <w:sz w:val="20"/>
          <w:szCs w:val="20"/>
        </w:rPr>
      </w:pPr>
      <w:r>
        <w:rPr>
          <w:sz w:val="20"/>
          <w:szCs w:val="20"/>
        </w:rPr>
        <w:t> </w:t>
      </w:r>
    </w:p>
    <w:p w14:paraId="6EE247B6" w14:textId="77777777" w:rsidR="00000000" w:rsidRDefault="002F725F">
      <w:pPr>
        <w:pStyle w:val="NormalWeb"/>
        <w:spacing w:before="0" w:beforeAutospacing="0" w:after="0" w:afterAutospacing="0"/>
        <w:jc w:val="center"/>
        <w:divId w:val="478377979"/>
        <w:rPr>
          <w:sz w:val="20"/>
          <w:szCs w:val="20"/>
        </w:rPr>
      </w:pPr>
      <w:r>
        <w:rPr>
          <w:sz w:val="20"/>
          <w:szCs w:val="20"/>
        </w:rPr>
        <w:t>8</w:t>
      </w:r>
      <w:r>
        <w:rPr>
          <w:sz w:val="20"/>
          <w:szCs w:val="20"/>
        </w:rPr>
        <w:t>4</w:t>
      </w:r>
    </w:p>
    <w:p w14:paraId="79E602EE" w14:textId="77777777" w:rsidR="00000000" w:rsidRDefault="002F725F">
      <w:pPr>
        <w:pStyle w:val="NormalWeb"/>
        <w:spacing w:before="0" w:beforeAutospacing="0" w:after="0" w:afterAutospacing="0"/>
        <w:divId w:val="160894780"/>
        <w:rPr>
          <w:sz w:val="20"/>
          <w:szCs w:val="20"/>
        </w:rPr>
      </w:pPr>
      <w:r>
        <w:rPr>
          <w:sz w:val="20"/>
          <w:szCs w:val="20"/>
        </w:rPr>
        <w:t> </w:t>
      </w:r>
    </w:p>
    <w:p w14:paraId="080B615F"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1092F75" w14:textId="77777777">
        <w:trPr>
          <w:divId w:val="415980837"/>
          <w:tblCellSpacing w:w="0" w:type="dxa"/>
        </w:trPr>
        <w:tc>
          <w:tcPr>
            <w:tcW w:w="720" w:type="dxa"/>
            <w:hideMark/>
          </w:tcPr>
          <w:p w14:paraId="37A32532" w14:textId="77777777" w:rsidR="00000000" w:rsidRDefault="002F725F">
            <w:pPr>
              <w:rPr>
                <w:sz w:val="20"/>
                <w:szCs w:val="20"/>
              </w:rPr>
            </w:pPr>
          </w:p>
        </w:tc>
        <w:tc>
          <w:tcPr>
            <w:tcW w:w="360" w:type="dxa"/>
            <w:hideMark/>
          </w:tcPr>
          <w:p w14:paraId="08D6C509" w14:textId="77777777" w:rsidR="00000000" w:rsidRDefault="002F725F">
            <w:pPr>
              <w:rPr>
                <w:rFonts w:eastAsia="Times New Roman"/>
                <w:sz w:val="20"/>
                <w:szCs w:val="20"/>
              </w:rPr>
            </w:pPr>
            <w:r>
              <w:rPr>
                <w:rFonts w:eastAsia="Times New Roman"/>
                <w:sz w:val="20"/>
                <w:szCs w:val="20"/>
              </w:rPr>
              <w:t>●</w:t>
            </w:r>
          </w:p>
        </w:tc>
        <w:tc>
          <w:tcPr>
            <w:tcW w:w="0" w:type="auto"/>
            <w:hideMark/>
          </w:tcPr>
          <w:p w14:paraId="3251A3E4" w14:textId="77777777" w:rsidR="00000000" w:rsidRDefault="002F725F">
            <w:pPr>
              <w:jc w:val="both"/>
              <w:rPr>
                <w:rFonts w:eastAsia="Times New Roman"/>
                <w:sz w:val="20"/>
                <w:szCs w:val="20"/>
              </w:rPr>
            </w:pPr>
            <w:r>
              <w:rPr>
                <w:rFonts w:eastAsia="Times New Roman"/>
                <w:sz w:val="20"/>
                <w:szCs w:val="20"/>
              </w:rPr>
              <w:t>capitalization and share capital of the Company;</w:t>
            </w:r>
          </w:p>
        </w:tc>
      </w:tr>
    </w:tbl>
    <w:p w14:paraId="586E55DF"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2EC75D5" w14:textId="77777777">
        <w:trPr>
          <w:divId w:val="415980837"/>
          <w:tblCellSpacing w:w="0" w:type="dxa"/>
        </w:trPr>
        <w:tc>
          <w:tcPr>
            <w:tcW w:w="720" w:type="dxa"/>
            <w:hideMark/>
          </w:tcPr>
          <w:p w14:paraId="1BE138F6" w14:textId="77777777" w:rsidR="00000000" w:rsidRDefault="002F725F">
            <w:pPr>
              <w:rPr>
                <w:sz w:val="20"/>
                <w:szCs w:val="20"/>
              </w:rPr>
            </w:pPr>
          </w:p>
        </w:tc>
        <w:tc>
          <w:tcPr>
            <w:tcW w:w="360" w:type="dxa"/>
            <w:hideMark/>
          </w:tcPr>
          <w:p w14:paraId="2A52F85B" w14:textId="77777777" w:rsidR="00000000" w:rsidRDefault="002F725F">
            <w:pPr>
              <w:rPr>
                <w:rFonts w:eastAsia="Times New Roman"/>
                <w:sz w:val="20"/>
                <w:szCs w:val="20"/>
              </w:rPr>
            </w:pPr>
            <w:r>
              <w:rPr>
                <w:rFonts w:eastAsia="Times New Roman"/>
                <w:sz w:val="20"/>
                <w:szCs w:val="20"/>
              </w:rPr>
              <w:t>●</w:t>
            </w:r>
          </w:p>
        </w:tc>
        <w:tc>
          <w:tcPr>
            <w:tcW w:w="0" w:type="auto"/>
            <w:hideMark/>
          </w:tcPr>
          <w:p w14:paraId="4C0E7D5F" w14:textId="77777777" w:rsidR="00000000" w:rsidRDefault="002F725F">
            <w:pPr>
              <w:jc w:val="both"/>
              <w:rPr>
                <w:rFonts w:eastAsia="Times New Roman"/>
                <w:sz w:val="20"/>
                <w:szCs w:val="20"/>
              </w:rPr>
            </w:pPr>
            <w:r>
              <w:rPr>
                <w:rFonts w:eastAsia="Times New Roman"/>
                <w:sz w:val="20"/>
                <w:szCs w:val="20"/>
              </w:rPr>
              <w:t>the Company’</w:t>
            </w:r>
            <w:r>
              <w:rPr>
                <w:rFonts w:eastAsia="Times New Roman"/>
                <w:sz w:val="20"/>
                <w:szCs w:val="20"/>
              </w:rPr>
              <w:t>s corporate power and authority to execute, deliver, and perform its obligations under the Merger Agreement and to consummate the Transactions, and the enforceability of the Merger Agreement against the Company;</w:t>
            </w:r>
          </w:p>
        </w:tc>
      </w:tr>
    </w:tbl>
    <w:p w14:paraId="247161C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E44C236" w14:textId="77777777">
        <w:trPr>
          <w:divId w:val="415980837"/>
          <w:tblCellSpacing w:w="0" w:type="dxa"/>
        </w:trPr>
        <w:tc>
          <w:tcPr>
            <w:tcW w:w="720" w:type="dxa"/>
            <w:hideMark/>
          </w:tcPr>
          <w:p w14:paraId="2CC1746D" w14:textId="77777777" w:rsidR="00000000" w:rsidRDefault="002F725F">
            <w:pPr>
              <w:rPr>
                <w:sz w:val="20"/>
                <w:szCs w:val="20"/>
              </w:rPr>
            </w:pPr>
          </w:p>
        </w:tc>
        <w:tc>
          <w:tcPr>
            <w:tcW w:w="360" w:type="dxa"/>
            <w:hideMark/>
          </w:tcPr>
          <w:p w14:paraId="149C3E9C" w14:textId="77777777" w:rsidR="00000000" w:rsidRDefault="002F725F">
            <w:pPr>
              <w:rPr>
                <w:rFonts w:eastAsia="Times New Roman"/>
                <w:sz w:val="20"/>
                <w:szCs w:val="20"/>
              </w:rPr>
            </w:pPr>
            <w:r>
              <w:rPr>
                <w:rFonts w:eastAsia="Times New Roman"/>
                <w:sz w:val="20"/>
                <w:szCs w:val="20"/>
              </w:rPr>
              <w:t>●</w:t>
            </w:r>
          </w:p>
        </w:tc>
        <w:tc>
          <w:tcPr>
            <w:tcW w:w="0" w:type="auto"/>
            <w:hideMark/>
          </w:tcPr>
          <w:p w14:paraId="491AA550" w14:textId="77777777" w:rsidR="00000000" w:rsidRDefault="002F725F">
            <w:pPr>
              <w:jc w:val="both"/>
              <w:rPr>
                <w:rFonts w:eastAsia="Times New Roman"/>
                <w:sz w:val="20"/>
                <w:szCs w:val="20"/>
              </w:rPr>
            </w:pPr>
            <w:r>
              <w:rPr>
                <w:rFonts w:eastAsia="Times New Roman"/>
                <w:sz w:val="20"/>
                <w:szCs w:val="20"/>
              </w:rPr>
              <w:t>the receipt by the Special Committee o</w:t>
            </w:r>
            <w:r>
              <w:rPr>
                <w:rFonts w:eastAsia="Times New Roman"/>
                <w:sz w:val="20"/>
                <w:szCs w:val="20"/>
              </w:rPr>
              <w:t>f a fairness opinion from Duff &amp; Phelps, and the Board’s recommendation of the authorization and approval of the Merger Agreement, the Plan of Merger and the consummation of the Transactions to the shareholders (the “Company Recommendation”);</w:t>
            </w:r>
          </w:p>
        </w:tc>
      </w:tr>
    </w:tbl>
    <w:p w14:paraId="4EDB446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D7CCCF8" w14:textId="77777777">
        <w:trPr>
          <w:divId w:val="415980837"/>
          <w:tblCellSpacing w:w="0" w:type="dxa"/>
        </w:trPr>
        <w:tc>
          <w:tcPr>
            <w:tcW w:w="720" w:type="dxa"/>
            <w:hideMark/>
          </w:tcPr>
          <w:p w14:paraId="4CDC9C8E" w14:textId="77777777" w:rsidR="00000000" w:rsidRDefault="002F725F">
            <w:pPr>
              <w:rPr>
                <w:sz w:val="20"/>
                <w:szCs w:val="20"/>
              </w:rPr>
            </w:pPr>
          </w:p>
        </w:tc>
        <w:tc>
          <w:tcPr>
            <w:tcW w:w="360" w:type="dxa"/>
            <w:hideMark/>
          </w:tcPr>
          <w:p w14:paraId="466ECBB4" w14:textId="77777777" w:rsidR="00000000" w:rsidRDefault="002F725F">
            <w:pPr>
              <w:rPr>
                <w:rFonts w:eastAsia="Times New Roman"/>
                <w:sz w:val="20"/>
                <w:szCs w:val="20"/>
              </w:rPr>
            </w:pPr>
            <w:r>
              <w:rPr>
                <w:rFonts w:eastAsia="Times New Roman"/>
                <w:sz w:val="20"/>
                <w:szCs w:val="20"/>
              </w:rPr>
              <w:t>●</w:t>
            </w:r>
          </w:p>
        </w:tc>
        <w:tc>
          <w:tcPr>
            <w:tcW w:w="0" w:type="auto"/>
            <w:hideMark/>
          </w:tcPr>
          <w:p w14:paraId="2389833F" w14:textId="77777777" w:rsidR="00000000" w:rsidRDefault="002F725F">
            <w:pPr>
              <w:jc w:val="both"/>
              <w:rPr>
                <w:rFonts w:eastAsia="Times New Roman"/>
                <w:sz w:val="20"/>
                <w:szCs w:val="20"/>
              </w:rPr>
            </w:pPr>
            <w:r>
              <w:rPr>
                <w:rFonts w:eastAsia="Times New Roman"/>
                <w:sz w:val="20"/>
                <w:szCs w:val="20"/>
              </w:rPr>
              <w:t>the subsidiaries of the Company and the equity interests in the Company’s subsidiaries held by the Company or any other subsidiary of the Company;</w:t>
            </w:r>
          </w:p>
        </w:tc>
      </w:tr>
    </w:tbl>
    <w:p w14:paraId="67D0321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2CF7152" w14:textId="77777777">
        <w:trPr>
          <w:divId w:val="415980837"/>
          <w:tblCellSpacing w:w="0" w:type="dxa"/>
        </w:trPr>
        <w:tc>
          <w:tcPr>
            <w:tcW w:w="720" w:type="dxa"/>
            <w:hideMark/>
          </w:tcPr>
          <w:p w14:paraId="391D8646" w14:textId="77777777" w:rsidR="00000000" w:rsidRDefault="002F725F">
            <w:pPr>
              <w:rPr>
                <w:sz w:val="20"/>
                <w:szCs w:val="20"/>
              </w:rPr>
            </w:pPr>
          </w:p>
        </w:tc>
        <w:tc>
          <w:tcPr>
            <w:tcW w:w="360" w:type="dxa"/>
            <w:hideMark/>
          </w:tcPr>
          <w:p w14:paraId="3CB50BF0" w14:textId="77777777" w:rsidR="00000000" w:rsidRDefault="002F725F">
            <w:pPr>
              <w:rPr>
                <w:rFonts w:eastAsia="Times New Roman"/>
                <w:sz w:val="20"/>
                <w:szCs w:val="20"/>
              </w:rPr>
            </w:pPr>
            <w:r>
              <w:rPr>
                <w:rFonts w:eastAsia="Times New Roman"/>
                <w:sz w:val="20"/>
                <w:szCs w:val="20"/>
              </w:rPr>
              <w:t>●</w:t>
            </w:r>
          </w:p>
        </w:tc>
        <w:tc>
          <w:tcPr>
            <w:tcW w:w="0" w:type="auto"/>
            <w:hideMark/>
          </w:tcPr>
          <w:p w14:paraId="0897CE3B" w14:textId="77777777" w:rsidR="00000000" w:rsidRDefault="002F725F">
            <w:pPr>
              <w:jc w:val="both"/>
              <w:rPr>
                <w:rFonts w:eastAsia="Times New Roman"/>
                <w:sz w:val="20"/>
                <w:szCs w:val="20"/>
              </w:rPr>
            </w:pPr>
            <w:r>
              <w:rPr>
                <w:rFonts w:eastAsia="Times New Roman"/>
                <w:sz w:val="20"/>
                <w:szCs w:val="20"/>
              </w:rPr>
              <w:t>government filing, registration, notification, authorization, consent or approval for the execution, de</w:t>
            </w:r>
            <w:r>
              <w:rPr>
                <w:rFonts w:eastAsia="Times New Roman"/>
                <w:sz w:val="20"/>
                <w:szCs w:val="20"/>
              </w:rPr>
              <w:t>livery and performance of the Merger Agreement by the Company and the consummation by the Company of the Transactions;</w:t>
            </w:r>
          </w:p>
        </w:tc>
      </w:tr>
    </w:tbl>
    <w:p w14:paraId="2B3B1FFF"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95D0538" w14:textId="77777777">
        <w:trPr>
          <w:divId w:val="415980837"/>
          <w:tblCellSpacing w:w="0" w:type="dxa"/>
        </w:trPr>
        <w:tc>
          <w:tcPr>
            <w:tcW w:w="720" w:type="dxa"/>
            <w:hideMark/>
          </w:tcPr>
          <w:p w14:paraId="16473EE0" w14:textId="77777777" w:rsidR="00000000" w:rsidRDefault="002F725F">
            <w:pPr>
              <w:rPr>
                <w:sz w:val="20"/>
                <w:szCs w:val="20"/>
              </w:rPr>
            </w:pPr>
          </w:p>
        </w:tc>
        <w:tc>
          <w:tcPr>
            <w:tcW w:w="360" w:type="dxa"/>
            <w:hideMark/>
          </w:tcPr>
          <w:p w14:paraId="4643C48F" w14:textId="77777777" w:rsidR="00000000" w:rsidRDefault="002F725F">
            <w:pPr>
              <w:rPr>
                <w:rFonts w:eastAsia="Times New Roman"/>
                <w:sz w:val="20"/>
                <w:szCs w:val="20"/>
              </w:rPr>
            </w:pPr>
            <w:r>
              <w:rPr>
                <w:rFonts w:eastAsia="Times New Roman"/>
                <w:sz w:val="20"/>
                <w:szCs w:val="20"/>
              </w:rPr>
              <w:t>●</w:t>
            </w:r>
          </w:p>
        </w:tc>
        <w:tc>
          <w:tcPr>
            <w:tcW w:w="0" w:type="auto"/>
            <w:hideMark/>
          </w:tcPr>
          <w:p w14:paraId="30D869BB" w14:textId="77777777" w:rsidR="00000000" w:rsidRDefault="002F725F">
            <w:pPr>
              <w:jc w:val="both"/>
              <w:rPr>
                <w:rFonts w:eastAsia="Times New Roman"/>
                <w:sz w:val="20"/>
                <w:szCs w:val="20"/>
              </w:rPr>
            </w:pPr>
            <w:r>
              <w:rPr>
                <w:rFonts w:eastAsia="Times New Roman"/>
                <w:sz w:val="20"/>
                <w:szCs w:val="20"/>
              </w:rPr>
              <w:t>the absence of certain violations, breaches or defaults under certain contracts, organizational documents and law, in each case ari</w:t>
            </w:r>
            <w:r>
              <w:rPr>
                <w:rFonts w:eastAsia="Times New Roman"/>
                <w:sz w:val="20"/>
                <w:szCs w:val="20"/>
              </w:rPr>
              <w:t>sing out of the execution and delivery of the Merger Agreement and consummation of the Transactions;</w:t>
            </w:r>
          </w:p>
        </w:tc>
      </w:tr>
    </w:tbl>
    <w:p w14:paraId="009E30D4"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0AC25F6" w14:textId="77777777">
        <w:trPr>
          <w:divId w:val="415980837"/>
          <w:tblCellSpacing w:w="0" w:type="dxa"/>
        </w:trPr>
        <w:tc>
          <w:tcPr>
            <w:tcW w:w="720" w:type="dxa"/>
            <w:hideMark/>
          </w:tcPr>
          <w:p w14:paraId="4FC3F5AE" w14:textId="77777777" w:rsidR="00000000" w:rsidRDefault="002F725F">
            <w:pPr>
              <w:rPr>
                <w:sz w:val="20"/>
                <w:szCs w:val="20"/>
              </w:rPr>
            </w:pPr>
          </w:p>
        </w:tc>
        <w:tc>
          <w:tcPr>
            <w:tcW w:w="360" w:type="dxa"/>
            <w:hideMark/>
          </w:tcPr>
          <w:p w14:paraId="2BB4E4B0" w14:textId="77777777" w:rsidR="00000000" w:rsidRDefault="002F725F">
            <w:pPr>
              <w:rPr>
                <w:rFonts w:eastAsia="Times New Roman"/>
                <w:sz w:val="20"/>
                <w:szCs w:val="20"/>
              </w:rPr>
            </w:pPr>
            <w:r>
              <w:rPr>
                <w:rFonts w:eastAsia="Times New Roman"/>
                <w:sz w:val="20"/>
                <w:szCs w:val="20"/>
              </w:rPr>
              <w:t>●</w:t>
            </w:r>
          </w:p>
        </w:tc>
        <w:tc>
          <w:tcPr>
            <w:tcW w:w="0" w:type="auto"/>
            <w:hideMark/>
          </w:tcPr>
          <w:p w14:paraId="55B5F606" w14:textId="77777777" w:rsidR="00000000" w:rsidRDefault="002F725F">
            <w:pPr>
              <w:jc w:val="both"/>
              <w:rPr>
                <w:rFonts w:eastAsia="Times New Roman"/>
                <w:sz w:val="20"/>
                <w:szCs w:val="20"/>
              </w:rPr>
            </w:pPr>
            <w:r>
              <w:rPr>
                <w:rFonts w:eastAsia="Times New Roman"/>
                <w:sz w:val="20"/>
                <w:szCs w:val="20"/>
              </w:rPr>
              <w:t>the Company’s SEC filings since March 17, 2023 and the financial statements included or incorporated by reference in such SEC filings;</w:t>
            </w:r>
          </w:p>
        </w:tc>
      </w:tr>
    </w:tbl>
    <w:p w14:paraId="273929C8"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97D1FB7" w14:textId="77777777">
        <w:trPr>
          <w:divId w:val="415980837"/>
          <w:tblCellSpacing w:w="0" w:type="dxa"/>
        </w:trPr>
        <w:tc>
          <w:tcPr>
            <w:tcW w:w="720" w:type="dxa"/>
            <w:hideMark/>
          </w:tcPr>
          <w:p w14:paraId="5704A835" w14:textId="77777777" w:rsidR="00000000" w:rsidRDefault="002F725F">
            <w:pPr>
              <w:rPr>
                <w:sz w:val="20"/>
                <w:szCs w:val="20"/>
              </w:rPr>
            </w:pPr>
          </w:p>
        </w:tc>
        <w:tc>
          <w:tcPr>
            <w:tcW w:w="360" w:type="dxa"/>
            <w:hideMark/>
          </w:tcPr>
          <w:p w14:paraId="68B5EF30" w14:textId="77777777" w:rsidR="00000000" w:rsidRDefault="002F725F">
            <w:pPr>
              <w:rPr>
                <w:rFonts w:eastAsia="Times New Roman"/>
                <w:sz w:val="20"/>
                <w:szCs w:val="20"/>
              </w:rPr>
            </w:pPr>
            <w:r>
              <w:rPr>
                <w:rFonts w:eastAsia="Times New Roman"/>
                <w:sz w:val="20"/>
                <w:szCs w:val="20"/>
              </w:rPr>
              <w:t>●</w:t>
            </w:r>
          </w:p>
        </w:tc>
        <w:tc>
          <w:tcPr>
            <w:tcW w:w="0" w:type="auto"/>
            <w:hideMark/>
          </w:tcPr>
          <w:p w14:paraId="26A600E5" w14:textId="77777777" w:rsidR="00000000" w:rsidRDefault="002F725F">
            <w:pPr>
              <w:jc w:val="both"/>
              <w:rPr>
                <w:rFonts w:eastAsia="Times New Roman"/>
                <w:sz w:val="20"/>
                <w:szCs w:val="20"/>
              </w:rPr>
            </w:pPr>
            <w:r>
              <w:rPr>
                <w:rFonts w:eastAsia="Times New Roman"/>
                <w:sz w:val="20"/>
                <w:szCs w:val="20"/>
              </w:rPr>
              <w:t>the Comp</w:t>
            </w:r>
            <w:r>
              <w:rPr>
                <w:rFonts w:eastAsia="Times New Roman"/>
                <w:sz w:val="20"/>
                <w:szCs w:val="20"/>
              </w:rPr>
              <w:t>any’s compliance with the applicable provisions of the United States Sarbanes-Oxley Act of 2002;</w:t>
            </w:r>
          </w:p>
        </w:tc>
      </w:tr>
    </w:tbl>
    <w:p w14:paraId="6036971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4F53489" w14:textId="77777777">
        <w:trPr>
          <w:divId w:val="415980837"/>
          <w:tblCellSpacing w:w="0" w:type="dxa"/>
        </w:trPr>
        <w:tc>
          <w:tcPr>
            <w:tcW w:w="720" w:type="dxa"/>
            <w:hideMark/>
          </w:tcPr>
          <w:p w14:paraId="294FC8AB" w14:textId="77777777" w:rsidR="00000000" w:rsidRDefault="002F725F">
            <w:pPr>
              <w:rPr>
                <w:sz w:val="20"/>
                <w:szCs w:val="20"/>
              </w:rPr>
            </w:pPr>
          </w:p>
        </w:tc>
        <w:tc>
          <w:tcPr>
            <w:tcW w:w="360" w:type="dxa"/>
            <w:hideMark/>
          </w:tcPr>
          <w:p w14:paraId="74D20423" w14:textId="77777777" w:rsidR="00000000" w:rsidRDefault="002F725F">
            <w:pPr>
              <w:rPr>
                <w:rFonts w:eastAsia="Times New Roman"/>
                <w:sz w:val="20"/>
                <w:szCs w:val="20"/>
              </w:rPr>
            </w:pPr>
            <w:r>
              <w:rPr>
                <w:rFonts w:eastAsia="Times New Roman"/>
                <w:sz w:val="20"/>
                <w:szCs w:val="20"/>
              </w:rPr>
              <w:t>●</w:t>
            </w:r>
          </w:p>
        </w:tc>
        <w:tc>
          <w:tcPr>
            <w:tcW w:w="0" w:type="auto"/>
            <w:hideMark/>
          </w:tcPr>
          <w:p w14:paraId="37F59F83" w14:textId="77777777" w:rsidR="00000000" w:rsidRDefault="002F725F">
            <w:pPr>
              <w:jc w:val="both"/>
              <w:rPr>
                <w:rFonts w:eastAsia="Times New Roman"/>
                <w:sz w:val="20"/>
                <w:szCs w:val="20"/>
              </w:rPr>
            </w:pPr>
            <w:r>
              <w:rPr>
                <w:rFonts w:eastAsia="Times New Roman"/>
                <w:sz w:val="20"/>
                <w:szCs w:val="20"/>
              </w:rPr>
              <w:t>the Company’</w:t>
            </w:r>
            <w:r>
              <w:rPr>
                <w:rFonts w:eastAsia="Times New Roman"/>
                <w:sz w:val="20"/>
                <w:szCs w:val="20"/>
              </w:rPr>
              <w:t>s disclosure controls and procedures and internal controls over financial reporting;</w:t>
            </w:r>
          </w:p>
        </w:tc>
      </w:tr>
    </w:tbl>
    <w:p w14:paraId="2DED64B5"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6490930" w14:textId="77777777">
        <w:trPr>
          <w:divId w:val="415980837"/>
          <w:tblCellSpacing w:w="0" w:type="dxa"/>
        </w:trPr>
        <w:tc>
          <w:tcPr>
            <w:tcW w:w="720" w:type="dxa"/>
            <w:hideMark/>
          </w:tcPr>
          <w:p w14:paraId="073D2DAD" w14:textId="77777777" w:rsidR="00000000" w:rsidRDefault="002F725F">
            <w:pPr>
              <w:rPr>
                <w:sz w:val="20"/>
                <w:szCs w:val="20"/>
              </w:rPr>
            </w:pPr>
          </w:p>
        </w:tc>
        <w:tc>
          <w:tcPr>
            <w:tcW w:w="360" w:type="dxa"/>
            <w:hideMark/>
          </w:tcPr>
          <w:p w14:paraId="510E08FC" w14:textId="77777777" w:rsidR="00000000" w:rsidRDefault="002F725F">
            <w:pPr>
              <w:rPr>
                <w:rFonts w:eastAsia="Times New Roman"/>
                <w:sz w:val="20"/>
                <w:szCs w:val="20"/>
              </w:rPr>
            </w:pPr>
            <w:r>
              <w:rPr>
                <w:rFonts w:eastAsia="Times New Roman"/>
                <w:sz w:val="20"/>
                <w:szCs w:val="20"/>
              </w:rPr>
              <w:t>●</w:t>
            </w:r>
          </w:p>
        </w:tc>
        <w:tc>
          <w:tcPr>
            <w:tcW w:w="0" w:type="auto"/>
            <w:hideMark/>
          </w:tcPr>
          <w:p w14:paraId="227B7BCC" w14:textId="77777777" w:rsidR="00000000" w:rsidRDefault="002F725F">
            <w:pPr>
              <w:jc w:val="both"/>
              <w:rPr>
                <w:rFonts w:eastAsia="Times New Roman"/>
                <w:sz w:val="20"/>
                <w:szCs w:val="20"/>
              </w:rPr>
            </w:pPr>
            <w:r>
              <w:rPr>
                <w:rFonts w:eastAsia="Times New Roman"/>
                <w:sz w:val="20"/>
                <w:szCs w:val="20"/>
              </w:rPr>
              <w:t>the accuracy of the information provided in the Schedule 13E-3 and this proxy statement;</w:t>
            </w:r>
          </w:p>
        </w:tc>
      </w:tr>
    </w:tbl>
    <w:p w14:paraId="6AF26C9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DE8051B" w14:textId="77777777">
        <w:trPr>
          <w:divId w:val="415980837"/>
          <w:tblCellSpacing w:w="0" w:type="dxa"/>
        </w:trPr>
        <w:tc>
          <w:tcPr>
            <w:tcW w:w="720" w:type="dxa"/>
            <w:hideMark/>
          </w:tcPr>
          <w:p w14:paraId="713D14A7" w14:textId="77777777" w:rsidR="00000000" w:rsidRDefault="002F725F">
            <w:pPr>
              <w:rPr>
                <w:sz w:val="20"/>
                <w:szCs w:val="20"/>
              </w:rPr>
            </w:pPr>
          </w:p>
        </w:tc>
        <w:tc>
          <w:tcPr>
            <w:tcW w:w="360" w:type="dxa"/>
            <w:hideMark/>
          </w:tcPr>
          <w:p w14:paraId="4F4E3A3C" w14:textId="77777777" w:rsidR="00000000" w:rsidRDefault="002F725F">
            <w:pPr>
              <w:rPr>
                <w:rFonts w:eastAsia="Times New Roman"/>
                <w:sz w:val="20"/>
                <w:szCs w:val="20"/>
              </w:rPr>
            </w:pPr>
            <w:r>
              <w:rPr>
                <w:rFonts w:eastAsia="Times New Roman"/>
                <w:sz w:val="20"/>
                <w:szCs w:val="20"/>
              </w:rPr>
              <w:t>●</w:t>
            </w:r>
          </w:p>
        </w:tc>
        <w:tc>
          <w:tcPr>
            <w:tcW w:w="0" w:type="auto"/>
            <w:hideMark/>
          </w:tcPr>
          <w:p w14:paraId="071CFB79" w14:textId="77777777" w:rsidR="00000000" w:rsidRDefault="002F725F">
            <w:pPr>
              <w:jc w:val="both"/>
              <w:rPr>
                <w:rFonts w:eastAsia="Times New Roman"/>
                <w:sz w:val="20"/>
                <w:szCs w:val="20"/>
              </w:rPr>
            </w:pPr>
            <w:r>
              <w:rPr>
                <w:rFonts w:eastAsia="Times New Roman"/>
                <w:sz w:val="20"/>
                <w:szCs w:val="20"/>
              </w:rPr>
              <w:t>the absence of certain undisclosed liabilities;</w:t>
            </w:r>
          </w:p>
        </w:tc>
      </w:tr>
    </w:tbl>
    <w:p w14:paraId="4918C6D5"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1C03E21" w14:textId="77777777">
        <w:trPr>
          <w:divId w:val="415980837"/>
          <w:tblCellSpacing w:w="0" w:type="dxa"/>
        </w:trPr>
        <w:tc>
          <w:tcPr>
            <w:tcW w:w="720" w:type="dxa"/>
            <w:hideMark/>
          </w:tcPr>
          <w:p w14:paraId="5690B41E" w14:textId="77777777" w:rsidR="00000000" w:rsidRDefault="002F725F">
            <w:pPr>
              <w:rPr>
                <w:sz w:val="20"/>
                <w:szCs w:val="20"/>
              </w:rPr>
            </w:pPr>
          </w:p>
        </w:tc>
        <w:tc>
          <w:tcPr>
            <w:tcW w:w="360" w:type="dxa"/>
            <w:hideMark/>
          </w:tcPr>
          <w:p w14:paraId="085ABB78" w14:textId="77777777" w:rsidR="00000000" w:rsidRDefault="002F725F">
            <w:pPr>
              <w:rPr>
                <w:rFonts w:eastAsia="Times New Roman"/>
                <w:sz w:val="20"/>
                <w:szCs w:val="20"/>
              </w:rPr>
            </w:pPr>
            <w:r>
              <w:rPr>
                <w:rFonts w:eastAsia="Times New Roman"/>
                <w:sz w:val="20"/>
                <w:szCs w:val="20"/>
              </w:rPr>
              <w:t>●</w:t>
            </w:r>
          </w:p>
        </w:tc>
        <w:tc>
          <w:tcPr>
            <w:tcW w:w="0" w:type="auto"/>
            <w:hideMark/>
          </w:tcPr>
          <w:p w14:paraId="1BD69288" w14:textId="77777777" w:rsidR="00000000" w:rsidRDefault="002F725F">
            <w:pPr>
              <w:jc w:val="both"/>
              <w:rPr>
                <w:rFonts w:eastAsia="Times New Roman"/>
                <w:sz w:val="20"/>
                <w:szCs w:val="20"/>
              </w:rPr>
            </w:pPr>
            <w:r>
              <w:rPr>
                <w:rFonts w:eastAsia="Times New Roman"/>
                <w:sz w:val="20"/>
                <w:szCs w:val="20"/>
              </w:rPr>
              <w:t>conduct by the C</w:t>
            </w:r>
            <w:r>
              <w:rPr>
                <w:rFonts w:eastAsia="Times New Roman"/>
                <w:sz w:val="20"/>
                <w:szCs w:val="20"/>
              </w:rPr>
              <w:t>ompany and its subsidiaries of their businesses in the ordinary course and consistent with past practice and the absence of any Company Material Adverse Effect since March 31, 2025;</w:t>
            </w:r>
          </w:p>
        </w:tc>
      </w:tr>
    </w:tbl>
    <w:p w14:paraId="171C3FD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1158038" w14:textId="77777777">
        <w:trPr>
          <w:divId w:val="415980837"/>
          <w:tblCellSpacing w:w="0" w:type="dxa"/>
        </w:trPr>
        <w:tc>
          <w:tcPr>
            <w:tcW w:w="720" w:type="dxa"/>
            <w:hideMark/>
          </w:tcPr>
          <w:p w14:paraId="31CA22BA" w14:textId="77777777" w:rsidR="00000000" w:rsidRDefault="002F725F">
            <w:pPr>
              <w:rPr>
                <w:sz w:val="20"/>
                <w:szCs w:val="20"/>
              </w:rPr>
            </w:pPr>
          </w:p>
        </w:tc>
        <w:tc>
          <w:tcPr>
            <w:tcW w:w="360" w:type="dxa"/>
            <w:hideMark/>
          </w:tcPr>
          <w:p w14:paraId="32A30A92" w14:textId="77777777" w:rsidR="00000000" w:rsidRDefault="002F725F">
            <w:pPr>
              <w:rPr>
                <w:rFonts w:eastAsia="Times New Roman"/>
                <w:sz w:val="20"/>
                <w:szCs w:val="20"/>
              </w:rPr>
            </w:pPr>
            <w:r>
              <w:rPr>
                <w:rFonts w:eastAsia="Times New Roman"/>
                <w:sz w:val="20"/>
                <w:szCs w:val="20"/>
              </w:rPr>
              <w:t>●</w:t>
            </w:r>
          </w:p>
        </w:tc>
        <w:tc>
          <w:tcPr>
            <w:tcW w:w="0" w:type="auto"/>
            <w:hideMark/>
          </w:tcPr>
          <w:p w14:paraId="33D94414" w14:textId="77777777" w:rsidR="00000000" w:rsidRDefault="002F725F">
            <w:pPr>
              <w:jc w:val="both"/>
              <w:rPr>
                <w:rFonts w:eastAsia="Times New Roman"/>
                <w:sz w:val="20"/>
                <w:szCs w:val="20"/>
              </w:rPr>
            </w:pPr>
            <w:r>
              <w:rPr>
                <w:rFonts w:eastAsia="Times New Roman"/>
                <w:sz w:val="20"/>
                <w:szCs w:val="20"/>
              </w:rPr>
              <w:t>the absence of certain legal proceedings and governmental orders;</w:t>
            </w:r>
          </w:p>
        </w:tc>
      </w:tr>
    </w:tbl>
    <w:p w14:paraId="20E4ACBA"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094772B" w14:textId="77777777">
        <w:trPr>
          <w:divId w:val="415980837"/>
          <w:tblCellSpacing w:w="0" w:type="dxa"/>
        </w:trPr>
        <w:tc>
          <w:tcPr>
            <w:tcW w:w="720" w:type="dxa"/>
            <w:hideMark/>
          </w:tcPr>
          <w:p w14:paraId="7FC320E0" w14:textId="77777777" w:rsidR="00000000" w:rsidRDefault="002F725F">
            <w:pPr>
              <w:rPr>
                <w:sz w:val="20"/>
                <w:szCs w:val="20"/>
              </w:rPr>
            </w:pPr>
          </w:p>
        </w:tc>
        <w:tc>
          <w:tcPr>
            <w:tcW w:w="360" w:type="dxa"/>
            <w:hideMark/>
          </w:tcPr>
          <w:p w14:paraId="7BD13240" w14:textId="77777777" w:rsidR="00000000" w:rsidRDefault="002F725F">
            <w:pPr>
              <w:rPr>
                <w:rFonts w:eastAsia="Times New Roman"/>
                <w:sz w:val="20"/>
                <w:szCs w:val="20"/>
              </w:rPr>
            </w:pPr>
            <w:r>
              <w:rPr>
                <w:rFonts w:eastAsia="Times New Roman"/>
                <w:sz w:val="20"/>
                <w:szCs w:val="20"/>
              </w:rPr>
              <w:t>●</w:t>
            </w:r>
          </w:p>
        </w:tc>
        <w:tc>
          <w:tcPr>
            <w:tcW w:w="0" w:type="auto"/>
            <w:hideMark/>
          </w:tcPr>
          <w:p w14:paraId="2381AB47" w14:textId="77777777" w:rsidR="00000000" w:rsidRDefault="002F725F">
            <w:pPr>
              <w:jc w:val="both"/>
              <w:rPr>
                <w:rFonts w:eastAsia="Times New Roman"/>
                <w:sz w:val="20"/>
                <w:szCs w:val="20"/>
              </w:rPr>
            </w:pPr>
            <w:r>
              <w:rPr>
                <w:rFonts w:eastAsia="Times New Roman"/>
                <w:sz w:val="20"/>
                <w:szCs w:val="20"/>
              </w:rPr>
              <w:t>compliance with applicable laws since March 31, 2023, and the possession of and compliance with permits applicable to the Company and its subsidiaries;</w:t>
            </w:r>
          </w:p>
        </w:tc>
      </w:tr>
    </w:tbl>
    <w:p w14:paraId="1AAC853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A5941D5" w14:textId="77777777">
        <w:trPr>
          <w:divId w:val="415980837"/>
          <w:tblCellSpacing w:w="0" w:type="dxa"/>
        </w:trPr>
        <w:tc>
          <w:tcPr>
            <w:tcW w:w="720" w:type="dxa"/>
            <w:hideMark/>
          </w:tcPr>
          <w:p w14:paraId="677E50BC" w14:textId="77777777" w:rsidR="00000000" w:rsidRDefault="002F725F">
            <w:pPr>
              <w:rPr>
                <w:sz w:val="20"/>
                <w:szCs w:val="20"/>
              </w:rPr>
            </w:pPr>
          </w:p>
        </w:tc>
        <w:tc>
          <w:tcPr>
            <w:tcW w:w="360" w:type="dxa"/>
            <w:hideMark/>
          </w:tcPr>
          <w:p w14:paraId="73EC3561" w14:textId="77777777" w:rsidR="00000000" w:rsidRDefault="002F725F">
            <w:pPr>
              <w:rPr>
                <w:rFonts w:eastAsia="Times New Roman"/>
                <w:sz w:val="20"/>
                <w:szCs w:val="20"/>
              </w:rPr>
            </w:pPr>
            <w:r>
              <w:rPr>
                <w:rFonts w:eastAsia="Times New Roman"/>
                <w:sz w:val="20"/>
                <w:szCs w:val="20"/>
              </w:rPr>
              <w:t>●</w:t>
            </w:r>
          </w:p>
        </w:tc>
        <w:tc>
          <w:tcPr>
            <w:tcW w:w="0" w:type="auto"/>
            <w:hideMark/>
          </w:tcPr>
          <w:p w14:paraId="47C8B875" w14:textId="77777777" w:rsidR="00000000" w:rsidRDefault="002F725F">
            <w:pPr>
              <w:jc w:val="both"/>
              <w:rPr>
                <w:rFonts w:eastAsia="Times New Roman"/>
                <w:sz w:val="20"/>
                <w:szCs w:val="20"/>
              </w:rPr>
            </w:pPr>
            <w:r>
              <w:rPr>
                <w:rFonts w:eastAsia="Times New Roman"/>
                <w:sz w:val="20"/>
                <w:szCs w:val="20"/>
              </w:rPr>
              <w:t>tax matters;</w:t>
            </w:r>
          </w:p>
        </w:tc>
      </w:tr>
    </w:tbl>
    <w:p w14:paraId="4D3F86B5"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72A5B98" w14:textId="77777777">
        <w:trPr>
          <w:divId w:val="415980837"/>
          <w:tblCellSpacing w:w="0" w:type="dxa"/>
        </w:trPr>
        <w:tc>
          <w:tcPr>
            <w:tcW w:w="720" w:type="dxa"/>
            <w:hideMark/>
          </w:tcPr>
          <w:p w14:paraId="191FB130" w14:textId="77777777" w:rsidR="00000000" w:rsidRDefault="002F725F">
            <w:pPr>
              <w:rPr>
                <w:sz w:val="20"/>
                <w:szCs w:val="20"/>
              </w:rPr>
            </w:pPr>
          </w:p>
        </w:tc>
        <w:tc>
          <w:tcPr>
            <w:tcW w:w="360" w:type="dxa"/>
            <w:hideMark/>
          </w:tcPr>
          <w:p w14:paraId="6FDD3356" w14:textId="77777777" w:rsidR="00000000" w:rsidRDefault="002F725F">
            <w:pPr>
              <w:rPr>
                <w:rFonts w:eastAsia="Times New Roman"/>
                <w:sz w:val="20"/>
                <w:szCs w:val="20"/>
              </w:rPr>
            </w:pPr>
            <w:r>
              <w:rPr>
                <w:rFonts w:eastAsia="Times New Roman"/>
                <w:sz w:val="20"/>
                <w:szCs w:val="20"/>
              </w:rPr>
              <w:t>●</w:t>
            </w:r>
          </w:p>
        </w:tc>
        <w:tc>
          <w:tcPr>
            <w:tcW w:w="0" w:type="auto"/>
            <w:hideMark/>
          </w:tcPr>
          <w:p w14:paraId="14074D3A" w14:textId="77777777" w:rsidR="00000000" w:rsidRDefault="002F725F">
            <w:pPr>
              <w:jc w:val="both"/>
              <w:rPr>
                <w:rFonts w:eastAsia="Times New Roman"/>
                <w:sz w:val="20"/>
                <w:szCs w:val="20"/>
              </w:rPr>
            </w:pPr>
            <w:r>
              <w:rPr>
                <w:rFonts w:eastAsia="Times New Roman"/>
                <w:sz w:val="20"/>
                <w:szCs w:val="20"/>
              </w:rPr>
              <w:t>materia</w:t>
            </w:r>
            <w:r>
              <w:rPr>
                <w:rFonts w:eastAsia="Times New Roman"/>
                <w:sz w:val="20"/>
                <w:szCs w:val="20"/>
              </w:rPr>
              <w:t>l contracts and the absence of breach or violation of, or default under, any material contract;</w:t>
            </w:r>
          </w:p>
        </w:tc>
      </w:tr>
    </w:tbl>
    <w:p w14:paraId="2F08D8E5"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30C9F8D" w14:textId="77777777">
        <w:trPr>
          <w:divId w:val="415980837"/>
          <w:tblCellSpacing w:w="0" w:type="dxa"/>
        </w:trPr>
        <w:tc>
          <w:tcPr>
            <w:tcW w:w="720" w:type="dxa"/>
            <w:hideMark/>
          </w:tcPr>
          <w:p w14:paraId="01759AA5" w14:textId="77777777" w:rsidR="00000000" w:rsidRDefault="002F725F">
            <w:pPr>
              <w:rPr>
                <w:sz w:val="20"/>
                <w:szCs w:val="20"/>
              </w:rPr>
            </w:pPr>
          </w:p>
        </w:tc>
        <w:tc>
          <w:tcPr>
            <w:tcW w:w="360" w:type="dxa"/>
            <w:hideMark/>
          </w:tcPr>
          <w:p w14:paraId="17BA4A11" w14:textId="77777777" w:rsidR="00000000" w:rsidRDefault="002F725F">
            <w:pPr>
              <w:rPr>
                <w:rFonts w:eastAsia="Times New Roman"/>
                <w:sz w:val="20"/>
                <w:szCs w:val="20"/>
              </w:rPr>
            </w:pPr>
            <w:r>
              <w:rPr>
                <w:rFonts w:eastAsia="Times New Roman"/>
                <w:sz w:val="20"/>
                <w:szCs w:val="20"/>
              </w:rPr>
              <w:t>●</w:t>
            </w:r>
          </w:p>
        </w:tc>
        <w:tc>
          <w:tcPr>
            <w:tcW w:w="0" w:type="auto"/>
            <w:hideMark/>
          </w:tcPr>
          <w:p w14:paraId="60B82266" w14:textId="77777777" w:rsidR="00000000" w:rsidRDefault="002F725F">
            <w:pPr>
              <w:jc w:val="both"/>
              <w:rPr>
                <w:rFonts w:eastAsia="Times New Roman"/>
                <w:sz w:val="20"/>
                <w:szCs w:val="20"/>
              </w:rPr>
            </w:pPr>
            <w:r>
              <w:rPr>
                <w:rFonts w:eastAsia="Times New Roman"/>
                <w:sz w:val="20"/>
                <w:szCs w:val="20"/>
              </w:rPr>
              <w:t>intellectual property;</w:t>
            </w:r>
          </w:p>
        </w:tc>
      </w:tr>
    </w:tbl>
    <w:p w14:paraId="6651A303"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DB9358D" w14:textId="77777777">
        <w:trPr>
          <w:divId w:val="415980837"/>
          <w:tblCellSpacing w:w="0" w:type="dxa"/>
        </w:trPr>
        <w:tc>
          <w:tcPr>
            <w:tcW w:w="720" w:type="dxa"/>
            <w:hideMark/>
          </w:tcPr>
          <w:p w14:paraId="64E78C2B" w14:textId="77777777" w:rsidR="00000000" w:rsidRDefault="002F725F">
            <w:pPr>
              <w:rPr>
                <w:sz w:val="20"/>
                <w:szCs w:val="20"/>
              </w:rPr>
            </w:pPr>
          </w:p>
        </w:tc>
        <w:tc>
          <w:tcPr>
            <w:tcW w:w="360" w:type="dxa"/>
            <w:hideMark/>
          </w:tcPr>
          <w:p w14:paraId="21F944E9" w14:textId="77777777" w:rsidR="00000000" w:rsidRDefault="002F725F">
            <w:pPr>
              <w:rPr>
                <w:rFonts w:eastAsia="Times New Roman"/>
                <w:sz w:val="20"/>
                <w:szCs w:val="20"/>
              </w:rPr>
            </w:pPr>
            <w:r>
              <w:rPr>
                <w:rFonts w:eastAsia="Times New Roman"/>
                <w:sz w:val="20"/>
                <w:szCs w:val="20"/>
              </w:rPr>
              <w:t>●</w:t>
            </w:r>
          </w:p>
        </w:tc>
        <w:tc>
          <w:tcPr>
            <w:tcW w:w="0" w:type="auto"/>
            <w:hideMark/>
          </w:tcPr>
          <w:p w14:paraId="72D558B6" w14:textId="77777777" w:rsidR="00000000" w:rsidRDefault="002F725F">
            <w:pPr>
              <w:jc w:val="both"/>
              <w:rPr>
                <w:rFonts w:eastAsia="Times New Roman"/>
                <w:sz w:val="20"/>
                <w:szCs w:val="20"/>
              </w:rPr>
            </w:pPr>
            <w:r>
              <w:rPr>
                <w:rFonts w:eastAsia="Times New Roman"/>
                <w:sz w:val="20"/>
                <w:szCs w:val="20"/>
              </w:rPr>
              <w:t>real property;</w:t>
            </w:r>
          </w:p>
        </w:tc>
      </w:tr>
    </w:tbl>
    <w:p w14:paraId="454850BE"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32C60CE" w14:textId="77777777">
        <w:trPr>
          <w:divId w:val="415980837"/>
          <w:tblCellSpacing w:w="0" w:type="dxa"/>
        </w:trPr>
        <w:tc>
          <w:tcPr>
            <w:tcW w:w="720" w:type="dxa"/>
            <w:hideMark/>
          </w:tcPr>
          <w:p w14:paraId="024E5FDF" w14:textId="77777777" w:rsidR="00000000" w:rsidRDefault="002F725F">
            <w:pPr>
              <w:rPr>
                <w:sz w:val="20"/>
                <w:szCs w:val="20"/>
              </w:rPr>
            </w:pPr>
          </w:p>
        </w:tc>
        <w:tc>
          <w:tcPr>
            <w:tcW w:w="360" w:type="dxa"/>
            <w:hideMark/>
          </w:tcPr>
          <w:p w14:paraId="13C08F22" w14:textId="77777777" w:rsidR="00000000" w:rsidRDefault="002F725F">
            <w:pPr>
              <w:rPr>
                <w:rFonts w:eastAsia="Times New Roman"/>
                <w:sz w:val="20"/>
                <w:szCs w:val="20"/>
              </w:rPr>
            </w:pPr>
            <w:r>
              <w:rPr>
                <w:rFonts w:eastAsia="Times New Roman"/>
                <w:sz w:val="20"/>
                <w:szCs w:val="20"/>
              </w:rPr>
              <w:t>●</w:t>
            </w:r>
          </w:p>
        </w:tc>
        <w:tc>
          <w:tcPr>
            <w:tcW w:w="0" w:type="auto"/>
            <w:hideMark/>
          </w:tcPr>
          <w:p w14:paraId="5D3FC9C5" w14:textId="77777777" w:rsidR="00000000" w:rsidRDefault="002F725F">
            <w:pPr>
              <w:jc w:val="both"/>
              <w:rPr>
                <w:rFonts w:eastAsia="Times New Roman"/>
                <w:sz w:val="20"/>
                <w:szCs w:val="20"/>
              </w:rPr>
            </w:pPr>
            <w:r>
              <w:rPr>
                <w:rFonts w:eastAsia="Times New Roman"/>
                <w:sz w:val="20"/>
                <w:szCs w:val="20"/>
              </w:rPr>
              <w:t>the absence of any broker, finder or investment banker fees, other than with respect to the Company’s financial advisor;</w:t>
            </w:r>
          </w:p>
        </w:tc>
      </w:tr>
    </w:tbl>
    <w:p w14:paraId="088AC1AA"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14D5E2F" w14:textId="77777777">
        <w:trPr>
          <w:divId w:val="415980837"/>
          <w:tblCellSpacing w:w="0" w:type="dxa"/>
        </w:trPr>
        <w:tc>
          <w:tcPr>
            <w:tcW w:w="720" w:type="dxa"/>
            <w:hideMark/>
          </w:tcPr>
          <w:p w14:paraId="4E344FED" w14:textId="77777777" w:rsidR="00000000" w:rsidRDefault="002F725F">
            <w:pPr>
              <w:rPr>
                <w:sz w:val="20"/>
                <w:szCs w:val="20"/>
              </w:rPr>
            </w:pPr>
          </w:p>
        </w:tc>
        <w:tc>
          <w:tcPr>
            <w:tcW w:w="360" w:type="dxa"/>
            <w:hideMark/>
          </w:tcPr>
          <w:p w14:paraId="47EB27A4" w14:textId="77777777" w:rsidR="00000000" w:rsidRDefault="002F725F">
            <w:pPr>
              <w:rPr>
                <w:rFonts w:eastAsia="Times New Roman"/>
                <w:sz w:val="20"/>
                <w:szCs w:val="20"/>
              </w:rPr>
            </w:pPr>
            <w:r>
              <w:rPr>
                <w:rFonts w:eastAsia="Times New Roman"/>
                <w:sz w:val="20"/>
                <w:szCs w:val="20"/>
              </w:rPr>
              <w:t>●</w:t>
            </w:r>
          </w:p>
        </w:tc>
        <w:tc>
          <w:tcPr>
            <w:tcW w:w="0" w:type="auto"/>
            <w:hideMark/>
          </w:tcPr>
          <w:p w14:paraId="235C91AD" w14:textId="77777777" w:rsidR="00000000" w:rsidRDefault="002F725F">
            <w:pPr>
              <w:jc w:val="both"/>
              <w:rPr>
                <w:rFonts w:eastAsia="Times New Roman"/>
                <w:sz w:val="20"/>
                <w:szCs w:val="20"/>
              </w:rPr>
            </w:pPr>
            <w:r>
              <w:rPr>
                <w:rFonts w:eastAsia="Times New Roman"/>
                <w:sz w:val="20"/>
                <w:szCs w:val="20"/>
              </w:rPr>
              <w:t>employee matters and compliance with labor and employment laws;</w:t>
            </w:r>
          </w:p>
        </w:tc>
      </w:tr>
    </w:tbl>
    <w:p w14:paraId="0022FDB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C2833F7" w14:textId="77777777">
        <w:trPr>
          <w:divId w:val="415980837"/>
          <w:tblCellSpacing w:w="0" w:type="dxa"/>
        </w:trPr>
        <w:tc>
          <w:tcPr>
            <w:tcW w:w="720" w:type="dxa"/>
            <w:hideMark/>
          </w:tcPr>
          <w:p w14:paraId="596C9B71" w14:textId="77777777" w:rsidR="00000000" w:rsidRDefault="002F725F">
            <w:pPr>
              <w:rPr>
                <w:sz w:val="20"/>
                <w:szCs w:val="20"/>
              </w:rPr>
            </w:pPr>
          </w:p>
        </w:tc>
        <w:tc>
          <w:tcPr>
            <w:tcW w:w="360" w:type="dxa"/>
            <w:hideMark/>
          </w:tcPr>
          <w:p w14:paraId="369413D9" w14:textId="77777777" w:rsidR="00000000" w:rsidRDefault="002F725F">
            <w:pPr>
              <w:rPr>
                <w:rFonts w:eastAsia="Times New Roman"/>
                <w:sz w:val="20"/>
                <w:szCs w:val="20"/>
              </w:rPr>
            </w:pPr>
            <w:r>
              <w:rPr>
                <w:rFonts w:eastAsia="Times New Roman"/>
                <w:sz w:val="20"/>
                <w:szCs w:val="20"/>
              </w:rPr>
              <w:t>●</w:t>
            </w:r>
          </w:p>
        </w:tc>
        <w:tc>
          <w:tcPr>
            <w:tcW w:w="0" w:type="auto"/>
            <w:hideMark/>
          </w:tcPr>
          <w:p w14:paraId="69CA2CDE" w14:textId="77777777" w:rsidR="00000000" w:rsidRDefault="002F725F">
            <w:pPr>
              <w:jc w:val="both"/>
              <w:rPr>
                <w:rFonts w:eastAsia="Times New Roman"/>
                <w:sz w:val="20"/>
                <w:szCs w:val="20"/>
              </w:rPr>
            </w:pPr>
            <w:r>
              <w:rPr>
                <w:rFonts w:eastAsia="Times New Roman"/>
                <w:sz w:val="20"/>
                <w:szCs w:val="20"/>
              </w:rPr>
              <w:t>environmental matters; and</w:t>
            </w:r>
          </w:p>
        </w:tc>
      </w:tr>
    </w:tbl>
    <w:p w14:paraId="7D5E531C"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5FD8CCE" w14:textId="77777777">
        <w:trPr>
          <w:divId w:val="415980837"/>
          <w:tblCellSpacing w:w="0" w:type="dxa"/>
        </w:trPr>
        <w:tc>
          <w:tcPr>
            <w:tcW w:w="720" w:type="dxa"/>
            <w:hideMark/>
          </w:tcPr>
          <w:p w14:paraId="26A744D9" w14:textId="77777777" w:rsidR="00000000" w:rsidRDefault="002F725F">
            <w:pPr>
              <w:rPr>
                <w:sz w:val="20"/>
                <w:szCs w:val="20"/>
              </w:rPr>
            </w:pPr>
          </w:p>
        </w:tc>
        <w:tc>
          <w:tcPr>
            <w:tcW w:w="360" w:type="dxa"/>
            <w:hideMark/>
          </w:tcPr>
          <w:p w14:paraId="7A08ED0E" w14:textId="77777777" w:rsidR="00000000" w:rsidRDefault="002F725F">
            <w:pPr>
              <w:rPr>
                <w:rFonts w:eastAsia="Times New Roman"/>
                <w:sz w:val="20"/>
                <w:szCs w:val="20"/>
              </w:rPr>
            </w:pPr>
            <w:r>
              <w:rPr>
                <w:rFonts w:eastAsia="Times New Roman"/>
                <w:sz w:val="20"/>
                <w:szCs w:val="20"/>
              </w:rPr>
              <w:t>●</w:t>
            </w:r>
          </w:p>
        </w:tc>
        <w:tc>
          <w:tcPr>
            <w:tcW w:w="0" w:type="auto"/>
            <w:hideMark/>
          </w:tcPr>
          <w:p w14:paraId="437B2314" w14:textId="77777777" w:rsidR="00000000" w:rsidRDefault="002F725F">
            <w:pPr>
              <w:jc w:val="both"/>
              <w:rPr>
                <w:rFonts w:eastAsia="Times New Roman"/>
                <w:sz w:val="20"/>
                <w:szCs w:val="20"/>
              </w:rPr>
            </w:pPr>
            <w:r>
              <w:rPr>
                <w:rFonts w:eastAsia="Times New Roman"/>
                <w:sz w:val="20"/>
                <w:szCs w:val="20"/>
              </w:rPr>
              <w:t>the absence of any other representations and warranties by the Company to Parent and Merger Sub, other than the representations and warranties made by the Company in the Merger Agreement.</w:t>
            </w:r>
          </w:p>
        </w:tc>
      </w:tr>
    </w:tbl>
    <w:p w14:paraId="4B0FB32C" w14:textId="77777777" w:rsidR="00000000" w:rsidRDefault="002F725F">
      <w:pPr>
        <w:pStyle w:val="NormalWeb"/>
        <w:spacing w:before="0" w:beforeAutospacing="0" w:after="0" w:afterAutospacing="0"/>
        <w:divId w:val="415980837"/>
        <w:rPr>
          <w:sz w:val="20"/>
          <w:szCs w:val="20"/>
        </w:rPr>
      </w:pPr>
      <w:r>
        <w:rPr>
          <w:sz w:val="20"/>
          <w:szCs w:val="20"/>
        </w:rPr>
        <w:lastRenderedPageBreak/>
        <w:t> </w:t>
      </w:r>
    </w:p>
    <w:p w14:paraId="34596DE3" w14:textId="77777777" w:rsidR="00000000" w:rsidRDefault="002F725F">
      <w:pPr>
        <w:pStyle w:val="NormalWeb"/>
        <w:spacing w:before="0" w:beforeAutospacing="0" w:after="0" w:afterAutospacing="0"/>
        <w:jc w:val="center"/>
        <w:divId w:val="704864032"/>
        <w:rPr>
          <w:sz w:val="20"/>
          <w:szCs w:val="20"/>
        </w:rPr>
      </w:pPr>
      <w:r>
        <w:rPr>
          <w:sz w:val="20"/>
          <w:szCs w:val="20"/>
        </w:rPr>
        <w:t>8</w:t>
      </w:r>
      <w:r>
        <w:rPr>
          <w:sz w:val="20"/>
          <w:szCs w:val="20"/>
        </w:rPr>
        <w:t>5</w:t>
      </w:r>
    </w:p>
    <w:p w14:paraId="65D95B34" w14:textId="77777777" w:rsidR="00000000" w:rsidRDefault="002F725F">
      <w:pPr>
        <w:pStyle w:val="NormalWeb"/>
        <w:spacing w:before="0" w:beforeAutospacing="0" w:after="0" w:afterAutospacing="0"/>
        <w:divId w:val="20054081"/>
        <w:rPr>
          <w:sz w:val="20"/>
          <w:szCs w:val="20"/>
        </w:rPr>
      </w:pPr>
      <w:r>
        <w:rPr>
          <w:sz w:val="20"/>
          <w:szCs w:val="20"/>
        </w:rPr>
        <w:t> </w:t>
      </w:r>
    </w:p>
    <w:p w14:paraId="5E8CCD81" w14:textId="77777777" w:rsidR="00000000" w:rsidRDefault="002F725F">
      <w:pPr>
        <w:pStyle w:val="NormalWeb"/>
        <w:spacing w:before="0" w:beforeAutospacing="0" w:after="0" w:afterAutospacing="0"/>
        <w:divId w:val="415980837"/>
        <w:rPr>
          <w:sz w:val="20"/>
          <w:szCs w:val="20"/>
        </w:rPr>
      </w:pPr>
      <w:r>
        <w:rPr>
          <w:sz w:val="20"/>
          <w:szCs w:val="20"/>
        </w:rPr>
        <w:t> </w:t>
      </w:r>
    </w:p>
    <w:p w14:paraId="5AB4B21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Many of the representations and warranties in the Merger A</w:t>
      </w:r>
      <w:r>
        <w:rPr>
          <w:sz w:val="20"/>
          <w:szCs w:val="20"/>
        </w:rPr>
        <w:t>greement made by the Company are qualified as to “materiality” or “Company Material Adverse Effect.” For purposes of the Merger Agreement, a “Company Material Adverse Effect” means any effect, event, fact, development, circumstance, condition or change (“E</w:t>
      </w:r>
      <w:r>
        <w:rPr>
          <w:sz w:val="20"/>
          <w:szCs w:val="20"/>
        </w:rPr>
        <w:t>ffect”) that, individually or in the aggregate with all other Effects, (a) has had, or would reasonably be expected to have, a material adverse effect on the business, financial condition, assets, liabilities, or results of operations of the Company and it</w:t>
      </w:r>
      <w:r>
        <w:rPr>
          <w:sz w:val="20"/>
          <w:szCs w:val="20"/>
        </w:rPr>
        <w:t>s subsidiaries taken as a whole; or (b) prevents or materially delays or would reasonably be expected to prevent or materially delay the consummation by the Company of the Merger or otherwise be materially adverse to the ability of the Company to perform i</w:t>
      </w:r>
      <w:r>
        <w:rPr>
          <w:sz w:val="20"/>
          <w:szCs w:val="20"/>
        </w:rPr>
        <w:t>ts material obligations under the Merger Agreement; provided, however, that in no event will any Effects arising out of, relating to or resulting from any of the following, either alone or in combination, constitute, or be taken into account in determining</w:t>
      </w:r>
      <w:r>
        <w:rPr>
          <w:sz w:val="20"/>
          <w:szCs w:val="20"/>
        </w:rPr>
        <w:t xml:space="preserve"> whether there has been or would be, a Company Material Adverse Effect described in clause (a) above: (i) changes in general business, economic or political conditions or changes in financial, credit or securities markets in general; (ii) changes in GAAP o</w:t>
      </w:r>
      <w:r>
        <w:rPr>
          <w:sz w:val="20"/>
          <w:szCs w:val="20"/>
        </w:rPr>
        <w:t>r regulatory accounting requirements (or any interpretation or enforcement thereof) after the date of the Original Merger Agreement; (iii) changes in applicable laws (or any interpretation or enforcement thereof) that are applicable to the Company or any o</w:t>
      </w:r>
      <w:r>
        <w:rPr>
          <w:sz w:val="20"/>
          <w:szCs w:val="20"/>
        </w:rPr>
        <w:t>f its subsidiaries; (iv) the public announcement or disclosure of or performance of the Merger Agreement or the Transactions, the pendency or consummation of the Transactions, or the identity of the parties of the Merger Agreement, including the initiation</w:t>
      </w:r>
      <w:r>
        <w:rPr>
          <w:sz w:val="20"/>
          <w:szCs w:val="20"/>
        </w:rPr>
        <w:t xml:space="preserve"> of shareholder litigation or other legal proceeding related to the Merger Agreement or the Transactions, or any impact thereof on relationships, contractual or otherwise, with customers, employees, suppliers, distributors, contractors, lenders, investors,</w:t>
      </w:r>
      <w:r>
        <w:rPr>
          <w:sz w:val="20"/>
          <w:szCs w:val="20"/>
        </w:rPr>
        <w:t xml:space="preserve"> partners or similar parties with whom the Company or any of its subsidiaries has any relationship (in each case, resulting from the consummation of the Transactions, or the public announcement or disclosure of the Merger Agreement or the Transactions, or </w:t>
      </w:r>
      <w:r>
        <w:rPr>
          <w:sz w:val="20"/>
          <w:szCs w:val="20"/>
        </w:rPr>
        <w:t>the identity of the parties to the Merger Agreement); (v) geopolitical conditions, acts of God, natural or man-made disasters, epidemics, pandemic or other public health crises, declared or undeclared acts of war, acts of sabotage or terrorism, outbreak or</w:t>
      </w:r>
      <w:r>
        <w:rPr>
          <w:sz w:val="20"/>
          <w:szCs w:val="20"/>
        </w:rPr>
        <w:t xml:space="preserve"> escalation of hostilities or other comparable events or outbreaks; (vi) changes in the market price or trading volume of the Shares (it being understood that the facts or occurrences giving rise to or contributing to such changes in this clause (vi) may b</w:t>
      </w:r>
      <w:r>
        <w:rPr>
          <w:sz w:val="20"/>
          <w:szCs w:val="20"/>
        </w:rPr>
        <w:t xml:space="preserve">e taken into account in determining whether a Company Material Adverse Effect has occurred); (vii) actions or omissions of any of the Company or its subsidiaries taken that are required by the Merger Agreement or with the written consent or at the written </w:t>
      </w:r>
      <w:r>
        <w:rPr>
          <w:sz w:val="20"/>
          <w:szCs w:val="20"/>
        </w:rPr>
        <w:t>request of Parent, Merger Sub or any of their affiliates or Representatives; (viii) changes, effects or circumstances affecting the industries or markets in which the Company and its subsidiaries operate; (ix) the failure by the Company to meet any interna</w:t>
      </w:r>
      <w:r>
        <w:rPr>
          <w:sz w:val="20"/>
          <w:szCs w:val="20"/>
        </w:rPr>
        <w:t>l or industry estimates, expectations, forecasts, guidance, milestones, projections or budgets or internal or published projections of revenue, earnings, cash flaw or cash position for any period (it being understood that the facts or occurrences giving ri</w:t>
      </w:r>
      <w:r>
        <w:rPr>
          <w:sz w:val="20"/>
          <w:szCs w:val="20"/>
        </w:rPr>
        <w:t xml:space="preserve">se to or contributing to such failure may be taken into account in determining whether a Company Material Adverse Effect has occurred); (x) any change or prospective change in the Company’s credit ratings (it being understood that the facts or occurrences </w:t>
      </w:r>
      <w:r>
        <w:rPr>
          <w:sz w:val="20"/>
          <w:szCs w:val="20"/>
        </w:rPr>
        <w:t xml:space="preserve">giving rise to or contributing to such changes in this clause (x) may be taken into account in determining whether a Company Material Adverse Effect has occurred); or (xi) any breach of the Merger Agreement or other transaction documents by Parent, Merger </w:t>
      </w:r>
      <w:r>
        <w:rPr>
          <w:sz w:val="20"/>
          <w:szCs w:val="20"/>
        </w:rPr>
        <w:t>Sub or any other party thereunder (other than the Company), or any action taken by any of the Company and its subsidiaries at the direction or consent of Parent, Merger Sub, the Sponsor, or any of their affiliates or Representatives; provided, that the Eff</w:t>
      </w:r>
      <w:r>
        <w:rPr>
          <w:sz w:val="20"/>
          <w:szCs w:val="20"/>
        </w:rPr>
        <w:t>ects set forth in clauses (i), (ii), (iii), (v) and (viii) above may be taken into account in determining whether a Company Material Adverse Effect has occurred only to the extent such Effects, individually or in the aggregate, have a materially disproport</w:t>
      </w:r>
      <w:r>
        <w:rPr>
          <w:sz w:val="20"/>
          <w:szCs w:val="20"/>
        </w:rPr>
        <w:t>ionate impact on the Company and its subsidiaries, taken as a whole, relative to other participants in the industries in which the Company and any of its subsidiaries operate (in which case solely the incremental disproportionate effect may be taken into a</w:t>
      </w:r>
      <w:r>
        <w:rPr>
          <w:sz w:val="20"/>
          <w:szCs w:val="20"/>
        </w:rPr>
        <w:t>ccount in determining whether there has been, or would reasonably expected to be, a Company Material Adverse Effect). Notwithstanding anything to the contrary, the Awards, any legal proceeding seeking to enforce, recognize, challenge, vacate, modify, dispu</w:t>
      </w:r>
      <w:r>
        <w:rPr>
          <w:sz w:val="20"/>
          <w:szCs w:val="20"/>
        </w:rPr>
        <w:t>te, or otherwise give effect to such Awards, and any liabilities, losses or damages incurred by the Company or any of its subsidiaries therefrom, shall not, individually or in the aggregate, be deemed to constitute, result in, or give rise to a Company Mat</w:t>
      </w:r>
      <w:r>
        <w:rPr>
          <w:sz w:val="20"/>
          <w:szCs w:val="20"/>
        </w:rPr>
        <w:t>erial Adverse Effect.</w:t>
      </w:r>
    </w:p>
    <w:p w14:paraId="6122041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1039C00"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The representations and warranties made by Parent and Merger Sub to the Company include representations and warranties relating to, among other things:</w:t>
      </w:r>
    </w:p>
    <w:p w14:paraId="3284AE4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D51AFAF" w14:textId="77777777">
        <w:trPr>
          <w:divId w:val="415980837"/>
          <w:tblCellSpacing w:w="0" w:type="dxa"/>
        </w:trPr>
        <w:tc>
          <w:tcPr>
            <w:tcW w:w="720" w:type="dxa"/>
            <w:hideMark/>
          </w:tcPr>
          <w:p w14:paraId="271F9505" w14:textId="77777777" w:rsidR="00000000" w:rsidRDefault="002F725F">
            <w:pPr>
              <w:rPr>
                <w:sz w:val="20"/>
                <w:szCs w:val="20"/>
              </w:rPr>
            </w:pPr>
          </w:p>
        </w:tc>
        <w:tc>
          <w:tcPr>
            <w:tcW w:w="360" w:type="dxa"/>
            <w:hideMark/>
          </w:tcPr>
          <w:p w14:paraId="01A49A84" w14:textId="77777777" w:rsidR="00000000" w:rsidRDefault="002F725F">
            <w:pPr>
              <w:rPr>
                <w:rFonts w:eastAsia="Times New Roman"/>
                <w:sz w:val="20"/>
                <w:szCs w:val="20"/>
              </w:rPr>
            </w:pPr>
            <w:r>
              <w:rPr>
                <w:rFonts w:eastAsia="Times New Roman"/>
                <w:sz w:val="20"/>
                <w:szCs w:val="20"/>
              </w:rPr>
              <w:t>●</w:t>
            </w:r>
          </w:p>
        </w:tc>
        <w:tc>
          <w:tcPr>
            <w:tcW w:w="0" w:type="auto"/>
            <w:hideMark/>
          </w:tcPr>
          <w:p w14:paraId="22C86830" w14:textId="77777777" w:rsidR="00000000" w:rsidRDefault="002F725F">
            <w:pPr>
              <w:jc w:val="both"/>
              <w:rPr>
                <w:rFonts w:eastAsia="Times New Roman"/>
                <w:sz w:val="20"/>
                <w:szCs w:val="20"/>
              </w:rPr>
            </w:pPr>
            <w:r>
              <w:rPr>
                <w:rFonts w:eastAsia="Times New Roman"/>
                <w:sz w:val="20"/>
                <w:szCs w:val="20"/>
              </w:rPr>
              <w:t>their due organization, valid existence, good standing and power and author</w:t>
            </w:r>
            <w:r>
              <w:rPr>
                <w:rFonts w:eastAsia="Times New Roman"/>
                <w:sz w:val="20"/>
                <w:szCs w:val="20"/>
              </w:rPr>
              <w:t>ity to carry on their respective business;</w:t>
            </w:r>
          </w:p>
        </w:tc>
      </w:tr>
    </w:tbl>
    <w:p w14:paraId="41CDC565"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32C28A0" w14:textId="77777777">
        <w:trPr>
          <w:divId w:val="415980837"/>
          <w:tblCellSpacing w:w="0" w:type="dxa"/>
        </w:trPr>
        <w:tc>
          <w:tcPr>
            <w:tcW w:w="720" w:type="dxa"/>
            <w:hideMark/>
          </w:tcPr>
          <w:p w14:paraId="0E1A9CD2" w14:textId="77777777" w:rsidR="00000000" w:rsidRDefault="002F725F">
            <w:pPr>
              <w:rPr>
                <w:sz w:val="20"/>
                <w:szCs w:val="20"/>
              </w:rPr>
            </w:pPr>
          </w:p>
        </w:tc>
        <w:tc>
          <w:tcPr>
            <w:tcW w:w="360" w:type="dxa"/>
            <w:hideMark/>
          </w:tcPr>
          <w:p w14:paraId="2DFED1B2" w14:textId="77777777" w:rsidR="00000000" w:rsidRDefault="002F725F">
            <w:pPr>
              <w:rPr>
                <w:rFonts w:eastAsia="Times New Roman"/>
                <w:sz w:val="20"/>
                <w:szCs w:val="20"/>
              </w:rPr>
            </w:pPr>
            <w:r>
              <w:rPr>
                <w:rFonts w:eastAsia="Times New Roman"/>
                <w:sz w:val="20"/>
                <w:szCs w:val="20"/>
              </w:rPr>
              <w:t>●</w:t>
            </w:r>
          </w:p>
        </w:tc>
        <w:tc>
          <w:tcPr>
            <w:tcW w:w="0" w:type="auto"/>
            <w:hideMark/>
          </w:tcPr>
          <w:p w14:paraId="23BF765A" w14:textId="77777777" w:rsidR="00000000" w:rsidRDefault="002F725F">
            <w:pPr>
              <w:jc w:val="both"/>
              <w:rPr>
                <w:rFonts w:eastAsia="Times New Roman"/>
                <w:sz w:val="20"/>
                <w:szCs w:val="20"/>
              </w:rPr>
            </w:pPr>
            <w:r>
              <w:rPr>
                <w:rFonts w:eastAsia="Times New Roman"/>
                <w:sz w:val="20"/>
                <w:szCs w:val="20"/>
              </w:rPr>
              <w:t xml:space="preserve">their corporate power and authority to execute, deliver and perform their obligations under the Merger </w:t>
            </w:r>
            <w:r>
              <w:rPr>
                <w:rFonts w:eastAsia="Times New Roman"/>
                <w:sz w:val="20"/>
                <w:szCs w:val="20"/>
              </w:rPr>
              <w:t>Agreement and to consummate the transactions contemplated thereby, and the enforceability of the Merger Agreement against them;</w:t>
            </w:r>
          </w:p>
        </w:tc>
      </w:tr>
    </w:tbl>
    <w:p w14:paraId="501F3201"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8E8A226" w14:textId="77777777">
        <w:trPr>
          <w:divId w:val="415980837"/>
          <w:tblCellSpacing w:w="0" w:type="dxa"/>
        </w:trPr>
        <w:tc>
          <w:tcPr>
            <w:tcW w:w="720" w:type="dxa"/>
            <w:hideMark/>
          </w:tcPr>
          <w:p w14:paraId="57CE2CD3" w14:textId="77777777" w:rsidR="00000000" w:rsidRDefault="002F725F">
            <w:pPr>
              <w:rPr>
                <w:sz w:val="20"/>
                <w:szCs w:val="20"/>
              </w:rPr>
            </w:pPr>
          </w:p>
        </w:tc>
        <w:tc>
          <w:tcPr>
            <w:tcW w:w="360" w:type="dxa"/>
            <w:hideMark/>
          </w:tcPr>
          <w:p w14:paraId="1B9A910B" w14:textId="77777777" w:rsidR="00000000" w:rsidRDefault="002F725F">
            <w:pPr>
              <w:rPr>
                <w:rFonts w:eastAsia="Times New Roman"/>
                <w:sz w:val="20"/>
                <w:szCs w:val="20"/>
              </w:rPr>
            </w:pPr>
            <w:r>
              <w:rPr>
                <w:rFonts w:eastAsia="Times New Roman"/>
                <w:sz w:val="20"/>
                <w:szCs w:val="20"/>
              </w:rPr>
              <w:t>●</w:t>
            </w:r>
          </w:p>
        </w:tc>
        <w:tc>
          <w:tcPr>
            <w:tcW w:w="0" w:type="auto"/>
            <w:hideMark/>
          </w:tcPr>
          <w:p w14:paraId="13BB062D" w14:textId="77777777" w:rsidR="00000000" w:rsidRDefault="002F725F">
            <w:pPr>
              <w:jc w:val="both"/>
              <w:rPr>
                <w:rFonts w:eastAsia="Times New Roman"/>
                <w:sz w:val="20"/>
                <w:szCs w:val="20"/>
              </w:rPr>
            </w:pPr>
            <w:r>
              <w:rPr>
                <w:rFonts w:eastAsia="Times New Roman"/>
                <w:sz w:val="20"/>
                <w:szCs w:val="20"/>
              </w:rPr>
              <w:t>their capitalization and ownership structure;</w:t>
            </w:r>
          </w:p>
        </w:tc>
      </w:tr>
    </w:tbl>
    <w:p w14:paraId="5FA14F5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AE2F971" w14:textId="77777777">
        <w:trPr>
          <w:divId w:val="415980837"/>
          <w:tblCellSpacing w:w="0" w:type="dxa"/>
        </w:trPr>
        <w:tc>
          <w:tcPr>
            <w:tcW w:w="720" w:type="dxa"/>
            <w:hideMark/>
          </w:tcPr>
          <w:p w14:paraId="4A6CA327" w14:textId="77777777" w:rsidR="00000000" w:rsidRDefault="002F725F">
            <w:pPr>
              <w:rPr>
                <w:sz w:val="20"/>
                <w:szCs w:val="20"/>
              </w:rPr>
            </w:pPr>
          </w:p>
        </w:tc>
        <w:tc>
          <w:tcPr>
            <w:tcW w:w="360" w:type="dxa"/>
            <w:hideMark/>
          </w:tcPr>
          <w:p w14:paraId="44BBE902" w14:textId="77777777" w:rsidR="00000000" w:rsidRDefault="002F725F">
            <w:pPr>
              <w:rPr>
                <w:rFonts w:eastAsia="Times New Roman"/>
                <w:sz w:val="20"/>
                <w:szCs w:val="20"/>
              </w:rPr>
            </w:pPr>
            <w:r>
              <w:rPr>
                <w:rFonts w:eastAsia="Times New Roman"/>
                <w:sz w:val="20"/>
                <w:szCs w:val="20"/>
              </w:rPr>
              <w:t>●</w:t>
            </w:r>
          </w:p>
        </w:tc>
        <w:tc>
          <w:tcPr>
            <w:tcW w:w="0" w:type="auto"/>
            <w:hideMark/>
          </w:tcPr>
          <w:p w14:paraId="77E6C365" w14:textId="77777777" w:rsidR="00000000" w:rsidRDefault="002F725F">
            <w:pPr>
              <w:jc w:val="both"/>
              <w:rPr>
                <w:rFonts w:eastAsia="Times New Roman"/>
                <w:sz w:val="20"/>
                <w:szCs w:val="20"/>
              </w:rPr>
            </w:pPr>
            <w:r>
              <w:rPr>
                <w:rFonts w:eastAsia="Times New Roman"/>
                <w:sz w:val="20"/>
                <w:szCs w:val="20"/>
              </w:rPr>
              <w:t xml:space="preserve">government filing, registration, notification, authorization, consent </w:t>
            </w:r>
            <w:r>
              <w:rPr>
                <w:rFonts w:eastAsia="Times New Roman"/>
                <w:sz w:val="20"/>
                <w:szCs w:val="20"/>
              </w:rPr>
              <w:t>or approval for the execution, delivery and performance of the Merger Agreement by Parent and Merger Sub and the consummation by Parent and Merger Sub of the Transactions;</w:t>
            </w:r>
          </w:p>
        </w:tc>
      </w:tr>
    </w:tbl>
    <w:p w14:paraId="208858B7"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72F1024" w14:textId="77777777">
        <w:trPr>
          <w:divId w:val="415980837"/>
          <w:tblCellSpacing w:w="0" w:type="dxa"/>
        </w:trPr>
        <w:tc>
          <w:tcPr>
            <w:tcW w:w="720" w:type="dxa"/>
            <w:hideMark/>
          </w:tcPr>
          <w:p w14:paraId="29C03747" w14:textId="77777777" w:rsidR="00000000" w:rsidRDefault="002F725F">
            <w:pPr>
              <w:rPr>
                <w:sz w:val="20"/>
                <w:szCs w:val="20"/>
              </w:rPr>
            </w:pPr>
          </w:p>
        </w:tc>
        <w:tc>
          <w:tcPr>
            <w:tcW w:w="360" w:type="dxa"/>
            <w:hideMark/>
          </w:tcPr>
          <w:p w14:paraId="4E156D9E" w14:textId="77777777" w:rsidR="00000000" w:rsidRDefault="002F725F">
            <w:pPr>
              <w:rPr>
                <w:rFonts w:eastAsia="Times New Roman"/>
                <w:sz w:val="20"/>
                <w:szCs w:val="20"/>
              </w:rPr>
            </w:pPr>
            <w:r>
              <w:rPr>
                <w:rFonts w:eastAsia="Times New Roman"/>
                <w:sz w:val="20"/>
                <w:szCs w:val="20"/>
              </w:rPr>
              <w:t>●</w:t>
            </w:r>
          </w:p>
        </w:tc>
        <w:tc>
          <w:tcPr>
            <w:tcW w:w="0" w:type="auto"/>
            <w:hideMark/>
          </w:tcPr>
          <w:p w14:paraId="271B2389" w14:textId="77777777" w:rsidR="00000000" w:rsidRDefault="002F725F">
            <w:pPr>
              <w:jc w:val="both"/>
              <w:rPr>
                <w:rFonts w:eastAsia="Times New Roman"/>
                <w:sz w:val="20"/>
                <w:szCs w:val="20"/>
              </w:rPr>
            </w:pPr>
            <w:r>
              <w:rPr>
                <w:rFonts w:eastAsia="Times New Roman"/>
                <w:sz w:val="20"/>
                <w:szCs w:val="20"/>
              </w:rPr>
              <w:t>the absence of certain violations, breaches or defaults under certain contract</w:t>
            </w:r>
            <w:r>
              <w:rPr>
                <w:rFonts w:eastAsia="Times New Roman"/>
                <w:sz w:val="20"/>
                <w:szCs w:val="20"/>
              </w:rPr>
              <w:t>s, organizational documents and law, in each case arising out of the execution and delivery of the Merger Agreement and consummation of the Transactions;</w:t>
            </w:r>
          </w:p>
        </w:tc>
      </w:tr>
    </w:tbl>
    <w:p w14:paraId="438B18F5"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AECC527" w14:textId="77777777">
        <w:trPr>
          <w:divId w:val="415980837"/>
          <w:tblCellSpacing w:w="0" w:type="dxa"/>
        </w:trPr>
        <w:tc>
          <w:tcPr>
            <w:tcW w:w="720" w:type="dxa"/>
            <w:hideMark/>
          </w:tcPr>
          <w:p w14:paraId="4A494DB7" w14:textId="77777777" w:rsidR="00000000" w:rsidRDefault="002F725F">
            <w:pPr>
              <w:rPr>
                <w:sz w:val="20"/>
                <w:szCs w:val="20"/>
              </w:rPr>
            </w:pPr>
          </w:p>
        </w:tc>
        <w:tc>
          <w:tcPr>
            <w:tcW w:w="360" w:type="dxa"/>
            <w:hideMark/>
          </w:tcPr>
          <w:p w14:paraId="79372FBB" w14:textId="77777777" w:rsidR="00000000" w:rsidRDefault="002F725F">
            <w:pPr>
              <w:rPr>
                <w:rFonts w:eastAsia="Times New Roman"/>
                <w:sz w:val="20"/>
                <w:szCs w:val="20"/>
              </w:rPr>
            </w:pPr>
            <w:r>
              <w:rPr>
                <w:rFonts w:eastAsia="Times New Roman"/>
                <w:sz w:val="20"/>
                <w:szCs w:val="20"/>
              </w:rPr>
              <w:t>●</w:t>
            </w:r>
          </w:p>
        </w:tc>
        <w:tc>
          <w:tcPr>
            <w:tcW w:w="0" w:type="auto"/>
            <w:hideMark/>
          </w:tcPr>
          <w:p w14:paraId="552F195C" w14:textId="77777777" w:rsidR="00000000" w:rsidRDefault="002F725F">
            <w:pPr>
              <w:jc w:val="both"/>
              <w:rPr>
                <w:rFonts w:eastAsia="Times New Roman"/>
                <w:sz w:val="20"/>
                <w:szCs w:val="20"/>
              </w:rPr>
            </w:pPr>
            <w:r>
              <w:rPr>
                <w:rFonts w:eastAsia="Times New Roman"/>
                <w:sz w:val="20"/>
                <w:szCs w:val="20"/>
              </w:rPr>
              <w:t>the accuracy of the information provided by them in the Schedule 13E-3 and this proxy statement;</w:t>
            </w:r>
          </w:p>
        </w:tc>
      </w:tr>
    </w:tbl>
    <w:p w14:paraId="38541DC5"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712B2F1" w14:textId="77777777">
        <w:trPr>
          <w:divId w:val="415980837"/>
          <w:tblCellSpacing w:w="0" w:type="dxa"/>
        </w:trPr>
        <w:tc>
          <w:tcPr>
            <w:tcW w:w="720" w:type="dxa"/>
            <w:hideMark/>
          </w:tcPr>
          <w:p w14:paraId="0E06D5AD" w14:textId="77777777" w:rsidR="00000000" w:rsidRDefault="002F725F">
            <w:pPr>
              <w:rPr>
                <w:sz w:val="20"/>
                <w:szCs w:val="20"/>
              </w:rPr>
            </w:pPr>
          </w:p>
        </w:tc>
        <w:tc>
          <w:tcPr>
            <w:tcW w:w="360" w:type="dxa"/>
            <w:hideMark/>
          </w:tcPr>
          <w:p w14:paraId="37400FC9" w14:textId="77777777" w:rsidR="00000000" w:rsidRDefault="002F725F">
            <w:pPr>
              <w:rPr>
                <w:rFonts w:eastAsia="Times New Roman"/>
                <w:sz w:val="20"/>
                <w:szCs w:val="20"/>
              </w:rPr>
            </w:pPr>
            <w:r>
              <w:rPr>
                <w:rFonts w:eastAsia="Times New Roman"/>
                <w:sz w:val="20"/>
                <w:szCs w:val="20"/>
              </w:rPr>
              <w:t>●</w:t>
            </w:r>
          </w:p>
        </w:tc>
        <w:tc>
          <w:tcPr>
            <w:tcW w:w="0" w:type="auto"/>
            <w:hideMark/>
          </w:tcPr>
          <w:p w14:paraId="2FAA65DE" w14:textId="77777777" w:rsidR="00000000" w:rsidRDefault="002F725F">
            <w:pPr>
              <w:jc w:val="both"/>
              <w:rPr>
                <w:rFonts w:eastAsia="Times New Roman"/>
                <w:sz w:val="20"/>
                <w:szCs w:val="20"/>
              </w:rPr>
            </w:pPr>
            <w:r>
              <w:rPr>
                <w:rFonts w:eastAsia="Times New Roman"/>
                <w:sz w:val="20"/>
                <w:szCs w:val="20"/>
              </w:rPr>
              <w:t>the absence of any broker, finder or investment banker fees based upon arrangements made by or on behalf of Parent or Merger Sub;</w:t>
            </w:r>
          </w:p>
        </w:tc>
      </w:tr>
    </w:tbl>
    <w:p w14:paraId="6367915A"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DEA4460" w14:textId="77777777">
        <w:trPr>
          <w:divId w:val="415980837"/>
          <w:tblCellSpacing w:w="0" w:type="dxa"/>
        </w:trPr>
        <w:tc>
          <w:tcPr>
            <w:tcW w:w="720" w:type="dxa"/>
            <w:hideMark/>
          </w:tcPr>
          <w:p w14:paraId="174026AE" w14:textId="77777777" w:rsidR="00000000" w:rsidRDefault="002F725F">
            <w:pPr>
              <w:rPr>
                <w:sz w:val="20"/>
                <w:szCs w:val="20"/>
              </w:rPr>
            </w:pPr>
          </w:p>
        </w:tc>
        <w:tc>
          <w:tcPr>
            <w:tcW w:w="360" w:type="dxa"/>
            <w:hideMark/>
          </w:tcPr>
          <w:p w14:paraId="131893CA" w14:textId="77777777" w:rsidR="00000000" w:rsidRDefault="002F725F">
            <w:pPr>
              <w:rPr>
                <w:rFonts w:eastAsia="Times New Roman"/>
                <w:sz w:val="20"/>
                <w:szCs w:val="20"/>
              </w:rPr>
            </w:pPr>
            <w:r>
              <w:rPr>
                <w:rFonts w:eastAsia="Times New Roman"/>
                <w:sz w:val="20"/>
                <w:szCs w:val="20"/>
              </w:rPr>
              <w:t>●</w:t>
            </w:r>
          </w:p>
        </w:tc>
        <w:tc>
          <w:tcPr>
            <w:tcW w:w="0" w:type="auto"/>
            <w:hideMark/>
          </w:tcPr>
          <w:p w14:paraId="30EA772A" w14:textId="77777777" w:rsidR="00000000" w:rsidRDefault="002F725F">
            <w:pPr>
              <w:jc w:val="both"/>
              <w:rPr>
                <w:rFonts w:eastAsia="Times New Roman"/>
                <w:sz w:val="20"/>
                <w:szCs w:val="20"/>
              </w:rPr>
            </w:pPr>
            <w:r>
              <w:rPr>
                <w:rFonts w:eastAsia="Times New Roman"/>
                <w:sz w:val="20"/>
                <w:szCs w:val="20"/>
              </w:rPr>
              <w:t>the ownership of Shares by Parent, Merger Sub, the Rollover Shareholders and the Sponsor;</w:t>
            </w:r>
          </w:p>
        </w:tc>
      </w:tr>
    </w:tbl>
    <w:p w14:paraId="0F4DE09C"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41A94D8" w14:textId="77777777">
        <w:trPr>
          <w:divId w:val="415980837"/>
          <w:tblCellSpacing w:w="0" w:type="dxa"/>
        </w:trPr>
        <w:tc>
          <w:tcPr>
            <w:tcW w:w="720" w:type="dxa"/>
            <w:hideMark/>
          </w:tcPr>
          <w:p w14:paraId="39AE69F5" w14:textId="77777777" w:rsidR="00000000" w:rsidRDefault="002F725F">
            <w:pPr>
              <w:rPr>
                <w:sz w:val="20"/>
                <w:szCs w:val="20"/>
              </w:rPr>
            </w:pPr>
          </w:p>
        </w:tc>
        <w:tc>
          <w:tcPr>
            <w:tcW w:w="360" w:type="dxa"/>
            <w:hideMark/>
          </w:tcPr>
          <w:p w14:paraId="7323B910" w14:textId="77777777" w:rsidR="00000000" w:rsidRDefault="002F725F">
            <w:pPr>
              <w:rPr>
                <w:rFonts w:eastAsia="Times New Roman"/>
                <w:sz w:val="20"/>
                <w:szCs w:val="20"/>
              </w:rPr>
            </w:pPr>
            <w:r>
              <w:rPr>
                <w:rFonts w:eastAsia="Times New Roman"/>
                <w:sz w:val="20"/>
                <w:szCs w:val="20"/>
              </w:rPr>
              <w:t>●</w:t>
            </w:r>
          </w:p>
        </w:tc>
        <w:tc>
          <w:tcPr>
            <w:tcW w:w="0" w:type="auto"/>
            <w:hideMark/>
          </w:tcPr>
          <w:p w14:paraId="3C7F8B95" w14:textId="77777777" w:rsidR="00000000" w:rsidRDefault="002F725F">
            <w:pPr>
              <w:jc w:val="both"/>
              <w:rPr>
                <w:rFonts w:eastAsia="Times New Roman"/>
                <w:sz w:val="20"/>
                <w:szCs w:val="20"/>
              </w:rPr>
            </w:pPr>
            <w:r>
              <w:rPr>
                <w:rFonts w:eastAsia="Times New Roman"/>
                <w:sz w:val="20"/>
                <w:szCs w:val="20"/>
              </w:rPr>
              <w:t>the absence of certain undisclosed agreements (a) relating to the Transactions, (b) pursuant to which any shareholder of the Company would be entitled to receiv</w:t>
            </w:r>
            <w:r>
              <w:rPr>
                <w:rFonts w:eastAsia="Times New Roman"/>
                <w:sz w:val="20"/>
                <w:szCs w:val="20"/>
              </w:rPr>
              <w:t>e consideration of a different amount or nature than the Per Share Merger Consideration, or (c) pursuant to which any person has agreed to provide, directly or indirectly, equity capital to Parent, Merger Sub or the Company to finance in whole or in part t</w:t>
            </w:r>
            <w:r>
              <w:rPr>
                <w:rFonts w:eastAsia="Times New Roman"/>
                <w:sz w:val="20"/>
                <w:szCs w:val="20"/>
              </w:rPr>
              <w:t>he Transactions;</w:t>
            </w:r>
          </w:p>
        </w:tc>
      </w:tr>
    </w:tbl>
    <w:p w14:paraId="0ACCE169" w14:textId="77777777" w:rsidR="00000000" w:rsidRDefault="002F725F">
      <w:pPr>
        <w:pStyle w:val="NormalWeb"/>
        <w:spacing w:before="0" w:beforeAutospacing="0" w:after="0" w:afterAutospacing="0"/>
        <w:divId w:val="415980837"/>
        <w:rPr>
          <w:sz w:val="20"/>
          <w:szCs w:val="20"/>
        </w:rPr>
      </w:pPr>
      <w:r>
        <w:rPr>
          <w:sz w:val="20"/>
          <w:szCs w:val="20"/>
        </w:rPr>
        <w:t> </w:t>
      </w:r>
    </w:p>
    <w:p w14:paraId="70F042CC" w14:textId="77777777" w:rsidR="00000000" w:rsidRDefault="002F725F">
      <w:pPr>
        <w:pStyle w:val="NormalWeb"/>
        <w:spacing w:before="0" w:beforeAutospacing="0" w:after="0" w:afterAutospacing="0"/>
        <w:jc w:val="center"/>
        <w:divId w:val="23022680"/>
        <w:rPr>
          <w:sz w:val="20"/>
          <w:szCs w:val="20"/>
        </w:rPr>
      </w:pPr>
      <w:r>
        <w:rPr>
          <w:sz w:val="20"/>
          <w:szCs w:val="20"/>
        </w:rPr>
        <w:t>8</w:t>
      </w:r>
      <w:r>
        <w:rPr>
          <w:sz w:val="20"/>
          <w:szCs w:val="20"/>
        </w:rPr>
        <w:t>6</w:t>
      </w:r>
    </w:p>
    <w:p w14:paraId="4C3F7B27" w14:textId="77777777" w:rsidR="00000000" w:rsidRDefault="002F725F">
      <w:pPr>
        <w:pStyle w:val="NormalWeb"/>
        <w:spacing w:before="0" w:beforeAutospacing="0" w:after="0" w:afterAutospacing="0"/>
        <w:divId w:val="1767649464"/>
        <w:rPr>
          <w:sz w:val="20"/>
          <w:szCs w:val="20"/>
        </w:rPr>
      </w:pPr>
      <w:r>
        <w:rPr>
          <w:sz w:val="20"/>
          <w:szCs w:val="20"/>
        </w:rPr>
        <w:t> </w:t>
      </w:r>
    </w:p>
    <w:p w14:paraId="3A64688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763703C" w14:textId="77777777">
        <w:trPr>
          <w:divId w:val="415980837"/>
          <w:tblCellSpacing w:w="0" w:type="dxa"/>
        </w:trPr>
        <w:tc>
          <w:tcPr>
            <w:tcW w:w="720" w:type="dxa"/>
            <w:hideMark/>
          </w:tcPr>
          <w:p w14:paraId="3909CE77" w14:textId="77777777" w:rsidR="00000000" w:rsidRDefault="002F725F">
            <w:pPr>
              <w:rPr>
                <w:sz w:val="20"/>
                <w:szCs w:val="20"/>
              </w:rPr>
            </w:pPr>
          </w:p>
        </w:tc>
        <w:tc>
          <w:tcPr>
            <w:tcW w:w="360" w:type="dxa"/>
            <w:hideMark/>
          </w:tcPr>
          <w:p w14:paraId="48428E83" w14:textId="77777777" w:rsidR="00000000" w:rsidRDefault="002F725F">
            <w:pPr>
              <w:rPr>
                <w:rFonts w:eastAsia="Times New Roman"/>
                <w:sz w:val="20"/>
                <w:szCs w:val="20"/>
              </w:rPr>
            </w:pPr>
            <w:r>
              <w:rPr>
                <w:rFonts w:eastAsia="Times New Roman"/>
                <w:sz w:val="20"/>
                <w:szCs w:val="20"/>
              </w:rPr>
              <w:t>●</w:t>
            </w:r>
          </w:p>
        </w:tc>
        <w:tc>
          <w:tcPr>
            <w:tcW w:w="0" w:type="auto"/>
            <w:hideMark/>
          </w:tcPr>
          <w:p w14:paraId="3C6204EB" w14:textId="77777777" w:rsidR="00000000" w:rsidRDefault="002F725F">
            <w:pPr>
              <w:jc w:val="both"/>
              <w:rPr>
                <w:rFonts w:eastAsia="Times New Roman"/>
                <w:sz w:val="20"/>
                <w:szCs w:val="20"/>
              </w:rPr>
            </w:pPr>
            <w:r>
              <w:rPr>
                <w:rFonts w:eastAsia="Times New Roman"/>
                <w:sz w:val="20"/>
                <w:szCs w:val="20"/>
              </w:rPr>
              <w:t>the Limited Guarantee being in full force and effect and the absence of default thereunder;</w:t>
            </w:r>
          </w:p>
        </w:tc>
      </w:tr>
    </w:tbl>
    <w:p w14:paraId="5CD55E8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B2CCDA9" w14:textId="77777777">
        <w:trPr>
          <w:divId w:val="415980837"/>
          <w:tblCellSpacing w:w="0" w:type="dxa"/>
        </w:trPr>
        <w:tc>
          <w:tcPr>
            <w:tcW w:w="720" w:type="dxa"/>
            <w:hideMark/>
          </w:tcPr>
          <w:p w14:paraId="009730E4" w14:textId="77777777" w:rsidR="00000000" w:rsidRDefault="002F725F">
            <w:pPr>
              <w:rPr>
                <w:sz w:val="20"/>
                <w:szCs w:val="20"/>
              </w:rPr>
            </w:pPr>
          </w:p>
        </w:tc>
        <w:tc>
          <w:tcPr>
            <w:tcW w:w="360" w:type="dxa"/>
            <w:hideMark/>
          </w:tcPr>
          <w:p w14:paraId="433B4CE1" w14:textId="77777777" w:rsidR="00000000" w:rsidRDefault="002F725F">
            <w:pPr>
              <w:rPr>
                <w:rFonts w:eastAsia="Times New Roman"/>
                <w:sz w:val="20"/>
                <w:szCs w:val="20"/>
              </w:rPr>
            </w:pPr>
            <w:r>
              <w:rPr>
                <w:rFonts w:eastAsia="Times New Roman"/>
                <w:sz w:val="20"/>
                <w:szCs w:val="20"/>
              </w:rPr>
              <w:t>●</w:t>
            </w:r>
          </w:p>
        </w:tc>
        <w:tc>
          <w:tcPr>
            <w:tcW w:w="0" w:type="auto"/>
            <w:hideMark/>
          </w:tcPr>
          <w:p w14:paraId="55013A77" w14:textId="77777777" w:rsidR="00000000" w:rsidRDefault="002F725F">
            <w:pPr>
              <w:jc w:val="both"/>
              <w:rPr>
                <w:rFonts w:eastAsia="Times New Roman"/>
                <w:sz w:val="20"/>
                <w:szCs w:val="20"/>
              </w:rPr>
            </w:pPr>
            <w:r>
              <w:rPr>
                <w:rFonts w:eastAsia="Times New Roman"/>
                <w:sz w:val="20"/>
                <w:szCs w:val="20"/>
              </w:rPr>
              <w:t>the independent investigation of the Company and its subsidiaries by Parent and Merger Sub;</w:t>
            </w:r>
          </w:p>
        </w:tc>
      </w:tr>
    </w:tbl>
    <w:p w14:paraId="70DA8B7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1323CD7" w14:textId="77777777">
        <w:trPr>
          <w:divId w:val="415980837"/>
          <w:tblCellSpacing w:w="0" w:type="dxa"/>
        </w:trPr>
        <w:tc>
          <w:tcPr>
            <w:tcW w:w="720" w:type="dxa"/>
            <w:hideMark/>
          </w:tcPr>
          <w:p w14:paraId="0B25EBA4" w14:textId="77777777" w:rsidR="00000000" w:rsidRDefault="002F725F">
            <w:pPr>
              <w:rPr>
                <w:sz w:val="20"/>
                <w:szCs w:val="20"/>
              </w:rPr>
            </w:pPr>
          </w:p>
        </w:tc>
        <w:tc>
          <w:tcPr>
            <w:tcW w:w="360" w:type="dxa"/>
            <w:hideMark/>
          </w:tcPr>
          <w:p w14:paraId="48CDB317" w14:textId="77777777" w:rsidR="00000000" w:rsidRDefault="002F725F">
            <w:pPr>
              <w:rPr>
                <w:rFonts w:eastAsia="Times New Roman"/>
                <w:sz w:val="20"/>
                <w:szCs w:val="20"/>
              </w:rPr>
            </w:pPr>
            <w:r>
              <w:rPr>
                <w:rFonts w:eastAsia="Times New Roman"/>
                <w:sz w:val="20"/>
                <w:szCs w:val="20"/>
              </w:rPr>
              <w:t>●</w:t>
            </w:r>
          </w:p>
        </w:tc>
        <w:tc>
          <w:tcPr>
            <w:tcW w:w="0" w:type="auto"/>
            <w:hideMark/>
          </w:tcPr>
          <w:p w14:paraId="165C6242" w14:textId="77777777" w:rsidR="00000000" w:rsidRDefault="002F725F">
            <w:pPr>
              <w:jc w:val="both"/>
              <w:rPr>
                <w:rFonts w:eastAsia="Times New Roman"/>
                <w:sz w:val="20"/>
                <w:szCs w:val="20"/>
              </w:rPr>
            </w:pPr>
            <w:r>
              <w:rPr>
                <w:rFonts w:eastAsia="Times New Roman"/>
                <w:sz w:val="20"/>
                <w:szCs w:val="20"/>
              </w:rPr>
              <w:t>non-reliance by Parent and Merger Sub on any estimates, projections, forecasts, plans and budget information provided by the Company and its subsidiaries;</w:t>
            </w:r>
          </w:p>
        </w:tc>
      </w:tr>
    </w:tbl>
    <w:p w14:paraId="2F54ED28"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94D4795" w14:textId="77777777">
        <w:trPr>
          <w:divId w:val="415980837"/>
          <w:tblCellSpacing w:w="0" w:type="dxa"/>
        </w:trPr>
        <w:tc>
          <w:tcPr>
            <w:tcW w:w="720" w:type="dxa"/>
            <w:hideMark/>
          </w:tcPr>
          <w:p w14:paraId="681AE47B" w14:textId="77777777" w:rsidR="00000000" w:rsidRDefault="002F725F">
            <w:pPr>
              <w:rPr>
                <w:sz w:val="20"/>
                <w:szCs w:val="20"/>
              </w:rPr>
            </w:pPr>
          </w:p>
        </w:tc>
        <w:tc>
          <w:tcPr>
            <w:tcW w:w="360" w:type="dxa"/>
            <w:hideMark/>
          </w:tcPr>
          <w:p w14:paraId="6ABC316D" w14:textId="77777777" w:rsidR="00000000" w:rsidRDefault="002F725F">
            <w:pPr>
              <w:rPr>
                <w:rFonts w:eastAsia="Times New Roman"/>
                <w:sz w:val="20"/>
                <w:szCs w:val="20"/>
              </w:rPr>
            </w:pPr>
            <w:r>
              <w:rPr>
                <w:rFonts w:eastAsia="Times New Roman"/>
                <w:sz w:val="20"/>
                <w:szCs w:val="20"/>
              </w:rPr>
              <w:t>●</w:t>
            </w:r>
          </w:p>
        </w:tc>
        <w:tc>
          <w:tcPr>
            <w:tcW w:w="0" w:type="auto"/>
            <w:hideMark/>
          </w:tcPr>
          <w:p w14:paraId="50C10E45" w14:textId="77777777" w:rsidR="00000000" w:rsidRDefault="002F725F">
            <w:pPr>
              <w:jc w:val="both"/>
              <w:rPr>
                <w:rFonts w:eastAsia="Times New Roman"/>
                <w:sz w:val="20"/>
                <w:szCs w:val="20"/>
              </w:rPr>
            </w:pPr>
            <w:r>
              <w:rPr>
                <w:rFonts w:eastAsia="Times New Roman"/>
                <w:sz w:val="20"/>
                <w:szCs w:val="20"/>
              </w:rPr>
              <w:t>matters relating to the Equity Commitment Letter and Support Agreement and sufficiency of funding;</w:t>
            </w:r>
          </w:p>
        </w:tc>
      </w:tr>
    </w:tbl>
    <w:p w14:paraId="44BFE2CA"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F4153F2" w14:textId="77777777">
        <w:trPr>
          <w:divId w:val="415980837"/>
          <w:tblCellSpacing w:w="0" w:type="dxa"/>
        </w:trPr>
        <w:tc>
          <w:tcPr>
            <w:tcW w:w="720" w:type="dxa"/>
            <w:hideMark/>
          </w:tcPr>
          <w:p w14:paraId="106C3A0D" w14:textId="77777777" w:rsidR="00000000" w:rsidRDefault="002F725F">
            <w:pPr>
              <w:rPr>
                <w:sz w:val="20"/>
                <w:szCs w:val="20"/>
              </w:rPr>
            </w:pPr>
          </w:p>
        </w:tc>
        <w:tc>
          <w:tcPr>
            <w:tcW w:w="360" w:type="dxa"/>
            <w:hideMark/>
          </w:tcPr>
          <w:p w14:paraId="22FBAFF5" w14:textId="77777777" w:rsidR="00000000" w:rsidRDefault="002F725F">
            <w:pPr>
              <w:rPr>
                <w:rFonts w:eastAsia="Times New Roman"/>
                <w:sz w:val="20"/>
                <w:szCs w:val="20"/>
              </w:rPr>
            </w:pPr>
            <w:r>
              <w:rPr>
                <w:rFonts w:eastAsia="Times New Roman"/>
                <w:sz w:val="20"/>
                <w:szCs w:val="20"/>
              </w:rPr>
              <w:t>●</w:t>
            </w:r>
          </w:p>
        </w:tc>
        <w:tc>
          <w:tcPr>
            <w:tcW w:w="0" w:type="auto"/>
            <w:hideMark/>
          </w:tcPr>
          <w:p w14:paraId="2C9A1C6D" w14:textId="77777777" w:rsidR="00000000" w:rsidRDefault="002F725F">
            <w:pPr>
              <w:jc w:val="both"/>
              <w:rPr>
                <w:rFonts w:eastAsia="Times New Roman"/>
                <w:sz w:val="20"/>
                <w:szCs w:val="20"/>
              </w:rPr>
            </w:pPr>
            <w:r>
              <w:rPr>
                <w:rFonts w:eastAsia="Times New Roman"/>
                <w:sz w:val="20"/>
                <w:szCs w:val="20"/>
              </w:rPr>
              <w:t>the solvency of Parent and Merger Sub after giving effect to the Transactions;</w:t>
            </w:r>
          </w:p>
        </w:tc>
      </w:tr>
    </w:tbl>
    <w:p w14:paraId="783E364A"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87822F0" w14:textId="77777777">
        <w:trPr>
          <w:divId w:val="415980837"/>
          <w:tblCellSpacing w:w="0" w:type="dxa"/>
        </w:trPr>
        <w:tc>
          <w:tcPr>
            <w:tcW w:w="720" w:type="dxa"/>
            <w:hideMark/>
          </w:tcPr>
          <w:p w14:paraId="05B5AAC0" w14:textId="77777777" w:rsidR="00000000" w:rsidRDefault="002F725F">
            <w:pPr>
              <w:rPr>
                <w:sz w:val="20"/>
                <w:szCs w:val="20"/>
              </w:rPr>
            </w:pPr>
          </w:p>
        </w:tc>
        <w:tc>
          <w:tcPr>
            <w:tcW w:w="360" w:type="dxa"/>
            <w:hideMark/>
          </w:tcPr>
          <w:p w14:paraId="25643096" w14:textId="77777777" w:rsidR="00000000" w:rsidRDefault="002F725F">
            <w:pPr>
              <w:rPr>
                <w:rFonts w:eastAsia="Times New Roman"/>
                <w:sz w:val="20"/>
                <w:szCs w:val="20"/>
              </w:rPr>
            </w:pPr>
            <w:r>
              <w:rPr>
                <w:rFonts w:eastAsia="Times New Roman"/>
                <w:sz w:val="20"/>
                <w:szCs w:val="20"/>
              </w:rPr>
              <w:t>●</w:t>
            </w:r>
          </w:p>
        </w:tc>
        <w:tc>
          <w:tcPr>
            <w:tcW w:w="0" w:type="auto"/>
            <w:hideMark/>
          </w:tcPr>
          <w:p w14:paraId="0FA8C41C" w14:textId="77777777" w:rsidR="00000000" w:rsidRDefault="002F725F">
            <w:pPr>
              <w:jc w:val="both"/>
              <w:rPr>
                <w:rFonts w:eastAsia="Times New Roman"/>
                <w:sz w:val="20"/>
                <w:szCs w:val="20"/>
              </w:rPr>
            </w:pPr>
            <w:r>
              <w:rPr>
                <w:rFonts w:eastAsia="Times New Roman"/>
                <w:sz w:val="20"/>
                <w:szCs w:val="20"/>
              </w:rPr>
              <w:t>the absence of certain legal proceedings against Parent or Merger Sub; and</w:t>
            </w:r>
          </w:p>
        </w:tc>
      </w:tr>
    </w:tbl>
    <w:p w14:paraId="13E136F1"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DBE0416" w14:textId="77777777">
        <w:trPr>
          <w:divId w:val="415980837"/>
          <w:tblCellSpacing w:w="0" w:type="dxa"/>
        </w:trPr>
        <w:tc>
          <w:tcPr>
            <w:tcW w:w="720" w:type="dxa"/>
            <w:hideMark/>
          </w:tcPr>
          <w:p w14:paraId="420588A7" w14:textId="77777777" w:rsidR="00000000" w:rsidRDefault="002F725F">
            <w:pPr>
              <w:rPr>
                <w:sz w:val="20"/>
                <w:szCs w:val="20"/>
              </w:rPr>
            </w:pPr>
          </w:p>
        </w:tc>
        <w:tc>
          <w:tcPr>
            <w:tcW w:w="360" w:type="dxa"/>
            <w:hideMark/>
          </w:tcPr>
          <w:p w14:paraId="695844FC" w14:textId="77777777" w:rsidR="00000000" w:rsidRDefault="002F725F">
            <w:pPr>
              <w:rPr>
                <w:rFonts w:eastAsia="Times New Roman"/>
                <w:sz w:val="20"/>
                <w:szCs w:val="20"/>
              </w:rPr>
            </w:pPr>
            <w:r>
              <w:rPr>
                <w:rFonts w:eastAsia="Times New Roman"/>
                <w:sz w:val="20"/>
                <w:szCs w:val="20"/>
              </w:rPr>
              <w:t>●</w:t>
            </w:r>
          </w:p>
        </w:tc>
        <w:tc>
          <w:tcPr>
            <w:tcW w:w="0" w:type="auto"/>
            <w:hideMark/>
          </w:tcPr>
          <w:p w14:paraId="7A5B5AF9" w14:textId="77777777" w:rsidR="00000000" w:rsidRDefault="002F725F">
            <w:pPr>
              <w:jc w:val="both"/>
              <w:rPr>
                <w:rFonts w:eastAsia="Times New Roman"/>
                <w:sz w:val="20"/>
                <w:szCs w:val="20"/>
              </w:rPr>
            </w:pPr>
            <w:r>
              <w:rPr>
                <w:rFonts w:eastAsia="Times New Roman"/>
                <w:sz w:val="20"/>
                <w:szCs w:val="20"/>
              </w:rPr>
              <w:t xml:space="preserve">the absence of any other representations and warranties by Parent or Merger Sub to the Company, other than the representations and warranties made by Parent and Merger Sub in </w:t>
            </w:r>
            <w:r>
              <w:rPr>
                <w:rFonts w:eastAsia="Times New Roman"/>
                <w:sz w:val="20"/>
                <w:szCs w:val="20"/>
              </w:rPr>
              <w:t>the Merger Agreement.</w:t>
            </w:r>
          </w:p>
        </w:tc>
      </w:tr>
    </w:tbl>
    <w:p w14:paraId="1DAF7CC3" w14:textId="77777777" w:rsidR="00000000" w:rsidRDefault="002F725F">
      <w:pPr>
        <w:pStyle w:val="NormalWeb"/>
        <w:spacing w:before="0" w:beforeAutospacing="0" w:after="0" w:afterAutospacing="0"/>
        <w:divId w:val="415980837"/>
        <w:rPr>
          <w:sz w:val="20"/>
          <w:szCs w:val="20"/>
        </w:rPr>
      </w:pPr>
      <w:r>
        <w:rPr>
          <w:sz w:val="20"/>
          <w:szCs w:val="20"/>
        </w:rPr>
        <w:t> </w:t>
      </w:r>
    </w:p>
    <w:p w14:paraId="7052043A" w14:textId="77777777" w:rsidR="00000000" w:rsidRDefault="002F725F">
      <w:pPr>
        <w:pStyle w:val="NormalWeb"/>
        <w:spacing w:before="0" w:beforeAutospacing="0" w:after="0" w:afterAutospacing="0"/>
        <w:jc w:val="both"/>
        <w:divId w:val="415980837"/>
        <w:rPr>
          <w:sz w:val="20"/>
          <w:szCs w:val="20"/>
        </w:rPr>
      </w:pPr>
      <w:r>
        <w:rPr>
          <w:b/>
          <w:bCs/>
          <w:sz w:val="20"/>
          <w:szCs w:val="20"/>
        </w:rPr>
        <w:t>Conduct of Business Prior to Closing</w:t>
      </w:r>
    </w:p>
    <w:p w14:paraId="1579188A"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 </w:t>
      </w:r>
    </w:p>
    <w:p w14:paraId="61AF162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has agreed that, from the date of the Original Merger Agreement until the earlier of the closing of the Merger or the termination of the Merger Agreement (the “Pre-Closing Period”)</w:t>
      </w:r>
      <w:r>
        <w:rPr>
          <w:sz w:val="20"/>
          <w:szCs w:val="20"/>
        </w:rPr>
        <w:t>, except (a) as required by applicable laws, (b) with the prior written consent of Parent (which consent may not be unreasonably conditioned, withheld or delayed, and for the avoidance of doubt, such consent of Parent will be deemed given if approved by an</w:t>
      </w:r>
      <w:r>
        <w:rPr>
          <w:sz w:val="20"/>
          <w:szCs w:val="20"/>
        </w:rPr>
        <w:t>y of the Sponsor, its affiliates, or any Representative of the Sponsor or its affiliates, as applicable, solely in their respective capacity as a director or officer of the Company), or (c) as otherwise permitted or contemplated by the Merger Agreement and</w:t>
      </w:r>
      <w:r>
        <w:rPr>
          <w:sz w:val="20"/>
          <w:szCs w:val="20"/>
        </w:rPr>
        <w:t xml:space="preserve"> other transaction documents, the Company will, and will cause each of its subsidiaries to, conduct its businesses in the ordinary course of business and in a manner consistent with past practices, and use its commercially reasonable efforts to preserve su</w:t>
      </w:r>
      <w:r>
        <w:rPr>
          <w:sz w:val="20"/>
          <w:szCs w:val="20"/>
        </w:rPr>
        <w:t>bstantially intact the business organization of the Company and its subsidiaries, comply with all applicable laws, keep available the services of their present key officers and key employees, and preserve its relationships with customers, suppliers, licens</w:t>
      </w:r>
      <w:r>
        <w:rPr>
          <w:sz w:val="20"/>
          <w:szCs w:val="20"/>
        </w:rPr>
        <w:t>ors, and others with whom the Company or its subsidiaries have material business relations as of the date of the Original Merger Agreement.</w:t>
      </w:r>
    </w:p>
    <w:p w14:paraId="14F20D4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4F4CD6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During the Pre-Closing Period, except (a) as required by applicable laws, (b) with the prior written consent of Pa</w:t>
      </w:r>
      <w:r>
        <w:rPr>
          <w:sz w:val="20"/>
          <w:szCs w:val="20"/>
        </w:rPr>
        <w:t>rent (which consent may not be unreasonably conditioned, withheld or delayed, and for the avoidance of doubt, such consent of Parent will be deemed given if approved by any of the Sponsor, its affiliates, or any Representative of the Sponsor or its affilia</w:t>
      </w:r>
      <w:r>
        <w:rPr>
          <w:sz w:val="20"/>
          <w:szCs w:val="20"/>
        </w:rPr>
        <w:t>tes, as applicable, solely in their respective capacity as a director or officer of the Company), or (c) as otherwise permitted or contemplated by the Merger Agreement and other transaction documents, the Company will not, and will not permit any of its su</w:t>
      </w:r>
      <w:r>
        <w:rPr>
          <w:sz w:val="20"/>
          <w:szCs w:val="20"/>
        </w:rPr>
        <w:t>bsidiaries to:</w:t>
      </w:r>
    </w:p>
    <w:p w14:paraId="5E78325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36358BE" w14:textId="77777777">
        <w:trPr>
          <w:divId w:val="415980837"/>
          <w:tblCellSpacing w:w="0" w:type="dxa"/>
        </w:trPr>
        <w:tc>
          <w:tcPr>
            <w:tcW w:w="720" w:type="dxa"/>
            <w:hideMark/>
          </w:tcPr>
          <w:p w14:paraId="442F4815" w14:textId="77777777" w:rsidR="00000000" w:rsidRDefault="002F725F">
            <w:pPr>
              <w:rPr>
                <w:sz w:val="20"/>
                <w:szCs w:val="20"/>
              </w:rPr>
            </w:pPr>
          </w:p>
        </w:tc>
        <w:tc>
          <w:tcPr>
            <w:tcW w:w="360" w:type="dxa"/>
            <w:hideMark/>
          </w:tcPr>
          <w:p w14:paraId="64ED34BA" w14:textId="77777777" w:rsidR="00000000" w:rsidRDefault="002F725F">
            <w:pPr>
              <w:rPr>
                <w:rFonts w:eastAsia="Times New Roman"/>
                <w:sz w:val="20"/>
                <w:szCs w:val="20"/>
              </w:rPr>
            </w:pPr>
            <w:r>
              <w:rPr>
                <w:rFonts w:eastAsia="Times New Roman"/>
                <w:sz w:val="20"/>
                <w:szCs w:val="20"/>
              </w:rPr>
              <w:t>●</w:t>
            </w:r>
          </w:p>
        </w:tc>
        <w:tc>
          <w:tcPr>
            <w:tcW w:w="0" w:type="auto"/>
            <w:hideMark/>
          </w:tcPr>
          <w:p w14:paraId="7B0CC15F" w14:textId="77777777" w:rsidR="00000000" w:rsidRDefault="002F725F">
            <w:pPr>
              <w:jc w:val="both"/>
              <w:rPr>
                <w:rFonts w:eastAsia="Times New Roman"/>
                <w:sz w:val="20"/>
                <w:szCs w:val="20"/>
              </w:rPr>
            </w:pPr>
            <w:r>
              <w:rPr>
                <w:rFonts w:eastAsia="Times New Roman"/>
                <w:sz w:val="20"/>
                <w:szCs w:val="20"/>
              </w:rPr>
              <w:t>amend or otherwise change its organizational documents or governing instruments;</w:t>
            </w:r>
          </w:p>
        </w:tc>
      </w:tr>
    </w:tbl>
    <w:p w14:paraId="055034FD"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7AD9040" w14:textId="77777777">
        <w:trPr>
          <w:divId w:val="415980837"/>
          <w:tblCellSpacing w:w="0" w:type="dxa"/>
        </w:trPr>
        <w:tc>
          <w:tcPr>
            <w:tcW w:w="720" w:type="dxa"/>
            <w:hideMark/>
          </w:tcPr>
          <w:p w14:paraId="710D77B8" w14:textId="77777777" w:rsidR="00000000" w:rsidRDefault="002F725F">
            <w:pPr>
              <w:rPr>
                <w:sz w:val="20"/>
                <w:szCs w:val="20"/>
              </w:rPr>
            </w:pPr>
          </w:p>
        </w:tc>
        <w:tc>
          <w:tcPr>
            <w:tcW w:w="360" w:type="dxa"/>
            <w:hideMark/>
          </w:tcPr>
          <w:p w14:paraId="2CB6B552" w14:textId="77777777" w:rsidR="00000000" w:rsidRDefault="002F725F">
            <w:pPr>
              <w:rPr>
                <w:rFonts w:eastAsia="Times New Roman"/>
                <w:sz w:val="20"/>
                <w:szCs w:val="20"/>
              </w:rPr>
            </w:pPr>
            <w:r>
              <w:rPr>
                <w:rFonts w:eastAsia="Times New Roman"/>
                <w:sz w:val="20"/>
                <w:szCs w:val="20"/>
              </w:rPr>
              <w:t>●</w:t>
            </w:r>
          </w:p>
        </w:tc>
        <w:tc>
          <w:tcPr>
            <w:tcW w:w="0" w:type="auto"/>
            <w:hideMark/>
          </w:tcPr>
          <w:p w14:paraId="7856DEC8" w14:textId="77777777" w:rsidR="00000000" w:rsidRDefault="002F725F">
            <w:pPr>
              <w:jc w:val="both"/>
              <w:rPr>
                <w:rFonts w:eastAsia="Times New Roman"/>
                <w:sz w:val="20"/>
                <w:szCs w:val="20"/>
              </w:rPr>
            </w:pPr>
            <w:r>
              <w:rPr>
                <w:rFonts w:eastAsia="Times New Roman"/>
                <w:sz w:val="20"/>
                <w:szCs w:val="20"/>
              </w:rPr>
              <w:t>issue, sell, pledge, grant, transfer, encumber or otherwise dispose of any shares of capital stock or other equity interests of the Company or any of its subsidiaries, or securities convertible into or exchangeable or exercisable for, or options, warrants,</w:t>
            </w:r>
            <w:r>
              <w:rPr>
                <w:rFonts w:eastAsia="Times New Roman"/>
                <w:sz w:val="20"/>
                <w:szCs w:val="20"/>
              </w:rPr>
              <w:t xml:space="preserve"> calls, commitments or rights of any kind to acquire, any shares of capital stock or other equity interests of the Company or any of its subsidiaries (other than by a direct or indirect wholly-owned subsidiary of the Company to the Company or another direc</w:t>
            </w:r>
            <w:r>
              <w:rPr>
                <w:rFonts w:eastAsia="Times New Roman"/>
                <w:sz w:val="20"/>
                <w:szCs w:val="20"/>
              </w:rPr>
              <w:t>t or indirect wholly-owned subsidiary of the Company);</w:t>
            </w:r>
          </w:p>
        </w:tc>
      </w:tr>
    </w:tbl>
    <w:p w14:paraId="1883A8D1"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9649FEC" w14:textId="77777777">
        <w:trPr>
          <w:divId w:val="415980837"/>
          <w:tblCellSpacing w:w="0" w:type="dxa"/>
        </w:trPr>
        <w:tc>
          <w:tcPr>
            <w:tcW w:w="720" w:type="dxa"/>
            <w:hideMark/>
          </w:tcPr>
          <w:p w14:paraId="0DF00AEF" w14:textId="77777777" w:rsidR="00000000" w:rsidRDefault="002F725F">
            <w:pPr>
              <w:rPr>
                <w:sz w:val="20"/>
                <w:szCs w:val="20"/>
              </w:rPr>
            </w:pPr>
          </w:p>
        </w:tc>
        <w:tc>
          <w:tcPr>
            <w:tcW w:w="360" w:type="dxa"/>
            <w:hideMark/>
          </w:tcPr>
          <w:p w14:paraId="4CE01E5B" w14:textId="77777777" w:rsidR="00000000" w:rsidRDefault="002F725F">
            <w:pPr>
              <w:rPr>
                <w:rFonts w:eastAsia="Times New Roman"/>
                <w:sz w:val="20"/>
                <w:szCs w:val="20"/>
              </w:rPr>
            </w:pPr>
            <w:r>
              <w:rPr>
                <w:rFonts w:eastAsia="Times New Roman"/>
                <w:sz w:val="20"/>
                <w:szCs w:val="20"/>
              </w:rPr>
              <w:t>●</w:t>
            </w:r>
          </w:p>
        </w:tc>
        <w:tc>
          <w:tcPr>
            <w:tcW w:w="0" w:type="auto"/>
            <w:hideMark/>
          </w:tcPr>
          <w:p w14:paraId="4CF9775A" w14:textId="77777777" w:rsidR="00000000" w:rsidRDefault="002F725F">
            <w:pPr>
              <w:jc w:val="both"/>
              <w:rPr>
                <w:rFonts w:eastAsia="Times New Roman"/>
                <w:sz w:val="20"/>
                <w:szCs w:val="20"/>
              </w:rPr>
            </w:pPr>
            <w:r>
              <w:rPr>
                <w:rFonts w:eastAsia="Times New Roman"/>
                <w:sz w:val="20"/>
                <w:szCs w:val="20"/>
              </w:rPr>
              <w:t>reclassify, combine, split, subdivide or redeem, or purchase or otherwise acquire, directly or indirectly, any of its share capital, convertible securities or other rights exchangeable into or co</w:t>
            </w:r>
            <w:r>
              <w:rPr>
                <w:rFonts w:eastAsia="Times New Roman"/>
                <w:sz w:val="20"/>
                <w:szCs w:val="20"/>
              </w:rPr>
              <w:t>nvertible or exercisable for any of its shares, or any other equity or equity-linked securities (other than the purchase of Shares to satisfy obligations under a Share Incentive Plan, including the withholding of Shares in connection with the exercise of C</w:t>
            </w:r>
            <w:r>
              <w:rPr>
                <w:rFonts w:eastAsia="Times New Roman"/>
                <w:sz w:val="20"/>
                <w:szCs w:val="20"/>
              </w:rPr>
              <w:t>ompany Options or Company RSUs in accordance with their respective terms and conditions);</w:t>
            </w:r>
          </w:p>
        </w:tc>
      </w:tr>
    </w:tbl>
    <w:p w14:paraId="4457ED9C"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B277AE0" w14:textId="77777777">
        <w:trPr>
          <w:divId w:val="415980837"/>
          <w:tblCellSpacing w:w="0" w:type="dxa"/>
        </w:trPr>
        <w:tc>
          <w:tcPr>
            <w:tcW w:w="720" w:type="dxa"/>
            <w:hideMark/>
          </w:tcPr>
          <w:p w14:paraId="7C436172" w14:textId="77777777" w:rsidR="00000000" w:rsidRDefault="002F725F">
            <w:pPr>
              <w:rPr>
                <w:sz w:val="20"/>
                <w:szCs w:val="20"/>
              </w:rPr>
            </w:pPr>
          </w:p>
        </w:tc>
        <w:tc>
          <w:tcPr>
            <w:tcW w:w="360" w:type="dxa"/>
            <w:hideMark/>
          </w:tcPr>
          <w:p w14:paraId="3FFE4235" w14:textId="77777777" w:rsidR="00000000" w:rsidRDefault="002F725F">
            <w:pPr>
              <w:rPr>
                <w:rFonts w:eastAsia="Times New Roman"/>
                <w:sz w:val="20"/>
                <w:szCs w:val="20"/>
              </w:rPr>
            </w:pPr>
            <w:r>
              <w:rPr>
                <w:rFonts w:eastAsia="Times New Roman"/>
                <w:sz w:val="20"/>
                <w:szCs w:val="20"/>
              </w:rPr>
              <w:t>●</w:t>
            </w:r>
          </w:p>
        </w:tc>
        <w:tc>
          <w:tcPr>
            <w:tcW w:w="0" w:type="auto"/>
            <w:hideMark/>
          </w:tcPr>
          <w:p w14:paraId="183EC565" w14:textId="77777777" w:rsidR="00000000" w:rsidRDefault="002F725F">
            <w:pPr>
              <w:jc w:val="both"/>
              <w:rPr>
                <w:rFonts w:eastAsia="Times New Roman"/>
                <w:sz w:val="20"/>
                <w:szCs w:val="20"/>
              </w:rPr>
            </w:pPr>
            <w:r>
              <w:rPr>
                <w:rFonts w:eastAsia="Times New Roman"/>
                <w:sz w:val="20"/>
                <w:szCs w:val="20"/>
              </w:rPr>
              <w:t>declare, set aside or pay any dividend or other distribution payable in cash, stock or property (or any combination thereof) with respect to its capital stock o</w:t>
            </w:r>
            <w:r>
              <w:rPr>
                <w:rFonts w:eastAsia="Times New Roman"/>
                <w:sz w:val="20"/>
                <w:szCs w:val="20"/>
              </w:rPr>
              <w:t>r other equity interests (except dividends or other distributions paid by any direct or indirect wholly-owned subsidiary of the Company to the Company or to any other direct or indirect wholly-owned subsidiary of the Company);</w:t>
            </w:r>
          </w:p>
        </w:tc>
      </w:tr>
    </w:tbl>
    <w:p w14:paraId="74A1AC47"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BE5A813" w14:textId="77777777">
        <w:trPr>
          <w:divId w:val="415980837"/>
          <w:tblCellSpacing w:w="0" w:type="dxa"/>
        </w:trPr>
        <w:tc>
          <w:tcPr>
            <w:tcW w:w="720" w:type="dxa"/>
            <w:hideMark/>
          </w:tcPr>
          <w:p w14:paraId="795B15E0" w14:textId="77777777" w:rsidR="00000000" w:rsidRDefault="002F725F">
            <w:pPr>
              <w:rPr>
                <w:sz w:val="20"/>
                <w:szCs w:val="20"/>
              </w:rPr>
            </w:pPr>
          </w:p>
        </w:tc>
        <w:tc>
          <w:tcPr>
            <w:tcW w:w="360" w:type="dxa"/>
            <w:hideMark/>
          </w:tcPr>
          <w:p w14:paraId="36633CC5" w14:textId="77777777" w:rsidR="00000000" w:rsidRDefault="002F725F">
            <w:pPr>
              <w:rPr>
                <w:rFonts w:eastAsia="Times New Roman"/>
                <w:sz w:val="20"/>
                <w:szCs w:val="20"/>
              </w:rPr>
            </w:pPr>
            <w:r>
              <w:rPr>
                <w:rFonts w:eastAsia="Times New Roman"/>
                <w:sz w:val="20"/>
                <w:szCs w:val="20"/>
              </w:rPr>
              <w:t>●</w:t>
            </w:r>
          </w:p>
        </w:tc>
        <w:tc>
          <w:tcPr>
            <w:tcW w:w="0" w:type="auto"/>
            <w:hideMark/>
          </w:tcPr>
          <w:p w14:paraId="181F17ED" w14:textId="77777777" w:rsidR="00000000" w:rsidRDefault="002F725F">
            <w:pPr>
              <w:jc w:val="both"/>
              <w:rPr>
                <w:rFonts w:eastAsia="Times New Roman"/>
                <w:sz w:val="20"/>
                <w:szCs w:val="20"/>
              </w:rPr>
            </w:pPr>
            <w:r>
              <w:rPr>
                <w:rFonts w:eastAsia="Times New Roman"/>
                <w:sz w:val="20"/>
                <w:szCs w:val="20"/>
              </w:rPr>
              <w:t>adopt a plan of complet</w:t>
            </w:r>
            <w:r>
              <w:rPr>
                <w:rFonts w:eastAsia="Times New Roman"/>
                <w:sz w:val="20"/>
                <w:szCs w:val="20"/>
              </w:rPr>
              <w:t>e or partial liquidation, dissolution, restructuring, recapitalization, merger (other than the Merger), consolidation or other reorganization (other than reorganizations involving only wholly-owned subsidiaries of the Company which would not result in a ma</w:t>
            </w:r>
            <w:r>
              <w:rPr>
                <w:rFonts w:eastAsia="Times New Roman"/>
                <w:sz w:val="20"/>
                <w:szCs w:val="20"/>
              </w:rPr>
              <w:t>terial increase in the tax liability of any of the Company or its subsidiaries);</w:t>
            </w:r>
          </w:p>
        </w:tc>
      </w:tr>
    </w:tbl>
    <w:p w14:paraId="346DDDF5" w14:textId="77777777" w:rsidR="00000000" w:rsidRDefault="002F725F">
      <w:pPr>
        <w:pStyle w:val="NormalWeb"/>
        <w:spacing w:before="0" w:beforeAutospacing="0" w:after="0" w:afterAutospacing="0"/>
        <w:divId w:val="415980837"/>
        <w:rPr>
          <w:sz w:val="20"/>
          <w:szCs w:val="20"/>
        </w:rPr>
      </w:pPr>
      <w:r>
        <w:rPr>
          <w:sz w:val="20"/>
          <w:szCs w:val="20"/>
        </w:rPr>
        <w:t> </w:t>
      </w:r>
    </w:p>
    <w:p w14:paraId="75E8DFFC" w14:textId="77777777" w:rsidR="00000000" w:rsidRDefault="002F725F">
      <w:pPr>
        <w:pStyle w:val="NormalWeb"/>
        <w:spacing w:before="0" w:beforeAutospacing="0" w:after="0" w:afterAutospacing="0"/>
        <w:jc w:val="center"/>
        <w:divId w:val="2084137176"/>
        <w:rPr>
          <w:sz w:val="20"/>
          <w:szCs w:val="20"/>
        </w:rPr>
      </w:pPr>
      <w:r>
        <w:rPr>
          <w:sz w:val="20"/>
          <w:szCs w:val="20"/>
        </w:rPr>
        <w:t>8</w:t>
      </w:r>
      <w:r>
        <w:rPr>
          <w:sz w:val="20"/>
          <w:szCs w:val="20"/>
        </w:rPr>
        <w:t>7</w:t>
      </w:r>
    </w:p>
    <w:p w14:paraId="01E5BA8A" w14:textId="77777777" w:rsidR="00000000" w:rsidRDefault="002F725F">
      <w:pPr>
        <w:pStyle w:val="NormalWeb"/>
        <w:spacing w:before="0" w:beforeAutospacing="0" w:after="0" w:afterAutospacing="0"/>
        <w:divId w:val="1517306147"/>
        <w:rPr>
          <w:sz w:val="20"/>
          <w:szCs w:val="20"/>
        </w:rPr>
      </w:pPr>
      <w:r>
        <w:rPr>
          <w:sz w:val="20"/>
          <w:szCs w:val="20"/>
        </w:rPr>
        <w:t> </w:t>
      </w:r>
    </w:p>
    <w:p w14:paraId="6531FA8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8DE5770" w14:textId="77777777">
        <w:trPr>
          <w:divId w:val="415980837"/>
          <w:tblCellSpacing w:w="0" w:type="dxa"/>
        </w:trPr>
        <w:tc>
          <w:tcPr>
            <w:tcW w:w="720" w:type="dxa"/>
            <w:hideMark/>
          </w:tcPr>
          <w:p w14:paraId="4963ED73" w14:textId="77777777" w:rsidR="00000000" w:rsidRDefault="002F725F">
            <w:pPr>
              <w:rPr>
                <w:sz w:val="20"/>
                <w:szCs w:val="20"/>
              </w:rPr>
            </w:pPr>
          </w:p>
        </w:tc>
        <w:tc>
          <w:tcPr>
            <w:tcW w:w="360" w:type="dxa"/>
            <w:hideMark/>
          </w:tcPr>
          <w:p w14:paraId="1999234E" w14:textId="77777777" w:rsidR="00000000" w:rsidRDefault="002F725F">
            <w:pPr>
              <w:rPr>
                <w:rFonts w:eastAsia="Times New Roman"/>
                <w:sz w:val="20"/>
                <w:szCs w:val="20"/>
              </w:rPr>
            </w:pPr>
            <w:r>
              <w:rPr>
                <w:rFonts w:eastAsia="Times New Roman"/>
                <w:sz w:val="20"/>
                <w:szCs w:val="20"/>
              </w:rPr>
              <w:t>●</w:t>
            </w:r>
          </w:p>
        </w:tc>
        <w:tc>
          <w:tcPr>
            <w:tcW w:w="0" w:type="auto"/>
            <w:hideMark/>
          </w:tcPr>
          <w:p w14:paraId="22EC289A" w14:textId="77777777" w:rsidR="00000000" w:rsidRDefault="002F725F">
            <w:pPr>
              <w:jc w:val="both"/>
              <w:rPr>
                <w:rFonts w:eastAsia="Times New Roman"/>
                <w:sz w:val="20"/>
                <w:szCs w:val="20"/>
              </w:rPr>
            </w:pPr>
            <w:r>
              <w:rPr>
                <w:rFonts w:eastAsia="Times New Roman"/>
                <w:sz w:val="20"/>
                <w:szCs w:val="20"/>
              </w:rPr>
              <w:t>acquire, sell, lease, license or subject to any lien or otherwise dispose of any assets, securities or properties, in aggregate, with a value or purchase price in excess of US$5,000,000 in any single transaction or related series of transactions, subject t</w:t>
            </w:r>
            <w:r>
              <w:rPr>
                <w:rFonts w:eastAsia="Times New Roman"/>
                <w:sz w:val="20"/>
                <w:szCs w:val="20"/>
              </w:rPr>
              <w:t>o certain exceptions;</w:t>
            </w:r>
          </w:p>
        </w:tc>
      </w:tr>
    </w:tbl>
    <w:p w14:paraId="64CD4611" w14:textId="77777777" w:rsidR="00000000" w:rsidRDefault="002F725F">
      <w:pPr>
        <w:pStyle w:val="NormalWeb"/>
        <w:spacing w:before="0" w:beforeAutospacing="0" w:after="0" w:afterAutospacing="0"/>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FA4C2FB" w14:textId="77777777">
        <w:trPr>
          <w:divId w:val="415980837"/>
          <w:tblCellSpacing w:w="0" w:type="dxa"/>
        </w:trPr>
        <w:tc>
          <w:tcPr>
            <w:tcW w:w="720" w:type="dxa"/>
            <w:hideMark/>
          </w:tcPr>
          <w:p w14:paraId="3205E6F9" w14:textId="77777777" w:rsidR="00000000" w:rsidRDefault="002F725F">
            <w:pPr>
              <w:rPr>
                <w:sz w:val="20"/>
                <w:szCs w:val="20"/>
              </w:rPr>
            </w:pPr>
          </w:p>
        </w:tc>
        <w:tc>
          <w:tcPr>
            <w:tcW w:w="360" w:type="dxa"/>
            <w:hideMark/>
          </w:tcPr>
          <w:p w14:paraId="277AAE68" w14:textId="77777777" w:rsidR="00000000" w:rsidRDefault="002F725F">
            <w:pPr>
              <w:rPr>
                <w:rFonts w:eastAsia="Times New Roman"/>
                <w:sz w:val="20"/>
                <w:szCs w:val="20"/>
              </w:rPr>
            </w:pPr>
            <w:r>
              <w:rPr>
                <w:rFonts w:eastAsia="Times New Roman"/>
                <w:sz w:val="20"/>
                <w:szCs w:val="20"/>
              </w:rPr>
              <w:t>●</w:t>
            </w:r>
          </w:p>
        </w:tc>
        <w:tc>
          <w:tcPr>
            <w:tcW w:w="0" w:type="auto"/>
            <w:hideMark/>
          </w:tcPr>
          <w:p w14:paraId="28819E5B" w14:textId="77777777" w:rsidR="00000000" w:rsidRDefault="002F725F">
            <w:pPr>
              <w:jc w:val="both"/>
              <w:rPr>
                <w:rFonts w:eastAsia="Times New Roman"/>
                <w:sz w:val="20"/>
                <w:szCs w:val="20"/>
              </w:rPr>
            </w:pPr>
            <w:r>
              <w:rPr>
                <w:rFonts w:eastAsia="Times New Roman"/>
                <w:sz w:val="20"/>
                <w:szCs w:val="20"/>
              </w:rPr>
              <w:t>incur, issue or assume any indebtedness or guarantee or otherwise become liable for any indebtedness (including increasing the indebtedness under contracts in existence as of the date of the Original Merger Agreement) that is no</w:t>
            </w:r>
            <w:r>
              <w:rPr>
                <w:rFonts w:eastAsia="Times New Roman"/>
                <w:sz w:val="20"/>
                <w:szCs w:val="20"/>
              </w:rPr>
              <w:t>t budgeted in the Company’s current or any future plan approved by the Board as of the date of the Original Merger Agreement and is in excess of US$1,000,000 in a single transaction or series of related transactions, subject to certain exceptions;</w:t>
            </w:r>
          </w:p>
        </w:tc>
      </w:tr>
    </w:tbl>
    <w:p w14:paraId="3ED8DA52"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3CB95CB" w14:textId="77777777">
        <w:trPr>
          <w:divId w:val="415980837"/>
          <w:tblCellSpacing w:w="0" w:type="dxa"/>
        </w:trPr>
        <w:tc>
          <w:tcPr>
            <w:tcW w:w="720" w:type="dxa"/>
            <w:hideMark/>
          </w:tcPr>
          <w:p w14:paraId="203C4C0A" w14:textId="77777777" w:rsidR="00000000" w:rsidRDefault="002F725F">
            <w:pPr>
              <w:rPr>
                <w:sz w:val="20"/>
                <w:szCs w:val="20"/>
              </w:rPr>
            </w:pPr>
          </w:p>
        </w:tc>
        <w:tc>
          <w:tcPr>
            <w:tcW w:w="360" w:type="dxa"/>
            <w:hideMark/>
          </w:tcPr>
          <w:p w14:paraId="443DE3B7" w14:textId="77777777" w:rsidR="00000000" w:rsidRDefault="002F725F">
            <w:pPr>
              <w:rPr>
                <w:rFonts w:eastAsia="Times New Roman"/>
                <w:sz w:val="20"/>
                <w:szCs w:val="20"/>
              </w:rPr>
            </w:pPr>
            <w:r>
              <w:rPr>
                <w:rFonts w:eastAsia="Times New Roman"/>
                <w:sz w:val="20"/>
                <w:szCs w:val="20"/>
              </w:rPr>
              <w:t>●</w:t>
            </w:r>
          </w:p>
        </w:tc>
        <w:tc>
          <w:tcPr>
            <w:tcW w:w="0" w:type="auto"/>
            <w:hideMark/>
          </w:tcPr>
          <w:p w14:paraId="1555B348" w14:textId="77777777" w:rsidR="00000000" w:rsidRDefault="002F725F">
            <w:pPr>
              <w:jc w:val="both"/>
              <w:rPr>
                <w:rFonts w:eastAsia="Times New Roman"/>
                <w:sz w:val="20"/>
                <w:szCs w:val="20"/>
              </w:rPr>
            </w:pPr>
            <w:r>
              <w:rPr>
                <w:rFonts w:eastAsia="Times New Roman"/>
                <w:sz w:val="20"/>
                <w:szCs w:val="20"/>
              </w:rPr>
              <w:t>in</w:t>
            </w:r>
            <w:r>
              <w:rPr>
                <w:rFonts w:eastAsia="Times New Roman"/>
                <w:sz w:val="20"/>
                <w:szCs w:val="20"/>
              </w:rPr>
              <w:t>cur or commit to incur any single capital expenditure in excess of US$1,000,000, or capital expenditures in the aggregate in excess of US$1,000,000 for the Company and its subsidiaries taken as a whole, in each case not budgeted in the Company’s current or</w:t>
            </w:r>
            <w:r>
              <w:rPr>
                <w:rFonts w:eastAsia="Times New Roman"/>
                <w:sz w:val="20"/>
                <w:szCs w:val="20"/>
              </w:rPr>
              <w:t xml:space="preserve"> any future plan approved by the Board as of the date of the Original Merger Agreement;</w:t>
            </w:r>
          </w:p>
        </w:tc>
      </w:tr>
    </w:tbl>
    <w:p w14:paraId="043E4EE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1C2908F" w14:textId="77777777">
        <w:trPr>
          <w:divId w:val="415980837"/>
          <w:tblCellSpacing w:w="0" w:type="dxa"/>
        </w:trPr>
        <w:tc>
          <w:tcPr>
            <w:tcW w:w="720" w:type="dxa"/>
            <w:hideMark/>
          </w:tcPr>
          <w:p w14:paraId="65660307" w14:textId="77777777" w:rsidR="00000000" w:rsidRDefault="002F725F">
            <w:pPr>
              <w:rPr>
                <w:sz w:val="20"/>
                <w:szCs w:val="20"/>
              </w:rPr>
            </w:pPr>
          </w:p>
        </w:tc>
        <w:tc>
          <w:tcPr>
            <w:tcW w:w="360" w:type="dxa"/>
            <w:hideMark/>
          </w:tcPr>
          <w:p w14:paraId="158F2133" w14:textId="77777777" w:rsidR="00000000" w:rsidRDefault="002F725F">
            <w:pPr>
              <w:rPr>
                <w:rFonts w:eastAsia="Times New Roman"/>
                <w:sz w:val="20"/>
                <w:szCs w:val="20"/>
              </w:rPr>
            </w:pPr>
            <w:r>
              <w:rPr>
                <w:rFonts w:eastAsia="Times New Roman"/>
                <w:sz w:val="20"/>
                <w:szCs w:val="20"/>
              </w:rPr>
              <w:t>●</w:t>
            </w:r>
          </w:p>
        </w:tc>
        <w:tc>
          <w:tcPr>
            <w:tcW w:w="0" w:type="auto"/>
            <w:hideMark/>
          </w:tcPr>
          <w:p w14:paraId="2EF96C75" w14:textId="77777777" w:rsidR="00000000" w:rsidRDefault="002F725F">
            <w:pPr>
              <w:jc w:val="both"/>
              <w:rPr>
                <w:rFonts w:eastAsia="Times New Roman"/>
                <w:sz w:val="20"/>
                <w:szCs w:val="20"/>
              </w:rPr>
            </w:pPr>
            <w:r>
              <w:rPr>
                <w:rFonts w:eastAsia="Times New Roman"/>
                <w:sz w:val="20"/>
                <w:szCs w:val="20"/>
              </w:rPr>
              <w:t xml:space="preserve">(A) make any material change in any method of tax accounting or make or change any material tax election; (B) file any material amended tax return, settle or compromise any material tax liability except as required by applicable law; or (C) enter into any </w:t>
            </w:r>
            <w:r>
              <w:rPr>
                <w:rFonts w:eastAsia="Times New Roman"/>
                <w:sz w:val="20"/>
                <w:szCs w:val="20"/>
              </w:rPr>
              <w:t>material closing agreement with respect to any material tax or surrender any right to claim a material tax refund;</w:t>
            </w:r>
          </w:p>
        </w:tc>
      </w:tr>
    </w:tbl>
    <w:p w14:paraId="10307F71"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92115B0" w14:textId="77777777">
        <w:trPr>
          <w:divId w:val="415980837"/>
          <w:tblCellSpacing w:w="0" w:type="dxa"/>
        </w:trPr>
        <w:tc>
          <w:tcPr>
            <w:tcW w:w="720" w:type="dxa"/>
            <w:hideMark/>
          </w:tcPr>
          <w:p w14:paraId="2F95BC16" w14:textId="77777777" w:rsidR="00000000" w:rsidRDefault="002F725F">
            <w:pPr>
              <w:rPr>
                <w:sz w:val="20"/>
                <w:szCs w:val="20"/>
              </w:rPr>
            </w:pPr>
          </w:p>
        </w:tc>
        <w:tc>
          <w:tcPr>
            <w:tcW w:w="360" w:type="dxa"/>
            <w:hideMark/>
          </w:tcPr>
          <w:p w14:paraId="1E5D6E03" w14:textId="77777777" w:rsidR="00000000" w:rsidRDefault="002F725F">
            <w:pPr>
              <w:rPr>
                <w:rFonts w:eastAsia="Times New Roman"/>
                <w:sz w:val="20"/>
                <w:szCs w:val="20"/>
              </w:rPr>
            </w:pPr>
            <w:r>
              <w:rPr>
                <w:rFonts w:eastAsia="Times New Roman"/>
                <w:sz w:val="20"/>
                <w:szCs w:val="20"/>
              </w:rPr>
              <w:t>●</w:t>
            </w:r>
          </w:p>
        </w:tc>
        <w:tc>
          <w:tcPr>
            <w:tcW w:w="0" w:type="auto"/>
            <w:hideMark/>
          </w:tcPr>
          <w:p w14:paraId="015230A7" w14:textId="77777777" w:rsidR="00000000" w:rsidRDefault="002F725F">
            <w:pPr>
              <w:jc w:val="both"/>
              <w:rPr>
                <w:rFonts w:eastAsia="Times New Roman"/>
                <w:sz w:val="20"/>
                <w:szCs w:val="20"/>
              </w:rPr>
            </w:pPr>
            <w:r>
              <w:rPr>
                <w:rFonts w:eastAsia="Times New Roman"/>
                <w:sz w:val="20"/>
                <w:szCs w:val="20"/>
              </w:rPr>
              <w:t>enter into, amend, modify, consent to the termination of, or waive any material rights under, any material contract (or any contract th</w:t>
            </w:r>
            <w:r>
              <w:rPr>
                <w:rFonts w:eastAsia="Times New Roman"/>
                <w:sz w:val="20"/>
                <w:szCs w:val="20"/>
              </w:rPr>
              <w:t>at would be a material contract if such contract had been entered into prior to the date of the Original Merger Agreement) that calls for annual aggregate payments by the Company and its subsidiaries of US$5,000,000 or more which cannot be terminated witho</w:t>
            </w:r>
            <w:r>
              <w:rPr>
                <w:rFonts w:eastAsia="Times New Roman"/>
                <w:sz w:val="20"/>
                <w:szCs w:val="20"/>
              </w:rPr>
              <w:t>ut material surviving obligations or material penalty upon notice of 90 days or less;</w:t>
            </w:r>
          </w:p>
        </w:tc>
      </w:tr>
    </w:tbl>
    <w:p w14:paraId="1549E26C"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9B7BAD3" w14:textId="77777777">
        <w:trPr>
          <w:divId w:val="415980837"/>
          <w:tblCellSpacing w:w="0" w:type="dxa"/>
        </w:trPr>
        <w:tc>
          <w:tcPr>
            <w:tcW w:w="720" w:type="dxa"/>
            <w:hideMark/>
          </w:tcPr>
          <w:p w14:paraId="4E80143D" w14:textId="77777777" w:rsidR="00000000" w:rsidRDefault="002F725F">
            <w:pPr>
              <w:rPr>
                <w:sz w:val="20"/>
                <w:szCs w:val="20"/>
              </w:rPr>
            </w:pPr>
          </w:p>
        </w:tc>
        <w:tc>
          <w:tcPr>
            <w:tcW w:w="360" w:type="dxa"/>
            <w:hideMark/>
          </w:tcPr>
          <w:p w14:paraId="22953B2F" w14:textId="77777777" w:rsidR="00000000" w:rsidRDefault="002F725F">
            <w:pPr>
              <w:rPr>
                <w:rFonts w:eastAsia="Times New Roman"/>
                <w:sz w:val="20"/>
                <w:szCs w:val="20"/>
              </w:rPr>
            </w:pPr>
            <w:r>
              <w:rPr>
                <w:rFonts w:eastAsia="Times New Roman"/>
                <w:sz w:val="20"/>
                <w:szCs w:val="20"/>
              </w:rPr>
              <w:t>●</w:t>
            </w:r>
          </w:p>
        </w:tc>
        <w:tc>
          <w:tcPr>
            <w:tcW w:w="0" w:type="auto"/>
            <w:hideMark/>
          </w:tcPr>
          <w:p w14:paraId="520C3771" w14:textId="77777777" w:rsidR="00000000" w:rsidRDefault="002F725F">
            <w:pPr>
              <w:jc w:val="both"/>
              <w:rPr>
                <w:rFonts w:eastAsia="Times New Roman"/>
                <w:sz w:val="20"/>
                <w:szCs w:val="20"/>
              </w:rPr>
            </w:pPr>
            <w:r>
              <w:rPr>
                <w:rFonts w:eastAsia="Times New Roman"/>
                <w:sz w:val="20"/>
                <w:szCs w:val="20"/>
              </w:rPr>
              <w:t>effect or become a party to any merger, consolidation, plan of arrangement, share exchange, business combination, amalgamation, recapitalization, reclassification o</w:t>
            </w:r>
            <w:r>
              <w:rPr>
                <w:rFonts w:eastAsia="Times New Roman"/>
                <w:sz w:val="20"/>
                <w:szCs w:val="20"/>
              </w:rPr>
              <w:t>f shares, stock split, reverse stock split, issuance of bonus shares, division or subdivision of shares, consolidation of shares or similar transaction;</w:t>
            </w:r>
          </w:p>
        </w:tc>
      </w:tr>
    </w:tbl>
    <w:p w14:paraId="58870326"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0FA1F68" w14:textId="77777777">
        <w:trPr>
          <w:divId w:val="415980837"/>
          <w:tblCellSpacing w:w="0" w:type="dxa"/>
        </w:trPr>
        <w:tc>
          <w:tcPr>
            <w:tcW w:w="720" w:type="dxa"/>
            <w:hideMark/>
          </w:tcPr>
          <w:p w14:paraId="4E90A21E" w14:textId="77777777" w:rsidR="00000000" w:rsidRDefault="002F725F">
            <w:pPr>
              <w:rPr>
                <w:sz w:val="20"/>
                <w:szCs w:val="20"/>
              </w:rPr>
            </w:pPr>
          </w:p>
        </w:tc>
        <w:tc>
          <w:tcPr>
            <w:tcW w:w="360" w:type="dxa"/>
            <w:hideMark/>
          </w:tcPr>
          <w:p w14:paraId="1DA84685" w14:textId="77777777" w:rsidR="00000000" w:rsidRDefault="002F725F">
            <w:pPr>
              <w:rPr>
                <w:rFonts w:eastAsia="Times New Roman"/>
                <w:sz w:val="20"/>
                <w:szCs w:val="20"/>
              </w:rPr>
            </w:pPr>
            <w:r>
              <w:rPr>
                <w:rFonts w:eastAsia="Times New Roman"/>
                <w:sz w:val="20"/>
                <w:szCs w:val="20"/>
              </w:rPr>
              <w:t>●</w:t>
            </w:r>
          </w:p>
        </w:tc>
        <w:tc>
          <w:tcPr>
            <w:tcW w:w="0" w:type="auto"/>
            <w:hideMark/>
          </w:tcPr>
          <w:p w14:paraId="5BA62C30" w14:textId="77777777" w:rsidR="00000000" w:rsidRDefault="002F725F">
            <w:pPr>
              <w:jc w:val="both"/>
              <w:rPr>
                <w:rFonts w:eastAsia="Times New Roman"/>
                <w:sz w:val="20"/>
                <w:szCs w:val="20"/>
              </w:rPr>
            </w:pPr>
            <w:r>
              <w:rPr>
                <w:rFonts w:eastAsia="Times New Roman"/>
                <w:sz w:val="20"/>
                <w:szCs w:val="20"/>
              </w:rPr>
              <w:t>settle any legal proceeding before a governmental entity involving the payment of monetary damage</w:t>
            </w:r>
            <w:r>
              <w:rPr>
                <w:rFonts w:eastAsia="Times New Roman"/>
                <w:sz w:val="20"/>
                <w:szCs w:val="20"/>
              </w:rPr>
              <w:t>s in excess of US$1,000,000, subject to certain exceptions;</w:t>
            </w:r>
          </w:p>
        </w:tc>
      </w:tr>
    </w:tbl>
    <w:p w14:paraId="669396D2"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C0EFDAF" w14:textId="77777777">
        <w:trPr>
          <w:divId w:val="415980837"/>
          <w:tblCellSpacing w:w="0" w:type="dxa"/>
        </w:trPr>
        <w:tc>
          <w:tcPr>
            <w:tcW w:w="720" w:type="dxa"/>
            <w:hideMark/>
          </w:tcPr>
          <w:p w14:paraId="470DDF6A" w14:textId="77777777" w:rsidR="00000000" w:rsidRDefault="002F725F">
            <w:pPr>
              <w:rPr>
                <w:sz w:val="20"/>
                <w:szCs w:val="20"/>
              </w:rPr>
            </w:pPr>
          </w:p>
        </w:tc>
        <w:tc>
          <w:tcPr>
            <w:tcW w:w="360" w:type="dxa"/>
            <w:hideMark/>
          </w:tcPr>
          <w:p w14:paraId="7A40B946" w14:textId="77777777" w:rsidR="00000000" w:rsidRDefault="002F725F">
            <w:pPr>
              <w:rPr>
                <w:rFonts w:eastAsia="Times New Roman"/>
                <w:sz w:val="20"/>
                <w:szCs w:val="20"/>
              </w:rPr>
            </w:pPr>
            <w:r>
              <w:rPr>
                <w:rFonts w:eastAsia="Times New Roman"/>
                <w:sz w:val="20"/>
                <w:szCs w:val="20"/>
              </w:rPr>
              <w:t>●</w:t>
            </w:r>
          </w:p>
        </w:tc>
        <w:tc>
          <w:tcPr>
            <w:tcW w:w="0" w:type="auto"/>
            <w:hideMark/>
          </w:tcPr>
          <w:p w14:paraId="2010B57B" w14:textId="77777777" w:rsidR="00000000" w:rsidRDefault="002F725F">
            <w:pPr>
              <w:jc w:val="both"/>
              <w:rPr>
                <w:rFonts w:eastAsia="Times New Roman"/>
                <w:sz w:val="20"/>
                <w:szCs w:val="20"/>
              </w:rPr>
            </w:pPr>
            <w:r>
              <w:rPr>
                <w:rFonts w:eastAsia="Times New Roman"/>
                <w:sz w:val="20"/>
                <w:szCs w:val="20"/>
              </w:rPr>
              <w:t>permit any material intellectual property owned by the Company or any its subsidiary to lapse or to be abandoned, dedicated or disclaimed, fail to perform or make any applicable filings, rec</w:t>
            </w:r>
            <w:r>
              <w:rPr>
                <w:rFonts w:eastAsia="Times New Roman"/>
                <w:sz w:val="20"/>
                <w:szCs w:val="20"/>
              </w:rPr>
              <w:t>ordings or other similar actions or filings, fail to pay all fees and taxes required to maintain and protect its interest in each and every item of material intellectual property owned by the Company or any its subsidiary, or grant or license or transfer t</w:t>
            </w:r>
            <w:r>
              <w:rPr>
                <w:rFonts w:eastAsia="Times New Roman"/>
                <w:sz w:val="20"/>
                <w:szCs w:val="20"/>
              </w:rPr>
              <w:t>o any third party any such material intellectual property;</w:t>
            </w:r>
          </w:p>
        </w:tc>
      </w:tr>
    </w:tbl>
    <w:p w14:paraId="2626FFC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23CE2D7" w14:textId="77777777">
        <w:trPr>
          <w:divId w:val="415980837"/>
          <w:tblCellSpacing w:w="0" w:type="dxa"/>
        </w:trPr>
        <w:tc>
          <w:tcPr>
            <w:tcW w:w="720" w:type="dxa"/>
            <w:hideMark/>
          </w:tcPr>
          <w:p w14:paraId="412F9A5C" w14:textId="77777777" w:rsidR="00000000" w:rsidRDefault="002F725F">
            <w:pPr>
              <w:rPr>
                <w:sz w:val="20"/>
                <w:szCs w:val="20"/>
              </w:rPr>
            </w:pPr>
          </w:p>
        </w:tc>
        <w:tc>
          <w:tcPr>
            <w:tcW w:w="360" w:type="dxa"/>
            <w:hideMark/>
          </w:tcPr>
          <w:p w14:paraId="5A419B2E" w14:textId="77777777" w:rsidR="00000000" w:rsidRDefault="002F725F">
            <w:pPr>
              <w:rPr>
                <w:rFonts w:eastAsia="Times New Roman"/>
                <w:sz w:val="20"/>
                <w:szCs w:val="20"/>
              </w:rPr>
            </w:pPr>
            <w:r>
              <w:rPr>
                <w:rFonts w:eastAsia="Times New Roman"/>
                <w:sz w:val="20"/>
                <w:szCs w:val="20"/>
              </w:rPr>
              <w:t>●</w:t>
            </w:r>
          </w:p>
        </w:tc>
        <w:tc>
          <w:tcPr>
            <w:tcW w:w="0" w:type="auto"/>
            <w:hideMark/>
          </w:tcPr>
          <w:p w14:paraId="21EB12CC" w14:textId="77777777" w:rsidR="00000000" w:rsidRDefault="002F725F">
            <w:pPr>
              <w:jc w:val="both"/>
              <w:rPr>
                <w:rFonts w:eastAsia="Times New Roman"/>
                <w:sz w:val="20"/>
                <w:szCs w:val="20"/>
              </w:rPr>
            </w:pPr>
            <w:r>
              <w:rPr>
                <w:rFonts w:eastAsia="Times New Roman"/>
                <w:sz w:val="20"/>
                <w:szCs w:val="20"/>
              </w:rPr>
              <w:t>fail to use reasonable best efforts to make in a timely manner the required filings or registrations with the SEC under the Securities Act of 1933 or the Exchange Act; and</w:t>
            </w:r>
          </w:p>
        </w:tc>
      </w:tr>
    </w:tbl>
    <w:p w14:paraId="04D73DEE"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4B775D5" w14:textId="77777777">
        <w:trPr>
          <w:divId w:val="415980837"/>
          <w:tblCellSpacing w:w="0" w:type="dxa"/>
        </w:trPr>
        <w:tc>
          <w:tcPr>
            <w:tcW w:w="720" w:type="dxa"/>
            <w:hideMark/>
          </w:tcPr>
          <w:p w14:paraId="506F958C" w14:textId="77777777" w:rsidR="00000000" w:rsidRDefault="002F725F">
            <w:pPr>
              <w:rPr>
                <w:sz w:val="20"/>
                <w:szCs w:val="20"/>
              </w:rPr>
            </w:pPr>
          </w:p>
        </w:tc>
        <w:tc>
          <w:tcPr>
            <w:tcW w:w="360" w:type="dxa"/>
            <w:hideMark/>
          </w:tcPr>
          <w:p w14:paraId="63C8FDA4" w14:textId="77777777" w:rsidR="00000000" w:rsidRDefault="002F725F">
            <w:pPr>
              <w:rPr>
                <w:rFonts w:eastAsia="Times New Roman"/>
                <w:sz w:val="20"/>
                <w:szCs w:val="20"/>
              </w:rPr>
            </w:pPr>
            <w:r>
              <w:rPr>
                <w:rFonts w:eastAsia="Times New Roman"/>
                <w:sz w:val="20"/>
                <w:szCs w:val="20"/>
              </w:rPr>
              <w:t>●</w:t>
            </w:r>
          </w:p>
        </w:tc>
        <w:tc>
          <w:tcPr>
            <w:tcW w:w="0" w:type="auto"/>
            <w:hideMark/>
          </w:tcPr>
          <w:p w14:paraId="30B757FE" w14:textId="77777777" w:rsidR="00000000" w:rsidRDefault="002F725F">
            <w:pPr>
              <w:jc w:val="both"/>
              <w:rPr>
                <w:rFonts w:eastAsia="Times New Roman"/>
                <w:sz w:val="20"/>
                <w:szCs w:val="20"/>
              </w:rPr>
            </w:pPr>
            <w:r>
              <w:rPr>
                <w:rFonts w:eastAsia="Times New Roman"/>
                <w:sz w:val="20"/>
                <w:szCs w:val="20"/>
              </w:rPr>
              <w:t>agree, authorize or enter into any contract to do any of the foregoing.</w:t>
            </w:r>
          </w:p>
        </w:tc>
      </w:tr>
    </w:tbl>
    <w:p w14:paraId="0D301598" w14:textId="77777777" w:rsidR="00000000" w:rsidRDefault="002F725F">
      <w:pPr>
        <w:pStyle w:val="NormalWeb"/>
        <w:spacing w:before="0" w:beforeAutospacing="0" w:after="0" w:afterAutospacing="0"/>
        <w:divId w:val="415980837"/>
        <w:rPr>
          <w:sz w:val="20"/>
          <w:szCs w:val="20"/>
        </w:rPr>
      </w:pPr>
      <w:r>
        <w:rPr>
          <w:sz w:val="20"/>
          <w:szCs w:val="20"/>
        </w:rPr>
        <w:t> </w:t>
      </w:r>
    </w:p>
    <w:p w14:paraId="08B917F4" w14:textId="77777777" w:rsidR="00000000" w:rsidRDefault="002F725F">
      <w:pPr>
        <w:pStyle w:val="NormalWeb"/>
        <w:spacing w:before="0" w:beforeAutospacing="0" w:after="0" w:afterAutospacing="0"/>
        <w:jc w:val="both"/>
        <w:divId w:val="415980837"/>
        <w:rPr>
          <w:sz w:val="20"/>
          <w:szCs w:val="20"/>
        </w:rPr>
      </w:pPr>
      <w:r>
        <w:rPr>
          <w:b/>
          <w:bCs/>
          <w:sz w:val="20"/>
          <w:szCs w:val="20"/>
        </w:rPr>
        <w:t xml:space="preserve">No </w:t>
      </w:r>
      <w:r>
        <w:rPr>
          <w:b/>
          <w:bCs/>
          <w:sz w:val="20"/>
          <w:szCs w:val="20"/>
        </w:rPr>
        <w:t>Solicitation of Transactions</w:t>
      </w:r>
    </w:p>
    <w:p w14:paraId="3FD893C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2AB071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Subject to certain exceptions, during the Pre-Closing Period, the Company will not, and will not authorize or permit any of its Representatives, any of the Company’s subsidiaries or any of their respective Representatives to,</w:t>
      </w:r>
      <w:r>
        <w:rPr>
          <w:sz w:val="20"/>
          <w:szCs w:val="20"/>
        </w:rPr>
        <w:t xml:space="preserve"> directly or indirectly (i) solicit, initiate or encourage, any Competing Proposal (as defined below) or any inquiries or the making of any proposal or offer that could reasonably be expected to lead to a Competing Proposal; (ii) enter into, maintain, cont</w:t>
      </w:r>
      <w:r>
        <w:rPr>
          <w:sz w:val="20"/>
          <w:szCs w:val="20"/>
        </w:rPr>
        <w:t>inue or otherwise engage in discussions or negotiations with any person or furnish to any person (or any representative thereof) any nonpublic information with respect to the Company or any of its subsidiaries, or cooperate with any person (or any represen</w:t>
      </w:r>
      <w:r>
        <w:rPr>
          <w:sz w:val="20"/>
          <w:szCs w:val="20"/>
        </w:rPr>
        <w:t>tative thereof), in each case, with respect to any Competing Proposal or any proposal or offer that could reasonably be expected to lead to a Competing Proposal; (iii) agree to, approve, endorse, recommend, enter into or consummate any written agreement in</w:t>
      </w:r>
      <w:r>
        <w:rPr>
          <w:sz w:val="20"/>
          <w:szCs w:val="20"/>
        </w:rPr>
        <w:t xml:space="preserve"> principle, letter of intent, merger agreement, acquisition agreement or other similar written agreement or any contract relating to any Competing Transaction (as defined below) (other than an acceptable confidentiality agreement entered into in accordance</w:t>
      </w:r>
      <w:r>
        <w:rPr>
          <w:sz w:val="20"/>
          <w:szCs w:val="20"/>
        </w:rPr>
        <w:t xml:space="preserve"> with the Merger Agreement); (iv) grant any waiver, amendment or release under any standstill, confidentiality or similar agreement to which the Company is a party, and the Company will promptly take all actions necessary to terminate or cause to be </w:t>
      </w:r>
      <w:r>
        <w:rPr>
          <w:sz w:val="20"/>
          <w:szCs w:val="20"/>
        </w:rPr>
        <w:lastRenderedPageBreak/>
        <w:t>termin</w:t>
      </w:r>
      <w:r>
        <w:rPr>
          <w:sz w:val="20"/>
          <w:szCs w:val="20"/>
        </w:rPr>
        <w:t>ated any such waiver previously granted with respect to any provision of any such standstill, confidentiality or similar agreement and to enforce such standstill, confidentiality or similar agreement; or (v) authorize or direct any of the Representatives o</w:t>
      </w:r>
      <w:r>
        <w:rPr>
          <w:sz w:val="20"/>
          <w:szCs w:val="20"/>
        </w:rPr>
        <w:t>f the Company or any of its subsidiaries to take any action or resolve to propose, agree or publicly announce an intention to do any of the foregoing.</w:t>
      </w:r>
    </w:p>
    <w:p w14:paraId="263C2BF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D6E78B7" w14:textId="77777777" w:rsidR="00000000" w:rsidRDefault="002F725F">
      <w:pPr>
        <w:pStyle w:val="NormalWeb"/>
        <w:spacing w:before="0" w:beforeAutospacing="0" w:after="0" w:afterAutospacing="0"/>
        <w:jc w:val="center"/>
        <w:divId w:val="347492749"/>
        <w:rPr>
          <w:sz w:val="20"/>
          <w:szCs w:val="20"/>
        </w:rPr>
      </w:pPr>
      <w:r>
        <w:rPr>
          <w:sz w:val="20"/>
          <w:szCs w:val="20"/>
        </w:rPr>
        <w:t>8</w:t>
      </w:r>
      <w:r>
        <w:rPr>
          <w:sz w:val="20"/>
          <w:szCs w:val="20"/>
        </w:rPr>
        <w:t>8</w:t>
      </w:r>
    </w:p>
    <w:p w14:paraId="4219FF37" w14:textId="77777777" w:rsidR="00000000" w:rsidRDefault="002F725F">
      <w:pPr>
        <w:pStyle w:val="NormalWeb"/>
        <w:spacing w:before="0" w:beforeAutospacing="0" w:after="0" w:afterAutospacing="0"/>
        <w:divId w:val="815145798"/>
        <w:rPr>
          <w:sz w:val="20"/>
          <w:szCs w:val="20"/>
        </w:rPr>
      </w:pPr>
      <w:r>
        <w:rPr>
          <w:sz w:val="20"/>
          <w:szCs w:val="20"/>
        </w:rPr>
        <w:t> </w:t>
      </w:r>
    </w:p>
    <w:p w14:paraId="7A60A8D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939FAF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At any time on or after the date of the Original Merger Agreement and prior to the receipt of the Company Shareholder Approval, following the receipt of a </w:t>
      </w:r>
      <w:r>
        <w:rPr>
          <w:i/>
          <w:iCs/>
          <w:sz w:val="20"/>
          <w:szCs w:val="20"/>
        </w:rPr>
        <w:t xml:space="preserve">bona fide </w:t>
      </w:r>
      <w:r>
        <w:rPr>
          <w:sz w:val="20"/>
          <w:szCs w:val="20"/>
        </w:rPr>
        <w:t>written proposal or offer regarding a Competing Transaction that was not obtained in violat</w:t>
      </w:r>
      <w:r>
        <w:rPr>
          <w:sz w:val="20"/>
          <w:szCs w:val="20"/>
        </w:rPr>
        <w:t>ion of the Merger Agreement, the Company, the Special Committee and their respective Representatives may (i) contact the person or group of persons who has made such proposal or offer to notify such person the restrictions set forth in the Merger Agreement</w:t>
      </w:r>
      <w:r>
        <w:rPr>
          <w:sz w:val="20"/>
          <w:szCs w:val="20"/>
        </w:rPr>
        <w:t xml:space="preserve"> and/or to clarify and understand the terms and conditions thereof; (ii) furnish nonpublic information in response to the request of the person or group of persons who has made such proposal or offer, if (A) prior to furnishing nonpublic information, the C</w:t>
      </w:r>
      <w:r>
        <w:rPr>
          <w:sz w:val="20"/>
          <w:szCs w:val="20"/>
        </w:rPr>
        <w:t xml:space="preserve">ompany receives from such person or group of persons an executed acceptable confidentiality agreement, and (B) concurrently with furnishing any such nonpublic information to such person or group of persons, the Company furnishes such nonpublic information </w:t>
      </w:r>
      <w:r>
        <w:rPr>
          <w:sz w:val="20"/>
          <w:szCs w:val="20"/>
        </w:rPr>
        <w:t>to Parent (if not previously furnished by the Company to Parent); and (iii) engage or participate in any discussions or negotiations with the person or group of persons who has made such proposal or offer, provided that prior to furnishing any nonpublic in</w:t>
      </w:r>
      <w:r>
        <w:rPr>
          <w:sz w:val="20"/>
          <w:szCs w:val="20"/>
        </w:rPr>
        <w:t>formation or engaging in any such discussions or negotiations, the Special Committee shall (x) have determined in good faith, after consultation with its financial advisor and outside legal counsel, that such proposal or offer constitutes a Superior Propos</w:t>
      </w:r>
      <w:r>
        <w:rPr>
          <w:sz w:val="20"/>
          <w:szCs w:val="20"/>
        </w:rPr>
        <w:t>al or could reasonably be expected to result in a Superior Proposal; (y) have determined in good faith, after consultation with its financial advisor and outside legal counsel, that the failure to take such action could reasonably be expected to be contrar</w:t>
      </w:r>
      <w:r>
        <w:rPr>
          <w:sz w:val="20"/>
          <w:szCs w:val="20"/>
        </w:rPr>
        <w:t>y to its fiduciary duties under applicable laws; and (z) provide Parent written notice of the receipt by the Company of any Competing Proposal or any inquiry, offer or proposal that could reasonably be expected to lead to a Competing Proposal (including th</w:t>
      </w:r>
      <w:r>
        <w:rPr>
          <w:sz w:val="20"/>
          <w:szCs w:val="20"/>
        </w:rPr>
        <w:t>e identity of the person or group of persons making or submitting such Competing Proposal, and details of the material terms and conditions thereof) prior to or concurrently with taking any such action.</w:t>
      </w:r>
    </w:p>
    <w:p w14:paraId="705F002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79580C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will keep Parent promptly and reasonabl</w:t>
      </w:r>
      <w:r>
        <w:rPr>
          <w:sz w:val="20"/>
          <w:szCs w:val="20"/>
        </w:rPr>
        <w:t>y informed with respect to (i) any inquiry or indication of interest that could lead to a Competing Proposal, (ii) the status of any such Competing Proposal, and (iii) the status, any material developments and the terms of any material modification thereto</w:t>
      </w:r>
      <w:r>
        <w:rPr>
          <w:sz w:val="20"/>
          <w:szCs w:val="20"/>
        </w:rPr>
        <w:t>. The Company will not enter into any agreement with any person after the date of the Original Merger Agreement that prohibits the Company from providing any information or materials to Parent in accordance with the foregoing. The Company has agreed to cea</w:t>
      </w:r>
      <w:r>
        <w:rPr>
          <w:sz w:val="20"/>
          <w:szCs w:val="20"/>
        </w:rPr>
        <w:t>se and cause to be terminated any discussions existing as of the date of the Original Merger Agreement with any person or group of persons that relate to or for the purpose of encouraging or facilitating any Competing Proposal.</w:t>
      </w:r>
    </w:p>
    <w:p w14:paraId="0D7A3D8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596C80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During the Pre-Closing Per</w:t>
      </w:r>
      <w:r>
        <w:rPr>
          <w:sz w:val="20"/>
          <w:szCs w:val="20"/>
        </w:rPr>
        <w:t>iod, none of the Company, the Board or any committee thereof may (i) change, withhold, withdraw, amend, qualify or modify, or publicly change, withhold, withdraw, amend, qualify or modify, in a manner adverse to Parent or Merger Sub, the Company Recommenda</w:t>
      </w:r>
      <w:r>
        <w:rPr>
          <w:sz w:val="20"/>
          <w:szCs w:val="20"/>
        </w:rPr>
        <w:t>tion, (ii) adopt, approve or recommend, or publicly adopt, approve or recommend, any Competing Transaction, (iii) fail to make the Company Recommendation or include the Company Recommendation in the proxy statement, or fail to recommend against any Competi</w:t>
      </w:r>
      <w:r>
        <w:rPr>
          <w:sz w:val="20"/>
          <w:szCs w:val="20"/>
        </w:rPr>
        <w:t>ng Transaction subject to Regulation 14D under the Exchange Act in any solicitation or recommendation statement on Schedule 14D-9 as promptly as practicable after the commencement of such Competing Transaction (but in any event within ten business days fol</w:t>
      </w:r>
      <w:r>
        <w:rPr>
          <w:sz w:val="20"/>
          <w:szCs w:val="20"/>
        </w:rPr>
        <w:t>lowing such commencement), or (iv) resolve or agree to take any of the foregoing actions (any of the actions or events described in sub-clauses (i) through (iv), a “Change in Company Recommendation”).</w:t>
      </w:r>
    </w:p>
    <w:p w14:paraId="2484443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139574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Prior to the receipt of the Company Shareholder Appro</w:t>
      </w:r>
      <w:r>
        <w:rPr>
          <w:sz w:val="20"/>
          <w:szCs w:val="20"/>
        </w:rPr>
        <w:t>val, if in response to the receipt by the Company of a Competing Proposal, the Board (upon the recommendation of the Special Committee) or the Special Committee determines in good faith following consultation with its financial advisor and outside legal co</w:t>
      </w:r>
      <w:r>
        <w:rPr>
          <w:sz w:val="20"/>
          <w:szCs w:val="20"/>
        </w:rPr>
        <w:t>unsel, that such proposal constitutes a Superior Proposal and that the failure to take such action could reasonably be expected to be inconsistent with its fiduciary duties under applicable laws, the Board (acting upon the recommendation of the Special Com</w:t>
      </w:r>
      <w:r>
        <w:rPr>
          <w:sz w:val="20"/>
          <w:szCs w:val="20"/>
        </w:rPr>
        <w:t xml:space="preserve">mittee) </w:t>
      </w:r>
      <w:r>
        <w:rPr>
          <w:sz w:val="20"/>
          <w:szCs w:val="20"/>
        </w:rPr>
        <w:lastRenderedPageBreak/>
        <w:t>or the Special Committee, as the case may be, may make a Change in Company Recommendation in respect of such Superior Proposal, and cause the Company to terminate the Merger Agreement; however, they may only do so if:</w:t>
      </w:r>
    </w:p>
    <w:p w14:paraId="0FD7321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659650F" w14:textId="77777777">
        <w:trPr>
          <w:divId w:val="415980837"/>
          <w:tblCellSpacing w:w="0" w:type="dxa"/>
        </w:trPr>
        <w:tc>
          <w:tcPr>
            <w:tcW w:w="720" w:type="dxa"/>
            <w:hideMark/>
          </w:tcPr>
          <w:p w14:paraId="4DA86AC7" w14:textId="77777777" w:rsidR="00000000" w:rsidRDefault="002F725F">
            <w:pPr>
              <w:rPr>
                <w:sz w:val="20"/>
                <w:szCs w:val="20"/>
              </w:rPr>
            </w:pPr>
          </w:p>
        </w:tc>
        <w:tc>
          <w:tcPr>
            <w:tcW w:w="360" w:type="dxa"/>
            <w:hideMark/>
          </w:tcPr>
          <w:p w14:paraId="511526E7" w14:textId="77777777" w:rsidR="00000000" w:rsidRDefault="002F725F">
            <w:pPr>
              <w:rPr>
                <w:rFonts w:eastAsia="Times New Roman"/>
                <w:sz w:val="20"/>
                <w:szCs w:val="20"/>
              </w:rPr>
            </w:pPr>
            <w:r>
              <w:rPr>
                <w:rFonts w:eastAsia="Times New Roman"/>
                <w:sz w:val="20"/>
                <w:szCs w:val="20"/>
              </w:rPr>
              <w:t>●</w:t>
            </w:r>
          </w:p>
        </w:tc>
        <w:tc>
          <w:tcPr>
            <w:tcW w:w="0" w:type="auto"/>
            <w:hideMark/>
          </w:tcPr>
          <w:p w14:paraId="33823C8B" w14:textId="77777777" w:rsidR="00000000" w:rsidRDefault="002F725F">
            <w:pPr>
              <w:jc w:val="both"/>
              <w:rPr>
                <w:rFonts w:eastAsia="Times New Roman"/>
                <w:sz w:val="20"/>
                <w:szCs w:val="20"/>
              </w:rPr>
            </w:pPr>
            <w:r>
              <w:rPr>
                <w:rFonts w:eastAsia="Times New Roman"/>
                <w:sz w:val="20"/>
                <w:szCs w:val="20"/>
              </w:rPr>
              <w:t xml:space="preserve">the Board or the Special </w:t>
            </w:r>
            <w:r>
              <w:rPr>
                <w:rFonts w:eastAsia="Times New Roman"/>
                <w:sz w:val="20"/>
                <w:szCs w:val="20"/>
              </w:rPr>
              <w:t>Committee has first notified Parent in writing of its intent to take such action, which notice will contain the identity of the person making the Superior Proposal, specify the material terms of the Superior Proposal, contain a copy of the material documen</w:t>
            </w:r>
            <w:r>
              <w:rPr>
                <w:rFonts w:eastAsia="Times New Roman"/>
                <w:sz w:val="20"/>
                <w:szCs w:val="20"/>
              </w:rPr>
              <w:t>ts and/or agreements providing for the Superior Proposal and indicate that the Board or the Special Committee intends to effect a Change in Company Recommendation and terminate the Merger Agreement;</w:t>
            </w:r>
          </w:p>
        </w:tc>
      </w:tr>
    </w:tbl>
    <w:p w14:paraId="4E86ABA4" w14:textId="77777777" w:rsidR="00000000" w:rsidRDefault="002F725F">
      <w:pPr>
        <w:pStyle w:val="NormalWeb"/>
        <w:spacing w:before="0" w:beforeAutospacing="0" w:after="0" w:afterAutospacing="0"/>
        <w:divId w:val="415980837"/>
        <w:rPr>
          <w:sz w:val="20"/>
          <w:szCs w:val="20"/>
        </w:rPr>
      </w:pPr>
      <w:r>
        <w:rPr>
          <w:sz w:val="20"/>
          <w:szCs w:val="20"/>
        </w:rPr>
        <w:t> </w:t>
      </w:r>
    </w:p>
    <w:p w14:paraId="1F739F74" w14:textId="77777777" w:rsidR="00000000" w:rsidRDefault="002F725F">
      <w:pPr>
        <w:pStyle w:val="NormalWeb"/>
        <w:spacing w:before="0" w:beforeAutospacing="0" w:after="0" w:afterAutospacing="0"/>
        <w:jc w:val="center"/>
        <w:divId w:val="1509448180"/>
        <w:rPr>
          <w:sz w:val="20"/>
          <w:szCs w:val="20"/>
        </w:rPr>
      </w:pPr>
      <w:r>
        <w:rPr>
          <w:sz w:val="20"/>
          <w:szCs w:val="20"/>
        </w:rPr>
        <w:t>8</w:t>
      </w:r>
      <w:r>
        <w:rPr>
          <w:sz w:val="20"/>
          <w:szCs w:val="20"/>
        </w:rPr>
        <w:t>9</w:t>
      </w:r>
    </w:p>
    <w:p w14:paraId="31B8D5B2" w14:textId="77777777" w:rsidR="00000000" w:rsidRDefault="002F725F">
      <w:pPr>
        <w:pStyle w:val="NormalWeb"/>
        <w:spacing w:before="0" w:beforeAutospacing="0" w:after="0" w:afterAutospacing="0"/>
        <w:divId w:val="28342026"/>
        <w:rPr>
          <w:sz w:val="20"/>
          <w:szCs w:val="20"/>
        </w:rPr>
      </w:pPr>
      <w:r>
        <w:rPr>
          <w:sz w:val="20"/>
          <w:szCs w:val="20"/>
        </w:rPr>
        <w:t> </w:t>
      </w:r>
    </w:p>
    <w:p w14:paraId="1AEADC1E"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66055ED" w14:textId="77777777">
        <w:trPr>
          <w:divId w:val="415980837"/>
          <w:tblCellSpacing w:w="0" w:type="dxa"/>
        </w:trPr>
        <w:tc>
          <w:tcPr>
            <w:tcW w:w="720" w:type="dxa"/>
            <w:hideMark/>
          </w:tcPr>
          <w:p w14:paraId="3F0B2531" w14:textId="77777777" w:rsidR="00000000" w:rsidRDefault="002F725F">
            <w:pPr>
              <w:rPr>
                <w:sz w:val="20"/>
                <w:szCs w:val="20"/>
              </w:rPr>
            </w:pPr>
          </w:p>
        </w:tc>
        <w:tc>
          <w:tcPr>
            <w:tcW w:w="360" w:type="dxa"/>
            <w:hideMark/>
          </w:tcPr>
          <w:p w14:paraId="299EAEC8" w14:textId="77777777" w:rsidR="00000000" w:rsidRDefault="002F725F">
            <w:pPr>
              <w:rPr>
                <w:rFonts w:eastAsia="Times New Roman"/>
                <w:sz w:val="20"/>
                <w:szCs w:val="20"/>
              </w:rPr>
            </w:pPr>
            <w:r>
              <w:rPr>
                <w:rFonts w:eastAsia="Times New Roman"/>
                <w:sz w:val="20"/>
                <w:szCs w:val="20"/>
              </w:rPr>
              <w:t>●</w:t>
            </w:r>
          </w:p>
        </w:tc>
        <w:tc>
          <w:tcPr>
            <w:tcW w:w="0" w:type="auto"/>
            <w:hideMark/>
          </w:tcPr>
          <w:p w14:paraId="47A3EA4D" w14:textId="77777777" w:rsidR="00000000" w:rsidRDefault="002F725F">
            <w:pPr>
              <w:jc w:val="both"/>
              <w:rPr>
                <w:rFonts w:eastAsia="Times New Roman"/>
                <w:sz w:val="20"/>
                <w:szCs w:val="20"/>
              </w:rPr>
            </w:pPr>
            <w:r>
              <w:rPr>
                <w:rFonts w:eastAsia="Times New Roman"/>
                <w:sz w:val="20"/>
                <w:szCs w:val="20"/>
              </w:rPr>
              <w:t>if requested by Parent in writing, the Company will, and will cause its Representatives to, for a period of at least five business days following receipt by Parent of such notice and prior to making any such Change in Company Recommendation and terminating</w:t>
            </w:r>
            <w:r>
              <w:rPr>
                <w:rFonts w:eastAsia="Times New Roman"/>
                <w:sz w:val="20"/>
                <w:szCs w:val="20"/>
              </w:rPr>
              <w:t xml:space="preserve"> the Merger Agreement, negotiate with Parent and any Representative of Parent in good faith (to the extent Parent desires to negotiate) to permit Parent to propose amendments to the terms and conditions of the Merger Agreement and the Transactions;</w:t>
            </w:r>
          </w:p>
        </w:tc>
      </w:tr>
    </w:tbl>
    <w:p w14:paraId="68CD49A6"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4A82ECE" w14:textId="77777777">
        <w:trPr>
          <w:divId w:val="415980837"/>
          <w:tblCellSpacing w:w="0" w:type="dxa"/>
        </w:trPr>
        <w:tc>
          <w:tcPr>
            <w:tcW w:w="720" w:type="dxa"/>
            <w:hideMark/>
          </w:tcPr>
          <w:p w14:paraId="268F5C84" w14:textId="77777777" w:rsidR="00000000" w:rsidRDefault="002F725F">
            <w:pPr>
              <w:rPr>
                <w:sz w:val="20"/>
                <w:szCs w:val="20"/>
              </w:rPr>
            </w:pPr>
          </w:p>
        </w:tc>
        <w:tc>
          <w:tcPr>
            <w:tcW w:w="360" w:type="dxa"/>
            <w:hideMark/>
          </w:tcPr>
          <w:p w14:paraId="64DD0D6A" w14:textId="77777777" w:rsidR="00000000" w:rsidRDefault="002F725F">
            <w:pPr>
              <w:rPr>
                <w:rFonts w:eastAsia="Times New Roman"/>
                <w:sz w:val="20"/>
                <w:szCs w:val="20"/>
              </w:rPr>
            </w:pPr>
            <w:r>
              <w:rPr>
                <w:rFonts w:eastAsia="Times New Roman"/>
                <w:sz w:val="20"/>
                <w:szCs w:val="20"/>
              </w:rPr>
              <w:t>●</w:t>
            </w:r>
          </w:p>
        </w:tc>
        <w:tc>
          <w:tcPr>
            <w:tcW w:w="0" w:type="auto"/>
            <w:hideMark/>
          </w:tcPr>
          <w:p w14:paraId="0F589711" w14:textId="77777777" w:rsidR="00000000" w:rsidRDefault="002F725F">
            <w:pPr>
              <w:jc w:val="both"/>
              <w:rPr>
                <w:rFonts w:eastAsia="Times New Roman"/>
                <w:sz w:val="20"/>
                <w:szCs w:val="20"/>
              </w:rPr>
            </w:pPr>
            <w:r>
              <w:rPr>
                <w:rFonts w:eastAsia="Times New Roman"/>
                <w:sz w:val="20"/>
                <w:szCs w:val="20"/>
              </w:rPr>
              <w:t>f</w:t>
            </w:r>
            <w:r>
              <w:rPr>
                <w:rFonts w:eastAsia="Times New Roman"/>
                <w:sz w:val="20"/>
                <w:szCs w:val="20"/>
              </w:rPr>
              <w:t xml:space="preserve">ollowing such five-business-day period, and taking into account any proposed amendments from Parent received during such period, the Board or the Special Committee should have considered in good faith such proposed amendments, if any, and should, prior to </w:t>
            </w:r>
            <w:r>
              <w:rPr>
                <w:rFonts w:eastAsia="Times New Roman"/>
                <w:sz w:val="20"/>
                <w:szCs w:val="20"/>
              </w:rPr>
              <w:t>making any such Change in Company Recommendation and terminating the Merger Agreement, have determined, in respect of such Superior Proposal, following consultation with its financial advisor and outside legal counsel, that the Superior Proposal would cont</w:t>
            </w:r>
            <w:r>
              <w:rPr>
                <w:rFonts w:eastAsia="Times New Roman"/>
                <w:sz w:val="20"/>
                <w:szCs w:val="20"/>
              </w:rPr>
              <w:t>inue to constitute a Superior Proposal if the revisions proposed in such proposed amendments from Parent, if any, were to be given effect;</w:t>
            </w:r>
          </w:p>
        </w:tc>
      </w:tr>
    </w:tbl>
    <w:p w14:paraId="5318878D"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8887350" w14:textId="77777777">
        <w:trPr>
          <w:divId w:val="415980837"/>
          <w:tblCellSpacing w:w="0" w:type="dxa"/>
        </w:trPr>
        <w:tc>
          <w:tcPr>
            <w:tcW w:w="720" w:type="dxa"/>
            <w:hideMark/>
          </w:tcPr>
          <w:p w14:paraId="6F150995" w14:textId="77777777" w:rsidR="00000000" w:rsidRDefault="002F725F">
            <w:pPr>
              <w:rPr>
                <w:sz w:val="20"/>
                <w:szCs w:val="20"/>
              </w:rPr>
            </w:pPr>
          </w:p>
        </w:tc>
        <w:tc>
          <w:tcPr>
            <w:tcW w:w="360" w:type="dxa"/>
            <w:hideMark/>
          </w:tcPr>
          <w:p w14:paraId="151D7F69" w14:textId="77777777" w:rsidR="00000000" w:rsidRDefault="002F725F">
            <w:pPr>
              <w:rPr>
                <w:rFonts w:eastAsia="Times New Roman"/>
                <w:sz w:val="20"/>
                <w:szCs w:val="20"/>
              </w:rPr>
            </w:pPr>
            <w:r>
              <w:rPr>
                <w:rFonts w:eastAsia="Times New Roman"/>
                <w:sz w:val="20"/>
                <w:szCs w:val="20"/>
              </w:rPr>
              <w:t>●</w:t>
            </w:r>
          </w:p>
        </w:tc>
        <w:tc>
          <w:tcPr>
            <w:tcW w:w="0" w:type="auto"/>
            <w:hideMark/>
          </w:tcPr>
          <w:p w14:paraId="27AD9060" w14:textId="77777777" w:rsidR="00000000" w:rsidRDefault="002F725F">
            <w:pPr>
              <w:jc w:val="both"/>
              <w:rPr>
                <w:rFonts w:eastAsia="Times New Roman"/>
                <w:sz w:val="20"/>
                <w:szCs w:val="20"/>
              </w:rPr>
            </w:pPr>
            <w:r>
              <w:rPr>
                <w:rFonts w:eastAsia="Times New Roman"/>
                <w:sz w:val="20"/>
                <w:szCs w:val="20"/>
              </w:rPr>
              <w:t>such Superior Proposal did not result from a breach of the Company’s non-solicitation restrictions under the Me</w:t>
            </w:r>
            <w:r>
              <w:rPr>
                <w:rFonts w:eastAsia="Times New Roman"/>
                <w:sz w:val="20"/>
                <w:szCs w:val="20"/>
              </w:rPr>
              <w:t>rger Agreement; and</w:t>
            </w:r>
          </w:p>
        </w:tc>
      </w:tr>
    </w:tbl>
    <w:p w14:paraId="35BCA5FF"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7140525" w14:textId="77777777">
        <w:trPr>
          <w:divId w:val="415980837"/>
          <w:tblCellSpacing w:w="0" w:type="dxa"/>
        </w:trPr>
        <w:tc>
          <w:tcPr>
            <w:tcW w:w="720" w:type="dxa"/>
            <w:hideMark/>
          </w:tcPr>
          <w:p w14:paraId="2138EAA0" w14:textId="77777777" w:rsidR="00000000" w:rsidRDefault="002F725F">
            <w:pPr>
              <w:rPr>
                <w:sz w:val="20"/>
                <w:szCs w:val="20"/>
              </w:rPr>
            </w:pPr>
          </w:p>
        </w:tc>
        <w:tc>
          <w:tcPr>
            <w:tcW w:w="360" w:type="dxa"/>
            <w:hideMark/>
          </w:tcPr>
          <w:p w14:paraId="1F8DBE70" w14:textId="77777777" w:rsidR="00000000" w:rsidRDefault="002F725F">
            <w:pPr>
              <w:rPr>
                <w:rFonts w:eastAsia="Times New Roman"/>
                <w:sz w:val="20"/>
                <w:szCs w:val="20"/>
              </w:rPr>
            </w:pPr>
            <w:r>
              <w:rPr>
                <w:rFonts w:eastAsia="Times New Roman"/>
                <w:sz w:val="20"/>
                <w:szCs w:val="20"/>
              </w:rPr>
              <w:t>●</w:t>
            </w:r>
          </w:p>
        </w:tc>
        <w:tc>
          <w:tcPr>
            <w:tcW w:w="0" w:type="auto"/>
            <w:hideMark/>
          </w:tcPr>
          <w:p w14:paraId="1BCF9F03" w14:textId="77777777" w:rsidR="00000000" w:rsidRDefault="002F725F">
            <w:pPr>
              <w:jc w:val="both"/>
              <w:rPr>
                <w:rFonts w:eastAsia="Times New Roman"/>
                <w:sz w:val="20"/>
                <w:szCs w:val="20"/>
              </w:rPr>
            </w:pPr>
            <w:r>
              <w:rPr>
                <w:rFonts w:eastAsia="Times New Roman"/>
                <w:sz w:val="20"/>
                <w:szCs w:val="20"/>
              </w:rPr>
              <w:t>the Board or the Special Committee causes the Company to terminate the Merger Agreement and pay to Parent the applicable termination fee payable in connection therewith under the Merger Agreement.</w:t>
            </w:r>
          </w:p>
        </w:tc>
      </w:tr>
    </w:tbl>
    <w:p w14:paraId="261601C2" w14:textId="77777777" w:rsidR="00000000" w:rsidRDefault="002F725F">
      <w:pPr>
        <w:pStyle w:val="NormalWeb"/>
        <w:spacing w:before="0" w:beforeAutospacing="0" w:after="0" w:afterAutospacing="0"/>
        <w:divId w:val="415980837"/>
        <w:rPr>
          <w:sz w:val="20"/>
          <w:szCs w:val="20"/>
        </w:rPr>
      </w:pPr>
      <w:r>
        <w:rPr>
          <w:sz w:val="20"/>
          <w:szCs w:val="20"/>
        </w:rPr>
        <w:t> </w:t>
      </w:r>
    </w:p>
    <w:p w14:paraId="354E347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Each successive material modif</w:t>
      </w:r>
      <w:r>
        <w:rPr>
          <w:sz w:val="20"/>
          <w:szCs w:val="20"/>
        </w:rPr>
        <w:t>ication to the financial terms of any such Competing Proposal will be deemed to constitute a new Competing Proposal for purposes of the requirements above, except that, in such cases, the five-business-day period described above will instead become a perio</w:t>
      </w:r>
      <w:r>
        <w:rPr>
          <w:sz w:val="20"/>
          <w:szCs w:val="20"/>
        </w:rPr>
        <w:t>d of at least two business days.</w:t>
      </w:r>
    </w:p>
    <w:p w14:paraId="14405E0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464ECD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For purposes of the Merger Agreement, a “Competing Proposal” means any </w:t>
      </w:r>
      <w:r>
        <w:rPr>
          <w:i/>
          <w:iCs/>
          <w:sz w:val="20"/>
          <w:szCs w:val="20"/>
        </w:rPr>
        <w:t>bona fide</w:t>
      </w:r>
      <w:r>
        <w:rPr>
          <w:sz w:val="20"/>
          <w:szCs w:val="20"/>
        </w:rPr>
        <w:t xml:space="preserve"> written offer, proposal, inquiry, or indication of interest (other than an offer, proposal, inquiry, or indication of interest by Parent) co</w:t>
      </w:r>
      <w:r>
        <w:rPr>
          <w:sz w:val="20"/>
          <w:szCs w:val="20"/>
        </w:rPr>
        <w:t>nstituting or may reasonably be expected to lead to any Competing Transaction.</w:t>
      </w:r>
    </w:p>
    <w:p w14:paraId="2EDFD9D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CB3E03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For purposes of the Merger Agreement, a “Competing Transaction” </w:t>
      </w:r>
      <w:r>
        <w:rPr>
          <w:sz w:val="20"/>
          <w:szCs w:val="20"/>
        </w:rPr>
        <w:t>means, other than the Transactions, any transaction or series of transactions for or relating to (a) any merger, reorganization, consolidation, share exchange, business combination, scheme of arrangement, amalgamation, recapitalization, extra-ordinary divi</w:t>
      </w:r>
      <w:r>
        <w:rPr>
          <w:sz w:val="20"/>
          <w:szCs w:val="20"/>
        </w:rPr>
        <w:t xml:space="preserve">dend, share repurchase, liquidation, dissolution or other similar transaction involving the Company or any of its subsidiaries whose assets, individually or in the aggregate, constitute 20% or more of the consolidated assets of the Company or to which 20% </w:t>
      </w:r>
      <w:r>
        <w:rPr>
          <w:sz w:val="20"/>
          <w:szCs w:val="20"/>
        </w:rPr>
        <w:t>or more of the total revenue, operating income or EBITDA of the Company are attributable; (b) any sale, lease, exchange, transfer or other disposition of assets or businesses of the Company and its subsidiaries that constitute or represent 20% or more of t</w:t>
      </w:r>
      <w:r>
        <w:rPr>
          <w:sz w:val="20"/>
          <w:szCs w:val="20"/>
        </w:rPr>
        <w:t>he total revenue, operating income, EBITDA or assets of the Company and its subsidiaries, taken as a whole; (c) any sale, exchange, transfer or other disposition of 20% or more of any class of equity securities of the Company; (d) any general offer, tender</w:t>
      </w:r>
      <w:r>
        <w:rPr>
          <w:sz w:val="20"/>
          <w:szCs w:val="20"/>
        </w:rPr>
        <w:t xml:space="preserve"> offer or exchange offer that, if consummated, would result in any person beneficially owning 20% or more of any class of equity securities of the Company; (e) any other transaction having an effect similar to the foregoing; or (f) any combination of the f</w:t>
      </w:r>
      <w:r>
        <w:rPr>
          <w:sz w:val="20"/>
          <w:szCs w:val="20"/>
        </w:rPr>
        <w:t>oregoing.</w:t>
      </w:r>
    </w:p>
    <w:p w14:paraId="7BAEA90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6965637"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xml:space="preserve">For purposes of the Merger Agreement, a “Superior Proposal” means a </w:t>
      </w:r>
      <w:r>
        <w:rPr>
          <w:i/>
          <w:iCs/>
          <w:sz w:val="20"/>
          <w:szCs w:val="20"/>
        </w:rPr>
        <w:t>bona fide</w:t>
      </w:r>
      <w:r>
        <w:rPr>
          <w:sz w:val="20"/>
          <w:szCs w:val="20"/>
        </w:rPr>
        <w:t xml:space="preserve"> written offer or proposal with respect to a Competing Transaction (provided, that for purposes of the definition of “Superior Proposal”, each reference to “20%” in cl</w:t>
      </w:r>
      <w:r>
        <w:rPr>
          <w:sz w:val="20"/>
          <w:szCs w:val="20"/>
        </w:rPr>
        <w:t xml:space="preserve">auses (a) and (b) in the definition of “Competing Transaction” will be replaced with “50%” and each reference to “20%” in clauses (c) and (d) in the definition of “Competing Transaction” will be replaced with “75%”) made by a third party that (a) provides </w:t>
      </w:r>
      <w:r>
        <w:rPr>
          <w:sz w:val="20"/>
          <w:szCs w:val="20"/>
        </w:rPr>
        <w:t>for the payment of cash consideration per Share to holders thereof that is in excess of the Per Share Merger Consideration and (b) the Board determines, in good faith judgment acting upon the recommendation of the Special Committee after (i) consultation w</w:t>
      </w:r>
      <w:r>
        <w:rPr>
          <w:sz w:val="20"/>
          <w:szCs w:val="20"/>
        </w:rPr>
        <w:t>ith its financial advisor and outside legal counsel; (ii) taking into account all terms and conditions of such proposal, including the likelihood and timing of consummation thereof; and (iii) taking into account any changes to the Merger Agreement proposed</w:t>
      </w:r>
      <w:r>
        <w:rPr>
          <w:sz w:val="20"/>
          <w:szCs w:val="20"/>
        </w:rPr>
        <w:t xml:space="preserve"> by Parent in connection with the exercise of its rights in response to such Superior Proposal, to be more favorable to the shareholders of the Company (other than the holders of Excluded Shares) than the Merger; provided, that any such offer will not be d</w:t>
      </w:r>
      <w:r>
        <w:rPr>
          <w:sz w:val="20"/>
          <w:szCs w:val="20"/>
        </w:rPr>
        <w:t>eemed to be a “Superior Proposal” if (A) any financing required to consummate the transaction contemplated by such offer is not fully committed to such third party; (B) the consummation of the transaction contemplated by such offer or proposal is condition</w:t>
      </w:r>
      <w:r>
        <w:rPr>
          <w:sz w:val="20"/>
          <w:szCs w:val="20"/>
        </w:rPr>
        <w:t>al upon the obtaining and/or funding of such financing; or (C) the transaction contemplated by such offer is not reasonably capable of being completed on the terms proposed without unreasonable delay.</w:t>
      </w:r>
    </w:p>
    <w:p w14:paraId="0076678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96D8C84" w14:textId="77777777" w:rsidR="00000000" w:rsidRDefault="002F725F">
      <w:pPr>
        <w:pStyle w:val="NormalWeb"/>
        <w:spacing w:before="0" w:beforeAutospacing="0" w:after="0" w:afterAutospacing="0"/>
        <w:jc w:val="center"/>
        <w:divId w:val="2057075847"/>
        <w:rPr>
          <w:sz w:val="20"/>
          <w:szCs w:val="20"/>
        </w:rPr>
      </w:pPr>
      <w:r>
        <w:rPr>
          <w:sz w:val="20"/>
          <w:szCs w:val="20"/>
        </w:rPr>
        <w:t>9</w:t>
      </w:r>
      <w:r>
        <w:rPr>
          <w:sz w:val="20"/>
          <w:szCs w:val="20"/>
        </w:rPr>
        <w:t>0</w:t>
      </w:r>
    </w:p>
    <w:p w14:paraId="5AB476D3" w14:textId="77777777" w:rsidR="00000000" w:rsidRDefault="002F725F">
      <w:pPr>
        <w:pStyle w:val="NormalWeb"/>
        <w:spacing w:before="0" w:beforeAutospacing="0" w:after="0" w:afterAutospacing="0"/>
        <w:divId w:val="1909072732"/>
        <w:rPr>
          <w:sz w:val="20"/>
          <w:szCs w:val="20"/>
        </w:rPr>
      </w:pPr>
      <w:r>
        <w:rPr>
          <w:sz w:val="20"/>
          <w:szCs w:val="20"/>
        </w:rPr>
        <w:t> </w:t>
      </w:r>
    </w:p>
    <w:p w14:paraId="583F5DE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20284A5" w14:textId="77777777" w:rsidR="00000000" w:rsidRDefault="002F725F">
      <w:pPr>
        <w:pStyle w:val="NormalWeb"/>
        <w:spacing w:before="0" w:beforeAutospacing="0" w:after="0" w:afterAutospacing="0"/>
        <w:jc w:val="both"/>
        <w:divId w:val="415980837"/>
        <w:rPr>
          <w:sz w:val="20"/>
          <w:szCs w:val="20"/>
        </w:rPr>
      </w:pPr>
      <w:r>
        <w:rPr>
          <w:b/>
          <w:bCs/>
          <w:sz w:val="20"/>
          <w:szCs w:val="20"/>
        </w:rPr>
        <w:t>Shareholders Meeting</w:t>
      </w:r>
    </w:p>
    <w:p w14:paraId="05A76EF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359602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will as pro</w:t>
      </w:r>
      <w:r>
        <w:rPr>
          <w:sz w:val="20"/>
          <w:szCs w:val="20"/>
        </w:rPr>
        <w:t>mptly as reasonably practicable, (i) take all actions required under the Cayman Islands Companies Act and its memorandum and articles of association to duly call, give notice of, convene and hold the Shareholders’ Meeting; and (ii) in no event later than 1</w:t>
      </w:r>
      <w:r>
        <w:rPr>
          <w:sz w:val="20"/>
          <w:szCs w:val="20"/>
        </w:rPr>
        <w:t xml:space="preserve">5 business days after the SEC confirms that it has no further comments on, is not reviewing or otherwise clears, the Schedule 13E-3 and the proxy statement, mail or cause to be mailed the proxy statement for the Shareholders’ Meeting, with the date of the </w:t>
      </w:r>
      <w:r>
        <w:rPr>
          <w:sz w:val="20"/>
          <w:szCs w:val="20"/>
        </w:rPr>
        <w:t>Shareholders’ Meeting (such meeting date being no later than 40 days after the date of mailing the proxy statement) and the record date for determining the holders of Shares who will be entitled to give instructions for the exercise of the voting rights at</w:t>
      </w:r>
      <w:r>
        <w:rPr>
          <w:sz w:val="20"/>
          <w:szCs w:val="20"/>
        </w:rPr>
        <w:t xml:space="preserve"> the Shareholders’ Meeting to be determined by the Company after good faith consultation with Parent. Subject to a Change in Company Recommendation in accordance with the Merger Agreement, (A) the Board will recommend to the holders of Shares that they app</w:t>
      </w:r>
      <w:r>
        <w:rPr>
          <w:sz w:val="20"/>
          <w:szCs w:val="20"/>
        </w:rPr>
        <w:t>rove and adopt the Merger Agreement, the Plan of Merger and the Transactions, and will include such recommendation in the proxy statement; and (B) the Company will use its reasonable best efforts to solicit from its shareholders proxies in favor of the aut</w:t>
      </w:r>
      <w:r>
        <w:rPr>
          <w:sz w:val="20"/>
          <w:szCs w:val="20"/>
        </w:rPr>
        <w:t>horization and approval of the Merger Agreement, the Plan of Merger and the consummation of the Transactions, and take all other actions necessary or advisable to secure the Company Shareholder Approval. Upon prior written request of Parent, the Company wi</w:t>
      </w:r>
      <w:r>
        <w:rPr>
          <w:sz w:val="20"/>
          <w:szCs w:val="20"/>
        </w:rPr>
        <w:t>ll use its commercially reasonable efforts to advise Parent on a current basis prior to the date of the Shareholders’ Meeting, as to the aggregate tally of proxies received by the Company with respect to the Company Shareholder Approval. Without the consen</w:t>
      </w:r>
      <w:r>
        <w:rPr>
          <w:sz w:val="20"/>
          <w:szCs w:val="20"/>
        </w:rPr>
        <w:t>t of Parent (which consent may not be unreasonably withheld, delayed or conditioned), the authorization and approval of the Merger Agreement, the Plan of Merger and the consummation of the Transactions are the only matters (other than procedural matters) t</w:t>
      </w:r>
      <w:r>
        <w:rPr>
          <w:sz w:val="20"/>
          <w:szCs w:val="20"/>
        </w:rPr>
        <w:t xml:space="preserve">hat will be proposed to be voted upon by the shareholders of the Company at the Shareholders’ Meeting. In the event that the Shareholders’ Meeting as originally called is for any reason adjourned or postponed or otherwise delayed, the Company agrees that, </w:t>
      </w:r>
      <w:r>
        <w:rPr>
          <w:sz w:val="20"/>
          <w:szCs w:val="20"/>
        </w:rPr>
        <w:t>unless Parent shall have otherwise approved in writing (such approval may not be unreasonably withheld, conditioned and/or delayed), the Company will implement such adjournment or postponement or other delay in such a way that the Company does not establis</w:t>
      </w:r>
      <w:r>
        <w:rPr>
          <w:sz w:val="20"/>
          <w:szCs w:val="20"/>
        </w:rPr>
        <w:t>h a new record date for the Shareholders’ Meeting, as so adjourned, postponed or delayed, except as required by applicable laws or the memorandum and articles of association of the Company.</w:t>
      </w:r>
    </w:p>
    <w:p w14:paraId="16C9E71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AB36F6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may, and Parent may request in writing that the Comp</w:t>
      </w:r>
      <w:r>
        <w:rPr>
          <w:sz w:val="20"/>
          <w:szCs w:val="20"/>
        </w:rPr>
        <w:t>any, adjourn or postpone the Shareholders’ Meeting, if and to the extent the Special Committee or Parent, as the case may be, determines in good faith (i) such adjournment or postponement is necessary to ensure that any supplement or amendment to the proxy</w:t>
      </w:r>
      <w:r>
        <w:rPr>
          <w:sz w:val="20"/>
          <w:szCs w:val="20"/>
        </w:rPr>
        <w:t xml:space="preserve"> statement that is required by applicable laws is timely filed, and mailed or otherwise provided to the Company’s shareholders; (ii) if at the time the Shareholders’ Meeting proceeds to business there are insufficient Shares represented </w:t>
      </w:r>
      <w:r>
        <w:rPr>
          <w:sz w:val="20"/>
          <w:szCs w:val="20"/>
        </w:rPr>
        <w:lastRenderedPageBreak/>
        <w:t>(either in person o</w:t>
      </w:r>
      <w:r>
        <w:rPr>
          <w:sz w:val="20"/>
          <w:szCs w:val="20"/>
        </w:rPr>
        <w:t xml:space="preserve">r by proxy) to constitute a quorum necessary to conduct business at the Shareholders’ Meeting, or voting in favor of the authorization and approval of the Merger Agreement, the Plan of Merger, and the consummation of the Transactions to obtain the Company </w:t>
      </w:r>
      <w:r>
        <w:rPr>
          <w:sz w:val="20"/>
          <w:szCs w:val="20"/>
        </w:rPr>
        <w:t>Shareholder Approval; or (iii) additional time is required to solicit proxies in favor of the adoption of the Merger Agreement.</w:t>
      </w:r>
    </w:p>
    <w:p w14:paraId="30C529D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6E30722" w14:textId="77777777" w:rsidR="00000000" w:rsidRDefault="002F725F">
      <w:pPr>
        <w:pStyle w:val="NormalWeb"/>
        <w:spacing w:before="0" w:beforeAutospacing="0" w:after="0" w:afterAutospacing="0"/>
        <w:jc w:val="both"/>
        <w:divId w:val="415980837"/>
        <w:rPr>
          <w:sz w:val="20"/>
          <w:szCs w:val="20"/>
        </w:rPr>
      </w:pPr>
      <w:r>
        <w:rPr>
          <w:b/>
          <w:bCs/>
          <w:sz w:val="20"/>
          <w:szCs w:val="20"/>
        </w:rPr>
        <w:t>Indemnification; Directors’ and Officers’ Insurance</w:t>
      </w:r>
    </w:p>
    <w:p w14:paraId="1E9557A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250734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From and after the Effective Time for a period of six years, the Survivi</w:t>
      </w:r>
      <w:r>
        <w:rPr>
          <w:sz w:val="20"/>
          <w:szCs w:val="20"/>
        </w:rPr>
        <w:t>ng Company will, and Parent will cause the Surviving Company to, indemnify and hold harmless, and provide advancement of expenses to, the present and former officers and directors of the Company and its subsidiaries and any person who becomes a director or</w:t>
      </w:r>
      <w:r>
        <w:rPr>
          <w:sz w:val="20"/>
          <w:szCs w:val="20"/>
        </w:rPr>
        <w:t xml:space="preserve"> officer thereof prior to the Effective Time against any and all cost or expenses (including reasonable attorneys’ fees and expenses), and other amounts paid in settlement in connection with any actual or threatened legal proceeding to the fullest extent p</w:t>
      </w:r>
      <w:r>
        <w:rPr>
          <w:sz w:val="20"/>
          <w:szCs w:val="20"/>
        </w:rPr>
        <w:t>ermitted by applicable law or provided under the memorandum and articles of association, any indemnification agreements and any other governing documents of the Company and its subsidiaries in effect on the date of the Original Merger Agreement.</w:t>
      </w:r>
    </w:p>
    <w:p w14:paraId="4362CA2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FF0FFF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Surv</w:t>
      </w:r>
      <w:r>
        <w:rPr>
          <w:sz w:val="20"/>
          <w:szCs w:val="20"/>
        </w:rPr>
        <w:t>iving Company will, and Parent will cause the Surviving Company to, honor and fulfill all obligations of the Company under (i) any indemnification, advancement of expenses and exculpation provision set forth in any memorandum and articles of association or</w:t>
      </w:r>
      <w:r>
        <w:rPr>
          <w:sz w:val="20"/>
          <w:szCs w:val="20"/>
        </w:rPr>
        <w:t xml:space="preserve"> comparable organizational documents of the Company or any of its subsidiaries as in effect on the date of the Original Merger Agreement, and (ii) all indemnification agreements between the Company and any of its respective current or former directors and </w:t>
      </w:r>
      <w:r>
        <w:rPr>
          <w:sz w:val="20"/>
          <w:szCs w:val="20"/>
        </w:rPr>
        <w:t>officers and any person who becomes a director or officer of the Company prior to the Effective Time.</w:t>
      </w:r>
    </w:p>
    <w:p w14:paraId="1B98BED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DDDE73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From and after the Effective Time for a period of six years, the Surviving Company will, and Parent will cause the Surviving Company to, maintain in eff</w:t>
      </w:r>
      <w:r>
        <w:rPr>
          <w:sz w:val="20"/>
          <w:szCs w:val="20"/>
        </w:rPr>
        <w:t>ect all provisions in the Surviving Company’s memorandum and articles of association and in the governing documents of the Company’s subsidiaries regarding (i) elimination of liability of directors, (ii) indemnification of officers, directors and employees</w:t>
      </w:r>
      <w:r>
        <w:rPr>
          <w:sz w:val="20"/>
          <w:szCs w:val="20"/>
        </w:rPr>
        <w:t xml:space="preserve"> and (iii) advancement of expenses, in each case, that are no less advantageous to the intended beneficiaries than the corresponding provisions in existence on the date of the Original Merger Agreement.</w:t>
      </w:r>
    </w:p>
    <w:p w14:paraId="54FD04A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9A826F4" w14:textId="77777777" w:rsidR="00000000" w:rsidRDefault="002F725F">
      <w:pPr>
        <w:pStyle w:val="NormalWeb"/>
        <w:spacing w:before="0" w:beforeAutospacing="0" w:after="0" w:afterAutospacing="0"/>
        <w:jc w:val="center"/>
        <w:divId w:val="227812173"/>
        <w:rPr>
          <w:sz w:val="20"/>
          <w:szCs w:val="20"/>
        </w:rPr>
      </w:pPr>
      <w:r>
        <w:rPr>
          <w:sz w:val="20"/>
          <w:szCs w:val="20"/>
        </w:rPr>
        <w:t>9</w:t>
      </w:r>
      <w:r>
        <w:rPr>
          <w:sz w:val="20"/>
          <w:szCs w:val="20"/>
        </w:rPr>
        <w:t>1</w:t>
      </w:r>
    </w:p>
    <w:p w14:paraId="12EB1F88" w14:textId="77777777" w:rsidR="00000000" w:rsidRDefault="002F725F">
      <w:pPr>
        <w:pStyle w:val="NormalWeb"/>
        <w:spacing w:before="0" w:beforeAutospacing="0" w:after="0" w:afterAutospacing="0"/>
        <w:divId w:val="1525635462"/>
        <w:rPr>
          <w:sz w:val="20"/>
          <w:szCs w:val="20"/>
        </w:rPr>
      </w:pPr>
      <w:r>
        <w:rPr>
          <w:sz w:val="20"/>
          <w:szCs w:val="20"/>
        </w:rPr>
        <w:t> </w:t>
      </w:r>
    </w:p>
    <w:p w14:paraId="6125636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263F6D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Prior </w:t>
      </w:r>
      <w:r>
        <w:rPr>
          <w:sz w:val="20"/>
          <w:szCs w:val="20"/>
        </w:rPr>
        <w:t>to the Effective Time, the Company may, at its option, obtain and fully pay the premium for the non-cancellable extension of the directors’ and officers’ liability coverage of the Company’s existing directors’ and officers’ insurance policies and the Compa</w:t>
      </w:r>
      <w:r>
        <w:rPr>
          <w:sz w:val="20"/>
          <w:szCs w:val="20"/>
        </w:rPr>
        <w:t>ny’s existing fiduciary liability insurance policies (collectively, “D&amp;O Insurance”), in each case for a claims reporting or discovery period ending six years from and after the Effective Time with respect to any claim related to any period of time at or p</w:t>
      </w:r>
      <w:r>
        <w:rPr>
          <w:sz w:val="20"/>
          <w:szCs w:val="20"/>
        </w:rPr>
        <w:t>rior to the Effective Time, from an insurance carrier with the same or better credit rating as the Company’s current insurance carrier with respect to D&amp;O Insurance, with terms, conditions, retentions and limits of liability that are no less favorable to t</w:t>
      </w:r>
      <w:r>
        <w:rPr>
          <w:sz w:val="20"/>
          <w:szCs w:val="20"/>
        </w:rPr>
        <w:t>he present and former officers and directors of the Company and its subsidiaries and any person who becomes a director or officer of the Company or its subsidiaries prior to the Effective Time, than the coverage provided under the Company’s existing polici</w:t>
      </w:r>
      <w:r>
        <w:rPr>
          <w:sz w:val="20"/>
          <w:szCs w:val="20"/>
        </w:rPr>
        <w:t>es with respect to any actual or alleged matter claimed such director or officer by reason of him or her serving in such capacity that existed or occurred at or prior to the Effective Time (including in connection with the Merger Agreement or the Transacti</w:t>
      </w:r>
      <w:r>
        <w:rPr>
          <w:sz w:val="20"/>
          <w:szCs w:val="20"/>
        </w:rPr>
        <w:t>ons); provided, that the maximum aggregate premium for such policies may not be in excess of 300% of the amount the Company paid for its D&amp;O Insurance in its last full fiscal year; provided further, that if the premiums of such “tail” policy exceed such am</w:t>
      </w:r>
      <w:r>
        <w:rPr>
          <w:sz w:val="20"/>
          <w:szCs w:val="20"/>
        </w:rPr>
        <w:t>ount, the Company may, at its option, obtain such a “tail” policy with the greatest coverage available, with respect to matters occurring prior to the Effective Time, for a cost not exceeding such amount. If the Company does not obtain such “tail” insuranc</w:t>
      </w:r>
      <w:r>
        <w:rPr>
          <w:sz w:val="20"/>
          <w:szCs w:val="20"/>
        </w:rPr>
        <w:t>e policies as of the Effective Time, the Surviving Company will, and Parent will cause the Surviving Company to, maintain or purchase the current D&amp;O Insurance or D&amp;O Insurance with coverage equal to or better than the Company’s existing policies, for a pe</w:t>
      </w:r>
      <w:r>
        <w:rPr>
          <w:sz w:val="20"/>
          <w:szCs w:val="20"/>
        </w:rPr>
        <w:t>riod of at least six years from and after the Effective Time, subject to the same 300% premium cap.</w:t>
      </w:r>
    </w:p>
    <w:p w14:paraId="00021A7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BBEC250" w14:textId="77777777" w:rsidR="00000000" w:rsidRDefault="002F725F">
      <w:pPr>
        <w:pStyle w:val="NormalWeb"/>
        <w:spacing w:before="0" w:beforeAutospacing="0" w:after="0" w:afterAutospacing="0"/>
        <w:jc w:val="both"/>
        <w:divId w:val="415980837"/>
        <w:rPr>
          <w:sz w:val="20"/>
          <w:szCs w:val="20"/>
        </w:rPr>
      </w:pPr>
      <w:r>
        <w:rPr>
          <w:b/>
          <w:bCs/>
          <w:sz w:val="20"/>
          <w:szCs w:val="20"/>
        </w:rPr>
        <w:lastRenderedPageBreak/>
        <w:t>Financing</w:t>
      </w:r>
    </w:p>
    <w:p w14:paraId="10316AE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2DF00A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Each of Parent and Merger Sub will use its reasonable best efforts to (a) obtain the financing under the Equity Commitment Letter on the terms</w:t>
      </w:r>
      <w:r>
        <w:rPr>
          <w:sz w:val="20"/>
          <w:szCs w:val="20"/>
        </w:rPr>
        <w:t xml:space="preserve"> and conditions described therein; (b) maintain in effect the Equity Commitment Letter until the Transactions are consummated; (c) satisfy, or cause to be satisfied, on a timely basis all conditions to the closing of and funding under the Equity Commitment</w:t>
      </w:r>
      <w:r>
        <w:rPr>
          <w:sz w:val="20"/>
          <w:szCs w:val="20"/>
        </w:rPr>
        <w:t xml:space="preserve"> Letters applicable to Parent or Merger Sub that are within its control, if any; (d) seek to enforce its rights under the Equity Commitment Letter; and (e) consummate the financing under the Equity Commitment Letter at or prior to the Effective Time.</w:t>
      </w:r>
    </w:p>
    <w:p w14:paraId="5028CD4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856EE2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w:t>
      </w:r>
      <w:r>
        <w:rPr>
          <w:sz w:val="20"/>
          <w:szCs w:val="20"/>
        </w:rPr>
        <w:t>h of Parent and Merger Sub acknowledges and agrees that it may not be a condition to closing for Parent or Merger Sub to obtain the financing under the Equity Commitment Letter and reaffirmed its obligation to consummate the Transactions on the terms and s</w:t>
      </w:r>
      <w:r>
        <w:rPr>
          <w:sz w:val="20"/>
          <w:szCs w:val="20"/>
        </w:rPr>
        <w:t>ubject to the conditions set forth in the Merger Agreement, irrespective and independent of the availability of such financing.</w:t>
      </w:r>
    </w:p>
    <w:p w14:paraId="49FA7F0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9E8AA08" w14:textId="77777777" w:rsidR="00000000" w:rsidRDefault="002F725F">
      <w:pPr>
        <w:pStyle w:val="NormalWeb"/>
        <w:spacing w:before="0" w:beforeAutospacing="0" w:after="0" w:afterAutospacing="0"/>
        <w:jc w:val="both"/>
        <w:divId w:val="415980837"/>
        <w:rPr>
          <w:sz w:val="20"/>
          <w:szCs w:val="20"/>
        </w:rPr>
      </w:pPr>
      <w:r>
        <w:rPr>
          <w:b/>
          <w:bCs/>
          <w:sz w:val="20"/>
          <w:szCs w:val="20"/>
        </w:rPr>
        <w:t>Reasonable Best Efforts</w:t>
      </w:r>
    </w:p>
    <w:p w14:paraId="5DCFB0F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3C61A6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Each of the parties to the Merger Agreement and their respective Representatives will use its reason</w:t>
      </w:r>
      <w:r>
        <w:rPr>
          <w:sz w:val="20"/>
          <w:szCs w:val="20"/>
        </w:rPr>
        <w:t xml:space="preserve">able best efforts to promptly (i) take, or cause to be taken, all actions, and do, or cause to be done, and assist and cooperate with the other parties in doing all things necessary, proper or advisable under applicable laws or otherwise to consummate and </w:t>
      </w:r>
      <w:r>
        <w:rPr>
          <w:sz w:val="20"/>
          <w:szCs w:val="20"/>
        </w:rPr>
        <w:t>make effective the Transactions; (ii) make all registrations, filings, notifications or submissions which are necessary or advisable, and thereafter make any other required submissions, with respect to the Merger Agreement and the Merger required under any</w:t>
      </w:r>
      <w:r>
        <w:rPr>
          <w:sz w:val="20"/>
          <w:szCs w:val="20"/>
        </w:rPr>
        <w:t xml:space="preserve"> applicable law; (iii) furnish all information required for any application or other filing to be made pursuant to any applicable law in connection with the Transactions; (iv) execute and deliver any additional instruments necessary to consummate the Trans</w:t>
      </w:r>
      <w:r>
        <w:rPr>
          <w:sz w:val="20"/>
          <w:szCs w:val="20"/>
        </w:rPr>
        <w:t>actions; (v) keep the other parties to the Merger Agreement promptly (and in any event within three days) informed in all material respects of any material communication received by such party, or given by such party, in connection with any proceeding by a</w:t>
      </w:r>
      <w:r>
        <w:rPr>
          <w:sz w:val="20"/>
          <w:szCs w:val="20"/>
        </w:rPr>
        <w:t xml:space="preserve"> private party, in each case relating to the Transactions; (vi) permit the other parties to the Merger Agreement to review any material communication (and considering the other parties’ reasonable comments thereto) delivered to, and consulting with the oth</w:t>
      </w:r>
      <w:r>
        <w:rPr>
          <w:sz w:val="20"/>
          <w:szCs w:val="20"/>
        </w:rPr>
        <w:t>er parties in advance of any meeting or conference with, any private party in connection with any proceeding by a private party relating thereto, and giving the other parties the opportunity to attend and participate in such meetings and conferences (to th</w:t>
      </w:r>
      <w:r>
        <w:rPr>
          <w:sz w:val="20"/>
          <w:szCs w:val="20"/>
        </w:rPr>
        <w:t>e extent permitted by such private party); and (vii) avoid the entry of, or have vacated or terminated, any decree, order, or judgment that would restrain, prevent or delay the consummation of the Transactions, including defending any lawsuits or other leg</w:t>
      </w:r>
      <w:r>
        <w:rPr>
          <w:sz w:val="20"/>
          <w:szCs w:val="20"/>
        </w:rPr>
        <w:t>al proceedings, whether judicial or administrative, challenging the Merger Agreement or the consummation of the Transactions.</w:t>
      </w:r>
    </w:p>
    <w:p w14:paraId="61EFAD3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2D61CD5" w14:textId="77777777" w:rsidR="00000000" w:rsidRDefault="002F725F">
      <w:pPr>
        <w:pStyle w:val="NormalWeb"/>
        <w:spacing w:before="0" w:beforeAutospacing="0" w:after="0" w:afterAutospacing="0"/>
        <w:jc w:val="center"/>
        <w:divId w:val="2054301928"/>
        <w:rPr>
          <w:sz w:val="20"/>
          <w:szCs w:val="20"/>
        </w:rPr>
      </w:pPr>
      <w:r>
        <w:rPr>
          <w:sz w:val="20"/>
          <w:szCs w:val="20"/>
        </w:rPr>
        <w:t>9</w:t>
      </w:r>
      <w:r>
        <w:rPr>
          <w:sz w:val="20"/>
          <w:szCs w:val="20"/>
        </w:rPr>
        <w:t>2</w:t>
      </w:r>
    </w:p>
    <w:p w14:paraId="2B1CF424" w14:textId="77777777" w:rsidR="00000000" w:rsidRDefault="002F725F">
      <w:pPr>
        <w:pStyle w:val="NormalWeb"/>
        <w:spacing w:before="0" w:beforeAutospacing="0" w:after="0" w:afterAutospacing="0"/>
        <w:divId w:val="1366171396"/>
        <w:rPr>
          <w:sz w:val="20"/>
          <w:szCs w:val="20"/>
        </w:rPr>
      </w:pPr>
      <w:r>
        <w:rPr>
          <w:sz w:val="20"/>
          <w:szCs w:val="20"/>
        </w:rPr>
        <w:t> </w:t>
      </w:r>
    </w:p>
    <w:p w14:paraId="10CEDDF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B266B93" w14:textId="77777777" w:rsidR="00000000" w:rsidRDefault="002F725F">
      <w:pPr>
        <w:pStyle w:val="NormalWeb"/>
        <w:spacing w:before="0" w:beforeAutospacing="0" w:after="0" w:afterAutospacing="0"/>
        <w:jc w:val="both"/>
        <w:divId w:val="415980837"/>
        <w:rPr>
          <w:sz w:val="20"/>
          <w:szCs w:val="20"/>
        </w:rPr>
      </w:pPr>
      <w:r>
        <w:rPr>
          <w:b/>
          <w:bCs/>
          <w:sz w:val="20"/>
          <w:szCs w:val="20"/>
        </w:rPr>
        <w:t>Certain Additional Covenants</w:t>
      </w:r>
    </w:p>
    <w:p w14:paraId="3BF9E99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D8394E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Parent and Merger Sub have also agreed to certain additional covenants relati</w:t>
      </w:r>
      <w:r>
        <w:rPr>
          <w:sz w:val="20"/>
          <w:szCs w:val="20"/>
        </w:rPr>
        <w:t>ng to, among other things, the following:</w:t>
      </w:r>
    </w:p>
    <w:p w14:paraId="3BF3771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F5C66DF" w14:textId="77777777">
        <w:trPr>
          <w:divId w:val="415980837"/>
          <w:tblCellSpacing w:w="0" w:type="dxa"/>
        </w:trPr>
        <w:tc>
          <w:tcPr>
            <w:tcW w:w="720" w:type="dxa"/>
            <w:hideMark/>
          </w:tcPr>
          <w:p w14:paraId="062BC6C8" w14:textId="77777777" w:rsidR="00000000" w:rsidRDefault="002F725F">
            <w:pPr>
              <w:rPr>
                <w:sz w:val="20"/>
                <w:szCs w:val="20"/>
              </w:rPr>
            </w:pPr>
          </w:p>
        </w:tc>
        <w:tc>
          <w:tcPr>
            <w:tcW w:w="360" w:type="dxa"/>
            <w:hideMark/>
          </w:tcPr>
          <w:p w14:paraId="5875A6F2" w14:textId="77777777" w:rsidR="00000000" w:rsidRDefault="002F725F">
            <w:pPr>
              <w:rPr>
                <w:rFonts w:eastAsia="Times New Roman"/>
                <w:sz w:val="20"/>
                <w:szCs w:val="20"/>
              </w:rPr>
            </w:pPr>
            <w:r>
              <w:rPr>
                <w:rFonts w:eastAsia="Times New Roman"/>
                <w:sz w:val="20"/>
                <w:szCs w:val="20"/>
              </w:rPr>
              <w:t>●</w:t>
            </w:r>
          </w:p>
        </w:tc>
        <w:tc>
          <w:tcPr>
            <w:tcW w:w="0" w:type="auto"/>
            <w:hideMark/>
          </w:tcPr>
          <w:p w14:paraId="349265E9" w14:textId="77777777" w:rsidR="00000000" w:rsidRDefault="002F725F">
            <w:pPr>
              <w:jc w:val="both"/>
              <w:rPr>
                <w:rFonts w:eastAsia="Times New Roman"/>
                <w:sz w:val="20"/>
                <w:szCs w:val="20"/>
              </w:rPr>
            </w:pPr>
            <w:r>
              <w:rPr>
                <w:rFonts w:eastAsia="Times New Roman"/>
                <w:sz w:val="20"/>
                <w:szCs w:val="20"/>
              </w:rPr>
              <w:t>preparation and filing of this proxy statement and the Schedule 13E-3 with the SEC (and cooperation in response to any comments from the SEC);</w:t>
            </w:r>
          </w:p>
        </w:tc>
      </w:tr>
    </w:tbl>
    <w:p w14:paraId="46E360F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FEB2240" w14:textId="77777777">
        <w:trPr>
          <w:divId w:val="415980837"/>
          <w:tblCellSpacing w:w="0" w:type="dxa"/>
        </w:trPr>
        <w:tc>
          <w:tcPr>
            <w:tcW w:w="720" w:type="dxa"/>
            <w:hideMark/>
          </w:tcPr>
          <w:p w14:paraId="1C0AAEA2" w14:textId="77777777" w:rsidR="00000000" w:rsidRDefault="002F725F">
            <w:pPr>
              <w:rPr>
                <w:sz w:val="20"/>
                <w:szCs w:val="20"/>
              </w:rPr>
            </w:pPr>
          </w:p>
        </w:tc>
        <w:tc>
          <w:tcPr>
            <w:tcW w:w="360" w:type="dxa"/>
            <w:hideMark/>
          </w:tcPr>
          <w:p w14:paraId="60DA2F5A" w14:textId="77777777" w:rsidR="00000000" w:rsidRDefault="002F725F">
            <w:pPr>
              <w:rPr>
                <w:rFonts w:eastAsia="Times New Roman"/>
                <w:sz w:val="20"/>
                <w:szCs w:val="20"/>
              </w:rPr>
            </w:pPr>
            <w:r>
              <w:rPr>
                <w:rFonts w:eastAsia="Times New Roman"/>
                <w:sz w:val="20"/>
                <w:szCs w:val="20"/>
              </w:rPr>
              <w:t>●</w:t>
            </w:r>
          </w:p>
        </w:tc>
        <w:tc>
          <w:tcPr>
            <w:tcW w:w="0" w:type="auto"/>
            <w:hideMark/>
          </w:tcPr>
          <w:p w14:paraId="2D5779DF" w14:textId="77777777" w:rsidR="00000000" w:rsidRDefault="002F725F">
            <w:pPr>
              <w:jc w:val="both"/>
              <w:rPr>
                <w:rFonts w:eastAsia="Times New Roman"/>
                <w:sz w:val="20"/>
                <w:szCs w:val="20"/>
              </w:rPr>
            </w:pPr>
            <w:r>
              <w:rPr>
                <w:rFonts w:eastAsia="Times New Roman"/>
                <w:sz w:val="20"/>
                <w:szCs w:val="20"/>
              </w:rPr>
              <w:t>reasonable access by Parent and its authorized Representatives to the properties, books, records and personnel of the Company and its subsidiaries;</w:t>
            </w:r>
          </w:p>
        </w:tc>
      </w:tr>
    </w:tbl>
    <w:p w14:paraId="4A8DBA9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EF4484B" w14:textId="77777777">
        <w:trPr>
          <w:divId w:val="415980837"/>
          <w:tblCellSpacing w:w="0" w:type="dxa"/>
        </w:trPr>
        <w:tc>
          <w:tcPr>
            <w:tcW w:w="720" w:type="dxa"/>
            <w:hideMark/>
          </w:tcPr>
          <w:p w14:paraId="3A3C9F7B" w14:textId="77777777" w:rsidR="00000000" w:rsidRDefault="002F725F">
            <w:pPr>
              <w:rPr>
                <w:sz w:val="20"/>
                <w:szCs w:val="20"/>
              </w:rPr>
            </w:pPr>
          </w:p>
        </w:tc>
        <w:tc>
          <w:tcPr>
            <w:tcW w:w="360" w:type="dxa"/>
            <w:hideMark/>
          </w:tcPr>
          <w:p w14:paraId="42BEFCFD" w14:textId="77777777" w:rsidR="00000000" w:rsidRDefault="002F725F">
            <w:pPr>
              <w:rPr>
                <w:rFonts w:eastAsia="Times New Roman"/>
                <w:sz w:val="20"/>
                <w:szCs w:val="20"/>
              </w:rPr>
            </w:pPr>
            <w:r>
              <w:rPr>
                <w:rFonts w:eastAsia="Times New Roman"/>
                <w:sz w:val="20"/>
                <w:szCs w:val="20"/>
              </w:rPr>
              <w:t>●</w:t>
            </w:r>
          </w:p>
        </w:tc>
        <w:tc>
          <w:tcPr>
            <w:tcW w:w="0" w:type="auto"/>
            <w:hideMark/>
          </w:tcPr>
          <w:p w14:paraId="33FC3E71" w14:textId="77777777" w:rsidR="00000000" w:rsidRDefault="002F725F">
            <w:pPr>
              <w:jc w:val="both"/>
              <w:rPr>
                <w:rFonts w:eastAsia="Times New Roman"/>
                <w:sz w:val="20"/>
                <w:szCs w:val="20"/>
              </w:rPr>
            </w:pPr>
            <w:r>
              <w:rPr>
                <w:rFonts w:eastAsia="Times New Roman"/>
                <w:sz w:val="20"/>
                <w:szCs w:val="20"/>
              </w:rPr>
              <w:t>consultation with respect to press releases relating to the Merger Agreement and the Transactions;</w:t>
            </w:r>
          </w:p>
        </w:tc>
      </w:tr>
    </w:tbl>
    <w:p w14:paraId="2C865DE2"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5E20ECC" w14:textId="77777777">
        <w:trPr>
          <w:divId w:val="415980837"/>
          <w:tblCellSpacing w:w="0" w:type="dxa"/>
        </w:trPr>
        <w:tc>
          <w:tcPr>
            <w:tcW w:w="720" w:type="dxa"/>
            <w:hideMark/>
          </w:tcPr>
          <w:p w14:paraId="39CC6BA9" w14:textId="77777777" w:rsidR="00000000" w:rsidRDefault="002F725F">
            <w:pPr>
              <w:rPr>
                <w:sz w:val="20"/>
                <w:szCs w:val="20"/>
              </w:rPr>
            </w:pPr>
          </w:p>
        </w:tc>
        <w:tc>
          <w:tcPr>
            <w:tcW w:w="360" w:type="dxa"/>
            <w:hideMark/>
          </w:tcPr>
          <w:p w14:paraId="724B13F3" w14:textId="77777777" w:rsidR="00000000" w:rsidRDefault="002F725F">
            <w:pPr>
              <w:rPr>
                <w:rFonts w:eastAsia="Times New Roman"/>
                <w:sz w:val="20"/>
                <w:szCs w:val="20"/>
              </w:rPr>
            </w:pPr>
            <w:r>
              <w:rPr>
                <w:rFonts w:eastAsia="Times New Roman"/>
                <w:sz w:val="20"/>
                <w:szCs w:val="20"/>
              </w:rPr>
              <w:t>●</w:t>
            </w:r>
          </w:p>
        </w:tc>
        <w:tc>
          <w:tcPr>
            <w:tcW w:w="0" w:type="auto"/>
            <w:hideMark/>
          </w:tcPr>
          <w:p w14:paraId="45493E26" w14:textId="77777777" w:rsidR="00000000" w:rsidRDefault="002F725F">
            <w:pPr>
              <w:jc w:val="both"/>
              <w:rPr>
                <w:rFonts w:eastAsia="Times New Roman"/>
                <w:sz w:val="20"/>
                <w:szCs w:val="20"/>
              </w:rPr>
            </w:pPr>
            <w:r>
              <w:rPr>
                <w:rFonts w:eastAsia="Times New Roman"/>
                <w:sz w:val="20"/>
                <w:szCs w:val="20"/>
              </w:rPr>
              <w:t>dealing with takeover statutes;</w:t>
            </w:r>
          </w:p>
        </w:tc>
      </w:tr>
    </w:tbl>
    <w:p w14:paraId="6C5E7D86"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6DA0025" w14:textId="77777777">
        <w:trPr>
          <w:divId w:val="415980837"/>
          <w:tblCellSpacing w:w="0" w:type="dxa"/>
        </w:trPr>
        <w:tc>
          <w:tcPr>
            <w:tcW w:w="720" w:type="dxa"/>
            <w:hideMark/>
          </w:tcPr>
          <w:p w14:paraId="00028095" w14:textId="77777777" w:rsidR="00000000" w:rsidRDefault="002F725F">
            <w:pPr>
              <w:rPr>
                <w:sz w:val="20"/>
                <w:szCs w:val="20"/>
              </w:rPr>
            </w:pPr>
          </w:p>
        </w:tc>
        <w:tc>
          <w:tcPr>
            <w:tcW w:w="360" w:type="dxa"/>
            <w:hideMark/>
          </w:tcPr>
          <w:p w14:paraId="7B0B9430" w14:textId="77777777" w:rsidR="00000000" w:rsidRDefault="002F725F">
            <w:pPr>
              <w:rPr>
                <w:rFonts w:eastAsia="Times New Roman"/>
                <w:sz w:val="20"/>
                <w:szCs w:val="20"/>
              </w:rPr>
            </w:pPr>
            <w:r>
              <w:rPr>
                <w:rFonts w:eastAsia="Times New Roman"/>
                <w:sz w:val="20"/>
                <w:szCs w:val="20"/>
              </w:rPr>
              <w:t>●</w:t>
            </w:r>
          </w:p>
        </w:tc>
        <w:tc>
          <w:tcPr>
            <w:tcW w:w="0" w:type="auto"/>
            <w:hideMark/>
          </w:tcPr>
          <w:p w14:paraId="06410142" w14:textId="77777777" w:rsidR="00000000" w:rsidRDefault="002F725F">
            <w:pPr>
              <w:jc w:val="both"/>
              <w:rPr>
                <w:rFonts w:eastAsia="Times New Roman"/>
                <w:sz w:val="20"/>
                <w:szCs w:val="20"/>
              </w:rPr>
            </w:pPr>
            <w:r>
              <w:rPr>
                <w:rFonts w:eastAsia="Times New Roman"/>
                <w:sz w:val="20"/>
                <w:szCs w:val="20"/>
              </w:rPr>
              <w:t>deregistration of the Shares and Company Warrants under the Exchange Act;</w:t>
            </w:r>
          </w:p>
        </w:tc>
      </w:tr>
    </w:tbl>
    <w:p w14:paraId="744443A2"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C1A838F" w14:textId="77777777">
        <w:trPr>
          <w:divId w:val="415980837"/>
          <w:tblCellSpacing w:w="0" w:type="dxa"/>
        </w:trPr>
        <w:tc>
          <w:tcPr>
            <w:tcW w:w="720" w:type="dxa"/>
            <w:hideMark/>
          </w:tcPr>
          <w:p w14:paraId="79E3A6E4" w14:textId="77777777" w:rsidR="00000000" w:rsidRDefault="002F725F">
            <w:pPr>
              <w:rPr>
                <w:sz w:val="20"/>
                <w:szCs w:val="20"/>
              </w:rPr>
            </w:pPr>
          </w:p>
        </w:tc>
        <w:tc>
          <w:tcPr>
            <w:tcW w:w="360" w:type="dxa"/>
            <w:hideMark/>
          </w:tcPr>
          <w:p w14:paraId="2D868193" w14:textId="77777777" w:rsidR="00000000" w:rsidRDefault="002F725F">
            <w:pPr>
              <w:rPr>
                <w:rFonts w:eastAsia="Times New Roman"/>
                <w:sz w:val="20"/>
                <w:szCs w:val="20"/>
              </w:rPr>
            </w:pPr>
            <w:r>
              <w:rPr>
                <w:rFonts w:eastAsia="Times New Roman"/>
                <w:sz w:val="20"/>
                <w:szCs w:val="20"/>
              </w:rPr>
              <w:t>●</w:t>
            </w:r>
          </w:p>
        </w:tc>
        <w:tc>
          <w:tcPr>
            <w:tcW w:w="0" w:type="auto"/>
            <w:hideMark/>
          </w:tcPr>
          <w:p w14:paraId="1C25AAEA" w14:textId="77777777" w:rsidR="00000000" w:rsidRDefault="002F725F">
            <w:pPr>
              <w:jc w:val="both"/>
              <w:rPr>
                <w:rFonts w:eastAsia="Times New Roman"/>
                <w:sz w:val="20"/>
                <w:szCs w:val="20"/>
              </w:rPr>
            </w:pPr>
            <w:r>
              <w:rPr>
                <w:rFonts w:eastAsia="Times New Roman"/>
                <w:sz w:val="20"/>
                <w:szCs w:val="20"/>
              </w:rPr>
              <w:t>Parent’s obligation to cause Merger Sub to perform Merger Sub’s obligations under the Merger Agreement;</w:t>
            </w:r>
          </w:p>
        </w:tc>
      </w:tr>
    </w:tbl>
    <w:p w14:paraId="5035F9C3"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CADA4A7" w14:textId="77777777">
        <w:trPr>
          <w:divId w:val="415980837"/>
          <w:tblCellSpacing w:w="0" w:type="dxa"/>
        </w:trPr>
        <w:tc>
          <w:tcPr>
            <w:tcW w:w="720" w:type="dxa"/>
            <w:hideMark/>
          </w:tcPr>
          <w:p w14:paraId="41BB8E93" w14:textId="77777777" w:rsidR="00000000" w:rsidRDefault="002F725F">
            <w:pPr>
              <w:rPr>
                <w:sz w:val="20"/>
                <w:szCs w:val="20"/>
              </w:rPr>
            </w:pPr>
          </w:p>
        </w:tc>
        <w:tc>
          <w:tcPr>
            <w:tcW w:w="360" w:type="dxa"/>
            <w:hideMark/>
          </w:tcPr>
          <w:p w14:paraId="535963FC" w14:textId="77777777" w:rsidR="00000000" w:rsidRDefault="002F725F">
            <w:pPr>
              <w:rPr>
                <w:rFonts w:eastAsia="Times New Roman"/>
                <w:sz w:val="20"/>
                <w:szCs w:val="20"/>
              </w:rPr>
            </w:pPr>
            <w:r>
              <w:rPr>
                <w:rFonts w:eastAsia="Times New Roman"/>
                <w:sz w:val="20"/>
                <w:szCs w:val="20"/>
              </w:rPr>
              <w:t>●</w:t>
            </w:r>
          </w:p>
        </w:tc>
        <w:tc>
          <w:tcPr>
            <w:tcW w:w="0" w:type="auto"/>
            <w:hideMark/>
          </w:tcPr>
          <w:p w14:paraId="275D986F" w14:textId="77777777" w:rsidR="00000000" w:rsidRDefault="002F725F">
            <w:pPr>
              <w:jc w:val="both"/>
              <w:rPr>
                <w:rFonts w:eastAsia="Times New Roman"/>
                <w:sz w:val="20"/>
                <w:szCs w:val="20"/>
              </w:rPr>
            </w:pPr>
            <w:r>
              <w:rPr>
                <w:rFonts w:eastAsia="Times New Roman"/>
                <w:sz w:val="20"/>
                <w:szCs w:val="20"/>
              </w:rPr>
              <w:t>participation in litigation relating to the Merger Agreement and the Transactions;</w:t>
            </w:r>
          </w:p>
        </w:tc>
      </w:tr>
    </w:tbl>
    <w:p w14:paraId="3C927BB3"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E567E40" w14:textId="77777777">
        <w:trPr>
          <w:divId w:val="415980837"/>
          <w:tblCellSpacing w:w="0" w:type="dxa"/>
        </w:trPr>
        <w:tc>
          <w:tcPr>
            <w:tcW w:w="720" w:type="dxa"/>
            <w:hideMark/>
          </w:tcPr>
          <w:p w14:paraId="5AA0647B" w14:textId="77777777" w:rsidR="00000000" w:rsidRDefault="002F725F">
            <w:pPr>
              <w:rPr>
                <w:sz w:val="20"/>
                <w:szCs w:val="20"/>
              </w:rPr>
            </w:pPr>
          </w:p>
        </w:tc>
        <w:tc>
          <w:tcPr>
            <w:tcW w:w="360" w:type="dxa"/>
            <w:hideMark/>
          </w:tcPr>
          <w:p w14:paraId="563BB672" w14:textId="77777777" w:rsidR="00000000" w:rsidRDefault="002F725F">
            <w:pPr>
              <w:rPr>
                <w:rFonts w:eastAsia="Times New Roman"/>
                <w:sz w:val="20"/>
                <w:szCs w:val="20"/>
              </w:rPr>
            </w:pPr>
            <w:r>
              <w:rPr>
                <w:rFonts w:eastAsia="Times New Roman"/>
                <w:sz w:val="20"/>
                <w:szCs w:val="20"/>
              </w:rPr>
              <w:t>●</w:t>
            </w:r>
          </w:p>
        </w:tc>
        <w:tc>
          <w:tcPr>
            <w:tcW w:w="0" w:type="auto"/>
            <w:hideMark/>
          </w:tcPr>
          <w:p w14:paraId="4BD3259B" w14:textId="77777777" w:rsidR="00000000" w:rsidRDefault="002F725F">
            <w:pPr>
              <w:jc w:val="both"/>
              <w:rPr>
                <w:rFonts w:eastAsia="Times New Roman"/>
                <w:sz w:val="20"/>
                <w:szCs w:val="20"/>
              </w:rPr>
            </w:pPr>
            <w:r>
              <w:rPr>
                <w:rFonts w:eastAsia="Times New Roman"/>
                <w:sz w:val="20"/>
                <w:szCs w:val="20"/>
              </w:rPr>
              <w:t>resignation of the directors of the Company and its subsidiaries designated by Parent;</w:t>
            </w:r>
          </w:p>
        </w:tc>
      </w:tr>
    </w:tbl>
    <w:p w14:paraId="5736606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4E9B634" w14:textId="77777777">
        <w:trPr>
          <w:divId w:val="415980837"/>
          <w:tblCellSpacing w:w="0" w:type="dxa"/>
        </w:trPr>
        <w:tc>
          <w:tcPr>
            <w:tcW w:w="720" w:type="dxa"/>
            <w:hideMark/>
          </w:tcPr>
          <w:p w14:paraId="5C1C17EB" w14:textId="77777777" w:rsidR="00000000" w:rsidRDefault="002F725F">
            <w:pPr>
              <w:rPr>
                <w:sz w:val="20"/>
                <w:szCs w:val="20"/>
              </w:rPr>
            </w:pPr>
          </w:p>
        </w:tc>
        <w:tc>
          <w:tcPr>
            <w:tcW w:w="360" w:type="dxa"/>
            <w:hideMark/>
          </w:tcPr>
          <w:p w14:paraId="3CCE726E" w14:textId="77777777" w:rsidR="00000000" w:rsidRDefault="002F725F">
            <w:pPr>
              <w:rPr>
                <w:rFonts w:eastAsia="Times New Roman"/>
                <w:sz w:val="20"/>
                <w:szCs w:val="20"/>
              </w:rPr>
            </w:pPr>
            <w:r>
              <w:rPr>
                <w:rFonts w:eastAsia="Times New Roman"/>
                <w:sz w:val="20"/>
                <w:szCs w:val="20"/>
              </w:rPr>
              <w:t>●</w:t>
            </w:r>
          </w:p>
        </w:tc>
        <w:tc>
          <w:tcPr>
            <w:tcW w:w="0" w:type="auto"/>
            <w:hideMark/>
          </w:tcPr>
          <w:p w14:paraId="5708BA8E" w14:textId="77777777" w:rsidR="00000000" w:rsidRDefault="002F725F">
            <w:pPr>
              <w:jc w:val="both"/>
              <w:rPr>
                <w:rFonts w:eastAsia="Times New Roman"/>
                <w:sz w:val="20"/>
                <w:szCs w:val="20"/>
              </w:rPr>
            </w:pPr>
            <w:r>
              <w:rPr>
                <w:rFonts w:eastAsia="Times New Roman"/>
                <w:sz w:val="20"/>
                <w:szCs w:val="20"/>
              </w:rPr>
              <w:t>no amendment to the transaction documents without the prior written consen</w:t>
            </w:r>
            <w:r>
              <w:rPr>
                <w:rFonts w:eastAsia="Times New Roman"/>
                <w:sz w:val="20"/>
                <w:szCs w:val="20"/>
              </w:rPr>
              <w:t>t of the Special Committee;</w:t>
            </w:r>
          </w:p>
        </w:tc>
      </w:tr>
    </w:tbl>
    <w:p w14:paraId="14FF897D"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158C875" w14:textId="77777777">
        <w:trPr>
          <w:divId w:val="415980837"/>
          <w:tblCellSpacing w:w="0" w:type="dxa"/>
        </w:trPr>
        <w:tc>
          <w:tcPr>
            <w:tcW w:w="720" w:type="dxa"/>
            <w:hideMark/>
          </w:tcPr>
          <w:p w14:paraId="2A4A3469" w14:textId="77777777" w:rsidR="00000000" w:rsidRDefault="002F725F">
            <w:pPr>
              <w:rPr>
                <w:sz w:val="20"/>
                <w:szCs w:val="20"/>
              </w:rPr>
            </w:pPr>
          </w:p>
        </w:tc>
        <w:tc>
          <w:tcPr>
            <w:tcW w:w="360" w:type="dxa"/>
            <w:hideMark/>
          </w:tcPr>
          <w:p w14:paraId="7BC97C3A" w14:textId="77777777" w:rsidR="00000000" w:rsidRDefault="002F725F">
            <w:pPr>
              <w:rPr>
                <w:rFonts w:eastAsia="Times New Roman"/>
                <w:sz w:val="20"/>
                <w:szCs w:val="20"/>
              </w:rPr>
            </w:pPr>
            <w:r>
              <w:rPr>
                <w:rFonts w:eastAsia="Times New Roman"/>
                <w:sz w:val="20"/>
                <w:szCs w:val="20"/>
              </w:rPr>
              <w:t>●</w:t>
            </w:r>
          </w:p>
        </w:tc>
        <w:tc>
          <w:tcPr>
            <w:tcW w:w="0" w:type="auto"/>
            <w:hideMark/>
          </w:tcPr>
          <w:p w14:paraId="7BAFC656" w14:textId="77777777" w:rsidR="00000000" w:rsidRDefault="002F725F">
            <w:pPr>
              <w:jc w:val="both"/>
              <w:rPr>
                <w:rFonts w:eastAsia="Times New Roman"/>
                <w:sz w:val="20"/>
                <w:szCs w:val="20"/>
              </w:rPr>
            </w:pPr>
            <w:r>
              <w:rPr>
                <w:rFonts w:eastAsia="Times New Roman"/>
                <w:sz w:val="20"/>
                <w:szCs w:val="20"/>
              </w:rPr>
              <w:t>actions taken at direction or acquiescence of Parent or Merger Sub; and</w:t>
            </w:r>
          </w:p>
        </w:tc>
      </w:tr>
    </w:tbl>
    <w:p w14:paraId="660EE3AE"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A930E23" w14:textId="77777777">
        <w:trPr>
          <w:divId w:val="415980837"/>
          <w:tblCellSpacing w:w="0" w:type="dxa"/>
        </w:trPr>
        <w:tc>
          <w:tcPr>
            <w:tcW w:w="720" w:type="dxa"/>
            <w:hideMark/>
          </w:tcPr>
          <w:p w14:paraId="6441665F" w14:textId="77777777" w:rsidR="00000000" w:rsidRDefault="002F725F">
            <w:pPr>
              <w:rPr>
                <w:sz w:val="20"/>
                <w:szCs w:val="20"/>
              </w:rPr>
            </w:pPr>
          </w:p>
        </w:tc>
        <w:tc>
          <w:tcPr>
            <w:tcW w:w="360" w:type="dxa"/>
            <w:hideMark/>
          </w:tcPr>
          <w:p w14:paraId="3C013463" w14:textId="77777777" w:rsidR="00000000" w:rsidRDefault="002F725F">
            <w:pPr>
              <w:rPr>
                <w:rFonts w:eastAsia="Times New Roman"/>
                <w:sz w:val="20"/>
                <w:szCs w:val="20"/>
              </w:rPr>
            </w:pPr>
            <w:r>
              <w:rPr>
                <w:rFonts w:eastAsia="Times New Roman"/>
                <w:sz w:val="20"/>
                <w:szCs w:val="20"/>
              </w:rPr>
              <w:t>●</w:t>
            </w:r>
          </w:p>
        </w:tc>
        <w:tc>
          <w:tcPr>
            <w:tcW w:w="0" w:type="auto"/>
            <w:hideMark/>
          </w:tcPr>
          <w:p w14:paraId="154386B2" w14:textId="77777777" w:rsidR="00000000" w:rsidRDefault="002F725F">
            <w:pPr>
              <w:jc w:val="both"/>
              <w:rPr>
                <w:rFonts w:eastAsia="Times New Roman"/>
                <w:sz w:val="20"/>
                <w:szCs w:val="20"/>
              </w:rPr>
            </w:pPr>
            <w:r>
              <w:rPr>
                <w:rFonts w:eastAsia="Times New Roman"/>
                <w:sz w:val="20"/>
                <w:szCs w:val="20"/>
              </w:rPr>
              <w:t>covenant regarding certain information on the Company Options and Company RSUs under the 2024 Plan.</w:t>
            </w:r>
          </w:p>
        </w:tc>
      </w:tr>
    </w:tbl>
    <w:p w14:paraId="56924CC0" w14:textId="77777777" w:rsidR="00000000" w:rsidRDefault="002F725F">
      <w:pPr>
        <w:pStyle w:val="NormalWeb"/>
        <w:spacing w:before="0" w:beforeAutospacing="0" w:after="0" w:afterAutospacing="0"/>
        <w:divId w:val="415980837"/>
        <w:rPr>
          <w:sz w:val="20"/>
          <w:szCs w:val="20"/>
        </w:rPr>
      </w:pPr>
      <w:r>
        <w:rPr>
          <w:sz w:val="20"/>
          <w:szCs w:val="20"/>
        </w:rPr>
        <w:t> </w:t>
      </w:r>
    </w:p>
    <w:p w14:paraId="45973B24" w14:textId="77777777" w:rsidR="00000000" w:rsidRDefault="002F725F">
      <w:pPr>
        <w:pStyle w:val="NormalWeb"/>
        <w:spacing w:before="0" w:beforeAutospacing="0" w:after="0" w:afterAutospacing="0"/>
        <w:jc w:val="both"/>
        <w:divId w:val="415980837"/>
        <w:rPr>
          <w:sz w:val="20"/>
          <w:szCs w:val="20"/>
        </w:rPr>
      </w:pPr>
      <w:r>
        <w:rPr>
          <w:b/>
          <w:bCs/>
          <w:sz w:val="20"/>
          <w:szCs w:val="20"/>
        </w:rPr>
        <w:t>Conditions to the Merger</w:t>
      </w:r>
    </w:p>
    <w:p w14:paraId="55C4A24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393561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respective obligations of the Company, Parent and Merger Sub to consummate the Merger are subject to the satisfaction of t</w:t>
      </w:r>
      <w:r>
        <w:rPr>
          <w:sz w:val="20"/>
          <w:szCs w:val="20"/>
        </w:rPr>
        <w:t>he following conditions:</w:t>
      </w:r>
    </w:p>
    <w:p w14:paraId="765A7C5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7BCA6B3" w14:textId="77777777">
        <w:trPr>
          <w:divId w:val="415980837"/>
          <w:tblCellSpacing w:w="0" w:type="dxa"/>
        </w:trPr>
        <w:tc>
          <w:tcPr>
            <w:tcW w:w="720" w:type="dxa"/>
            <w:hideMark/>
          </w:tcPr>
          <w:p w14:paraId="0860A9EA" w14:textId="77777777" w:rsidR="00000000" w:rsidRDefault="002F725F">
            <w:pPr>
              <w:rPr>
                <w:sz w:val="20"/>
                <w:szCs w:val="20"/>
              </w:rPr>
            </w:pPr>
          </w:p>
        </w:tc>
        <w:tc>
          <w:tcPr>
            <w:tcW w:w="360" w:type="dxa"/>
            <w:hideMark/>
          </w:tcPr>
          <w:p w14:paraId="7F63322C" w14:textId="77777777" w:rsidR="00000000" w:rsidRDefault="002F725F">
            <w:pPr>
              <w:rPr>
                <w:rFonts w:eastAsia="Times New Roman"/>
                <w:sz w:val="20"/>
                <w:szCs w:val="20"/>
              </w:rPr>
            </w:pPr>
            <w:r>
              <w:rPr>
                <w:rFonts w:eastAsia="Times New Roman"/>
                <w:sz w:val="20"/>
                <w:szCs w:val="20"/>
              </w:rPr>
              <w:t>●</w:t>
            </w:r>
          </w:p>
        </w:tc>
        <w:tc>
          <w:tcPr>
            <w:tcW w:w="0" w:type="auto"/>
            <w:hideMark/>
          </w:tcPr>
          <w:p w14:paraId="1B88BCB8" w14:textId="77777777" w:rsidR="00000000" w:rsidRDefault="002F725F">
            <w:pPr>
              <w:jc w:val="both"/>
              <w:rPr>
                <w:rFonts w:eastAsia="Times New Roman"/>
                <w:sz w:val="20"/>
                <w:szCs w:val="20"/>
              </w:rPr>
            </w:pPr>
            <w:r>
              <w:rPr>
                <w:rFonts w:eastAsia="Times New Roman"/>
                <w:sz w:val="20"/>
                <w:szCs w:val="20"/>
              </w:rPr>
              <w:t>the Company Shareholder Approval having been obtained in accordance with applicable laws and the memorandum and articles of association of the Company; and</w:t>
            </w:r>
          </w:p>
        </w:tc>
      </w:tr>
    </w:tbl>
    <w:p w14:paraId="4B54024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4C6B979" w14:textId="77777777">
        <w:trPr>
          <w:divId w:val="415980837"/>
          <w:tblCellSpacing w:w="0" w:type="dxa"/>
        </w:trPr>
        <w:tc>
          <w:tcPr>
            <w:tcW w:w="720" w:type="dxa"/>
            <w:hideMark/>
          </w:tcPr>
          <w:p w14:paraId="70E87B84" w14:textId="77777777" w:rsidR="00000000" w:rsidRDefault="002F725F">
            <w:pPr>
              <w:rPr>
                <w:sz w:val="20"/>
                <w:szCs w:val="20"/>
              </w:rPr>
            </w:pPr>
          </w:p>
        </w:tc>
        <w:tc>
          <w:tcPr>
            <w:tcW w:w="360" w:type="dxa"/>
            <w:hideMark/>
          </w:tcPr>
          <w:p w14:paraId="21D75E5B" w14:textId="77777777" w:rsidR="00000000" w:rsidRDefault="002F725F">
            <w:pPr>
              <w:rPr>
                <w:rFonts w:eastAsia="Times New Roman"/>
                <w:sz w:val="20"/>
                <w:szCs w:val="20"/>
              </w:rPr>
            </w:pPr>
            <w:r>
              <w:rPr>
                <w:rFonts w:eastAsia="Times New Roman"/>
                <w:sz w:val="20"/>
                <w:szCs w:val="20"/>
              </w:rPr>
              <w:t>●</w:t>
            </w:r>
          </w:p>
        </w:tc>
        <w:tc>
          <w:tcPr>
            <w:tcW w:w="0" w:type="auto"/>
            <w:hideMark/>
          </w:tcPr>
          <w:p w14:paraId="5E4B9602" w14:textId="77777777" w:rsidR="00000000" w:rsidRDefault="002F725F">
            <w:pPr>
              <w:jc w:val="both"/>
              <w:rPr>
                <w:rFonts w:eastAsia="Times New Roman"/>
                <w:sz w:val="20"/>
                <w:szCs w:val="20"/>
              </w:rPr>
            </w:pPr>
            <w:r>
              <w:rPr>
                <w:rFonts w:eastAsia="Times New Roman"/>
                <w:sz w:val="20"/>
                <w:szCs w:val="20"/>
              </w:rPr>
              <w:t xml:space="preserve">no governmental entity of any competent jurisdiction having enacted, issued, promulgated, enforced or entered any order or law or taken any other action which is then in effect (whether temporary, preliminary or permanent) and has the effect of enjoining, </w:t>
            </w:r>
            <w:r>
              <w:rPr>
                <w:rFonts w:eastAsia="Times New Roman"/>
                <w:sz w:val="20"/>
                <w:szCs w:val="20"/>
              </w:rPr>
              <w:t>restraining, prohibiting or otherwise making illegal the consummation of the Transactions.</w:t>
            </w:r>
          </w:p>
        </w:tc>
      </w:tr>
    </w:tbl>
    <w:p w14:paraId="26C61C44" w14:textId="77777777" w:rsidR="00000000" w:rsidRDefault="002F725F">
      <w:pPr>
        <w:pStyle w:val="NormalWeb"/>
        <w:spacing w:before="0" w:beforeAutospacing="0" w:after="0" w:afterAutospacing="0"/>
        <w:divId w:val="415980837"/>
        <w:rPr>
          <w:sz w:val="20"/>
          <w:szCs w:val="20"/>
        </w:rPr>
      </w:pPr>
      <w:r>
        <w:rPr>
          <w:sz w:val="20"/>
          <w:szCs w:val="20"/>
        </w:rPr>
        <w:t> </w:t>
      </w:r>
    </w:p>
    <w:p w14:paraId="1937373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obligations of Parent and Merger Sub to effect the Merger are also subject to the satisfaction or waiver by Parent and Merger Sub of the following conditions:</w:t>
      </w:r>
    </w:p>
    <w:p w14:paraId="764E230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726B5A2" w14:textId="77777777">
        <w:trPr>
          <w:divId w:val="415980837"/>
          <w:tblCellSpacing w:w="0" w:type="dxa"/>
        </w:trPr>
        <w:tc>
          <w:tcPr>
            <w:tcW w:w="720" w:type="dxa"/>
            <w:hideMark/>
          </w:tcPr>
          <w:p w14:paraId="2EA1B807" w14:textId="77777777" w:rsidR="00000000" w:rsidRDefault="002F725F">
            <w:pPr>
              <w:rPr>
                <w:sz w:val="20"/>
                <w:szCs w:val="20"/>
              </w:rPr>
            </w:pPr>
          </w:p>
        </w:tc>
        <w:tc>
          <w:tcPr>
            <w:tcW w:w="360" w:type="dxa"/>
            <w:hideMark/>
          </w:tcPr>
          <w:p w14:paraId="0D1DB64B" w14:textId="77777777" w:rsidR="00000000" w:rsidRDefault="002F725F">
            <w:pPr>
              <w:rPr>
                <w:rFonts w:eastAsia="Times New Roman"/>
                <w:sz w:val="20"/>
                <w:szCs w:val="20"/>
              </w:rPr>
            </w:pPr>
            <w:r>
              <w:rPr>
                <w:rFonts w:eastAsia="Times New Roman"/>
                <w:sz w:val="20"/>
                <w:szCs w:val="20"/>
              </w:rPr>
              <w:t>●</w:t>
            </w:r>
          </w:p>
        </w:tc>
        <w:tc>
          <w:tcPr>
            <w:tcW w:w="0" w:type="auto"/>
            <w:hideMark/>
          </w:tcPr>
          <w:p w14:paraId="47E7153E" w14:textId="77777777" w:rsidR="00000000" w:rsidRDefault="002F725F">
            <w:pPr>
              <w:jc w:val="both"/>
              <w:rPr>
                <w:rFonts w:eastAsia="Times New Roman"/>
                <w:sz w:val="20"/>
                <w:szCs w:val="20"/>
              </w:rPr>
            </w:pPr>
            <w:r>
              <w:rPr>
                <w:rFonts w:eastAsia="Times New Roman"/>
                <w:sz w:val="20"/>
                <w:szCs w:val="20"/>
              </w:rPr>
              <w:t>(i) the representations and warranties of the Company relating to corporate organization, capitalization, authorization relative to the Merger Agreement, absence of Company Material Adverse Effect, and brokers or finders being true and correct in all</w:t>
            </w:r>
            <w:r>
              <w:rPr>
                <w:rFonts w:eastAsia="Times New Roman"/>
                <w:sz w:val="20"/>
                <w:szCs w:val="20"/>
              </w:rPr>
              <w:t xml:space="preserve"> respects (except, for </w:t>
            </w:r>
            <w:r>
              <w:rPr>
                <w:rFonts w:eastAsia="Times New Roman"/>
                <w:i/>
                <w:iCs/>
                <w:sz w:val="20"/>
                <w:szCs w:val="20"/>
              </w:rPr>
              <w:t>de minimis</w:t>
            </w:r>
            <w:r>
              <w:rPr>
                <w:rFonts w:eastAsia="Times New Roman"/>
                <w:sz w:val="20"/>
                <w:szCs w:val="20"/>
              </w:rPr>
              <w:t xml:space="preserve"> inaccuracies) as of the date of the Original Merger Agreement and as of the closing date, as though made on and as of such date and time (except to the extent expressly made as of an earlier date, in which case as of such </w:t>
            </w:r>
            <w:r>
              <w:rPr>
                <w:rFonts w:eastAsia="Times New Roman"/>
                <w:sz w:val="20"/>
                <w:szCs w:val="20"/>
              </w:rPr>
              <w:t>earlier date), and (ii) the other representations and warranties of the Company in the Merger Agreement (disregarding any limitation as to “materiality” or “Company Material Adverse Effect”) being true and correct in all respects as of the date of the Orig</w:t>
            </w:r>
            <w:r>
              <w:rPr>
                <w:rFonts w:eastAsia="Times New Roman"/>
                <w:sz w:val="20"/>
                <w:szCs w:val="20"/>
              </w:rPr>
              <w:t>inal Merger Agreement and as of the closing date, as though made on and as of such date and time (other than those representations and warranties that address matters only as of a particular date or only with respect to a specific period of time, which nee</w:t>
            </w:r>
            <w:r>
              <w:rPr>
                <w:rFonts w:eastAsia="Times New Roman"/>
                <w:sz w:val="20"/>
                <w:szCs w:val="20"/>
              </w:rPr>
              <w:t>d only be true and correct as of such date or with respect to such period), except to the extent such failures to be true and correct, individually or in the aggregate, has not had and would not reasonably be expected to have a Company Material Adverse Eff</w:t>
            </w:r>
            <w:r>
              <w:rPr>
                <w:rFonts w:eastAsia="Times New Roman"/>
                <w:sz w:val="20"/>
                <w:szCs w:val="20"/>
              </w:rPr>
              <w:t>ect;</w:t>
            </w:r>
          </w:p>
        </w:tc>
      </w:tr>
    </w:tbl>
    <w:p w14:paraId="7312AD9D"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1CA7FA4" w14:textId="77777777">
        <w:trPr>
          <w:divId w:val="415980837"/>
          <w:tblCellSpacing w:w="0" w:type="dxa"/>
        </w:trPr>
        <w:tc>
          <w:tcPr>
            <w:tcW w:w="720" w:type="dxa"/>
            <w:hideMark/>
          </w:tcPr>
          <w:p w14:paraId="2E9B4EDB" w14:textId="77777777" w:rsidR="00000000" w:rsidRDefault="002F725F">
            <w:pPr>
              <w:rPr>
                <w:sz w:val="20"/>
                <w:szCs w:val="20"/>
              </w:rPr>
            </w:pPr>
          </w:p>
        </w:tc>
        <w:tc>
          <w:tcPr>
            <w:tcW w:w="360" w:type="dxa"/>
            <w:hideMark/>
          </w:tcPr>
          <w:p w14:paraId="172CF3EA" w14:textId="77777777" w:rsidR="00000000" w:rsidRDefault="002F725F">
            <w:pPr>
              <w:rPr>
                <w:rFonts w:eastAsia="Times New Roman"/>
                <w:sz w:val="20"/>
                <w:szCs w:val="20"/>
              </w:rPr>
            </w:pPr>
            <w:r>
              <w:rPr>
                <w:rFonts w:eastAsia="Times New Roman"/>
                <w:sz w:val="20"/>
                <w:szCs w:val="20"/>
              </w:rPr>
              <w:t>●</w:t>
            </w:r>
          </w:p>
        </w:tc>
        <w:tc>
          <w:tcPr>
            <w:tcW w:w="0" w:type="auto"/>
            <w:hideMark/>
          </w:tcPr>
          <w:p w14:paraId="32960F02" w14:textId="77777777" w:rsidR="00000000" w:rsidRDefault="002F725F">
            <w:pPr>
              <w:jc w:val="both"/>
              <w:rPr>
                <w:rFonts w:eastAsia="Times New Roman"/>
                <w:sz w:val="20"/>
                <w:szCs w:val="20"/>
              </w:rPr>
            </w:pPr>
            <w:r>
              <w:rPr>
                <w:rFonts w:eastAsia="Times New Roman"/>
                <w:sz w:val="20"/>
                <w:szCs w:val="20"/>
              </w:rPr>
              <w:t>the Company having performed or complied in all material respects with all obligations and covenants required to be performed or complied with by it under the Merger Agreement at or prior to the closing ;</w:t>
            </w:r>
          </w:p>
        </w:tc>
      </w:tr>
    </w:tbl>
    <w:p w14:paraId="108F8E1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60FEE5B" w14:textId="77777777">
        <w:trPr>
          <w:divId w:val="415980837"/>
          <w:tblCellSpacing w:w="0" w:type="dxa"/>
        </w:trPr>
        <w:tc>
          <w:tcPr>
            <w:tcW w:w="720" w:type="dxa"/>
            <w:hideMark/>
          </w:tcPr>
          <w:p w14:paraId="6E4B0E8D" w14:textId="77777777" w:rsidR="00000000" w:rsidRDefault="002F725F">
            <w:pPr>
              <w:rPr>
                <w:sz w:val="20"/>
                <w:szCs w:val="20"/>
              </w:rPr>
            </w:pPr>
          </w:p>
        </w:tc>
        <w:tc>
          <w:tcPr>
            <w:tcW w:w="360" w:type="dxa"/>
            <w:hideMark/>
          </w:tcPr>
          <w:p w14:paraId="507A1D46" w14:textId="77777777" w:rsidR="00000000" w:rsidRDefault="002F725F">
            <w:pPr>
              <w:rPr>
                <w:rFonts w:eastAsia="Times New Roman"/>
                <w:sz w:val="20"/>
                <w:szCs w:val="20"/>
              </w:rPr>
            </w:pPr>
            <w:r>
              <w:rPr>
                <w:rFonts w:eastAsia="Times New Roman"/>
                <w:sz w:val="20"/>
                <w:szCs w:val="20"/>
              </w:rPr>
              <w:t>●</w:t>
            </w:r>
          </w:p>
        </w:tc>
        <w:tc>
          <w:tcPr>
            <w:tcW w:w="0" w:type="auto"/>
            <w:hideMark/>
          </w:tcPr>
          <w:p w14:paraId="77C1EF8D" w14:textId="77777777" w:rsidR="00000000" w:rsidRDefault="002F725F">
            <w:pPr>
              <w:jc w:val="both"/>
              <w:rPr>
                <w:rFonts w:eastAsia="Times New Roman"/>
                <w:sz w:val="20"/>
                <w:szCs w:val="20"/>
              </w:rPr>
            </w:pPr>
            <w:r>
              <w:rPr>
                <w:rFonts w:eastAsia="Times New Roman"/>
                <w:sz w:val="20"/>
                <w:szCs w:val="20"/>
              </w:rPr>
              <w:t>no Company Material Adverse Effect</w:t>
            </w:r>
            <w:r>
              <w:rPr>
                <w:rFonts w:eastAsia="Times New Roman"/>
                <w:sz w:val="20"/>
                <w:szCs w:val="20"/>
              </w:rPr>
              <w:t xml:space="preserve"> having occurred and continuing following the date of the Original Merger Agreement; and</w:t>
            </w:r>
          </w:p>
        </w:tc>
      </w:tr>
    </w:tbl>
    <w:p w14:paraId="0C37F5E6" w14:textId="77777777" w:rsidR="00000000" w:rsidRDefault="002F725F">
      <w:pPr>
        <w:pStyle w:val="NormalWeb"/>
        <w:spacing w:before="0" w:beforeAutospacing="0" w:after="0" w:afterAutospacing="0"/>
        <w:divId w:val="415980837"/>
        <w:rPr>
          <w:sz w:val="20"/>
          <w:szCs w:val="20"/>
        </w:rPr>
      </w:pPr>
      <w:r>
        <w:rPr>
          <w:sz w:val="20"/>
          <w:szCs w:val="20"/>
        </w:rPr>
        <w:t> </w:t>
      </w:r>
    </w:p>
    <w:p w14:paraId="59E12E0D" w14:textId="77777777" w:rsidR="00000000" w:rsidRDefault="002F725F">
      <w:pPr>
        <w:pStyle w:val="NormalWeb"/>
        <w:spacing w:before="0" w:beforeAutospacing="0" w:after="0" w:afterAutospacing="0"/>
        <w:jc w:val="center"/>
        <w:divId w:val="11959856"/>
        <w:rPr>
          <w:sz w:val="20"/>
          <w:szCs w:val="20"/>
        </w:rPr>
      </w:pPr>
      <w:r>
        <w:rPr>
          <w:sz w:val="20"/>
          <w:szCs w:val="20"/>
        </w:rPr>
        <w:t>9</w:t>
      </w:r>
      <w:r>
        <w:rPr>
          <w:sz w:val="20"/>
          <w:szCs w:val="20"/>
        </w:rPr>
        <w:t>3</w:t>
      </w:r>
    </w:p>
    <w:p w14:paraId="2EB09D16" w14:textId="77777777" w:rsidR="00000000" w:rsidRDefault="002F725F">
      <w:pPr>
        <w:pStyle w:val="NormalWeb"/>
        <w:spacing w:before="0" w:beforeAutospacing="0" w:after="0" w:afterAutospacing="0"/>
        <w:divId w:val="404650704"/>
        <w:rPr>
          <w:sz w:val="20"/>
          <w:szCs w:val="20"/>
        </w:rPr>
      </w:pPr>
      <w:r>
        <w:rPr>
          <w:sz w:val="20"/>
          <w:szCs w:val="20"/>
        </w:rPr>
        <w:t> </w:t>
      </w:r>
    </w:p>
    <w:p w14:paraId="48873234" w14:textId="77777777" w:rsidR="00000000" w:rsidRDefault="002F725F">
      <w:pPr>
        <w:pStyle w:val="NormalWeb"/>
        <w:spacing w:before="0" w:beforeAutospacing="0" w:after="0" w:afterAutospacing="0"/>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1EF1933" w14:textId="77777777">
        <w:trPr>
          <w:divId w:val="415980837"/>
          <w:tblCellSpacing w:w="0" w:type="dxa"/>
        </w:trPr>
        <w:tc>
          <w:tcPr>
            <w:tcW w:w="720" w:type="dxa"/>
            <w:hideMark/>
          </w:tcPr>
          <w:p w14:paraId="059DCD3C" w14:textId="77777777" w:rsidR="00000000" w:rsidRDefault="002F725F">
            <w:pPr>
              <w:rPr>
                <w:sz w:val="20"/>
                <w:szCs w:val="20"/>
              </w:rPr>
            </w:pPr>
          </w:p>
        </w:tc>
        <w:tc>
          <w:tcPr>
            <w:tcW w:w="360" w:type="dxa"/>
            <w:hideMark/>
          </w:tcPr>
          <w:p w14:paraId="11D73032" w14:textId="77777777" w:rsidR="00000000" w:rsidRDefault="002F725F">
            <w:pPr>
              <w:rPr>
                <w:rFonts w:eastAsia="Times New Roman"/>
                <w:sz w:val="20"/>
                <w:szCs w:val="20"/>
              </w:rPr>
            </w:pPr>
            <w:r>
              <w:rPr>
                <w:rFonts w:eastAsia="Times New Roman"/>
                <w:sz w:val="20"/>
                <w:szCs w:val="20"/>
              </w:rPr>
              <w:t>●</w:t>
            </w:r>
          </w:p>
        </w:tc>
        <w:tc>
          <w:tcPr>
            <w:tcW w:w="0" w:type="auto"/>
            <w:hideMark/>
          </w:tcPr>
          <w:p w14:paraId="0760A6E3" w14:textId="77777777" w:rsidR="00000000" w:rsidRDefault="002F725F">
            <w:pPr>
              <w:jc w:val="both"/>
              <w:rPr>
                <w:rFonts w:eastAsia="Times New Roman"/>
                <w:sz w:val="20"/>
                <w:szCs w:val="20"/>
              </w:rPr>
            </w:pPr>
            <w:r>
              <w:rPr>
                <w:rFonts w:eastAsia="Times New Roman"/>
                <w:sz w:val="20"/>
                <w:szCs w:val="20"/>
              </w:rPr>
              <w:t>the Company having delivered to Parent a certificate, dated as of the closing date, signed by a senior executive officer of the Company, certifying to the satisfaction of the conditions above.</w:t>
            </w:r>
          </w:p>
        </w:tc>
      </w:tr>
    </w:tbl>
    <w:p w14:paraId="6CA67EFC" w14:textId="77777777" w:rsidR="00000000" w:rsidRDefault="002F725F">
      <w:pPr>
        <w:pStyle w:val="NormalWeb"/>
        <w:spacing w:before="0" w:beforeAutospacing="0" w:after="0" w:afterAutospacing="0"/>
        <w:divId w:val="415980837"/>
        <w:rPr>
          <w:sz w:val="20"/>
          <w:szCs w:val="20"/>
        </w:rPr>
      </w:pPr>
      <w:r>
        <w:rPr>
          <w:sz w:val="20"/>
          <w:szCs w:val="20"/>
        </w:rPr>
        <w:t> </w:t>
      </w:r>
    </w:p>
    <w:p w14:paraId="4A6271F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obligations of Company to effect the Merger are also sub</w:t>
      </w:r>
      <w:r>
        <w:rPr>
          <w:sz w:val="20"/>
          <w:szCs w:val="20"/>
        </w:rPr>
        <w:t>ject to the satisfaction or waiver by Company of the following conditions :</w:t>
      </w:r>
    </w:p>
    <w:p w14:paraId="3DBC259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EE23105" w14:textId="77777777">
        <w:trPr>
          <w:divId w:val="415980837"/>
          <w:tblCellSpacing w:w="0" w:type="dxa"/>
        </w:trPr>
        <w:tc>
          <w:tcPr>
            <w:tcW w:w="720" w:type="dxa"/>
            <w:hideMark/>
          </w:tcPr>
          <w:p w14:paraId="75FA1506" w14:textId="77777777" w:rsidR="00000000" w:rsidRDefault="002F725F">
            <w:pPr>
              <w:rPr>
                <w:sz w:val="20"/>
                <w:szCs w:val="20"/>
              </w:rPr>
            </w:pPr>
          </w:p>
        </w:tc>
        <w:tc>
          <w:tcPr>
            <w:tcW w:w="360" w:type="dxa"/>
            <w:hideMark/>
          </w:tcPr>
          <w:p w14:paraId="16056FDB" w14:textId="77777777" w:rsidR="00000000" w:rsidRDefault="002F725F">
            <w:pPr>
              <w:rPr>
                <w:rFonts w:eastAsia="Times New Roman"/>
                <w:sz w:val="20"/>
                <w:szCs w:val="20"/>
              </w:rPr>
            </w:pPr>
            <w:r>
              <w:rPr>
                <w:rFonts w:eastAsia="Times New Roman"/>
                <w:sz w:val="20"/>
                <w:szCs w:val="20"/>
              </w:rPr>
              <w:t>●</w:t>
            </w:r>
          </w:p>
        </w:tc>
        <w:tc>
          <w:tcPr>
            <w:tcW w:w="0" w:type="auto"/>
            <w:hideMark/>
          </w:tcPr>
          <w:p w14:paraId="69A0F4F4" w14:textId="77777777" w:rsidR="00000000" w:rsidRDefault="002F725F">
            <w:pPr>
              <w:jc w:val="both"/>
              <w:rPr>
                <w:rFonts w:eastAsia="Times New Roman"/>
                <w:sz w:val="20"/>
                <w:szCs w:val="20"/>
              </w:rPr>
            </w:pPr>
            <w:r>
              <w:rPr>
                <w:rFonts w:eastAsia="Times New Roman"/>
                <w:sz w:val="20"/>
                <w:szCs w:val="20"/>
              </w:rPr>
              <w:t xml:space="preserve">the representations and warranties of each of Parent and Merger Sub in the Merger Agreement being true and correct as of the date of the Original Merger Agreement or the date </w:t>
            </w:r>
            <w:r>
              <w:rPr>
                <w:rFonts w:eastAsia="Times New Roman"/>
                <w:sz w:val="20"/>
                <w:szCs w:val="20"/>
              </w:rPr>
              <w:t>of Amendment No. 1 to the Merger Agreement, as applicable, and as of the closing date, as though made on such date and time (other than those representations and warranties that address matters only as of a particular date or only with respect to a specifi</w:t>
            </w:r>
            <w:r>
              <w:rPr>
                <w:rFonts w:eastAsia="Times New Roman"/>
                <w:sz w:val="20"/>
                <w:szCs w:val="20"/>
              </w:rPr>
              <w:t>c period of time, which need only be true and correct as of such date or with respect to such period), except where the failure of such representations and warranties of Parent or Merger Sub to be so true and correct (without giving effect to any limitatio</w:t>
            </w:r>
            <w:r>
              <w:rPr>
                <w:rFonts w:eastAsia="Times New Roman"/>
                <w:sz w:val="20"/>
                <w:szCs w:val="20"/>
              </w:rPr>
              <w:t>n as to “materiality” or “Parent Material Adverse Effect” (as defined below)), would not individually or in the aggregate, have a Parent Material Adverse Effect;</w:t>
            </w:r>
          </w:p>
        </w:tc>
      </w:tr>
    </w:tbl>
    <w:p w14:paraId="267F7ABD"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A062CBF" w14:textId="77777777">
        <w:trPr>
          <w:divId w:val="415980837"/>
          <w:tblCellSpacing w:w="0" w:type="dxa"/>
        </w:trPr>
        <w:tc>
          <w:tcPr>
            <w:tcW w:w="720" w:type="dxa"/>
            <w:hideMark/>
          </w:tcPr>
          <w:p w14:paraId="03946A0C" w14:textId="77777777" w:rsidR="00000000" w:rsidRDefault="002F725F">
            <w:pPr>
              <w:rPr>
                <w:sz w:val="20"/>
                <w:szCs w:val="20"/>
              </w:rPr>
            </w:pPr>
          </w:p>
        </w:tc>
        <w:tc>
          <w:tcPr>
            <w:tcW w:w="360" w:type="dxa"/>
            <w:hideMark/>
          </w:tcPr>
          <w:p w14:paraId="6FB5097A" w14:textId="77777777" w:rsidR="00000000" w:rsidRDefault="002F725F">
            <w:pPr>
              <w:rPr>
                <w:rFonts w:eastAsia="Times New Roman"/>
                <w:sz w:val="20"/>
                <w:szCs w:val="20"/>
              </w:rPr>
            </w:pPr>
            <w:r>
              <w:rPr>
                <w:rFonts w:eastAsia="Times New Roman"/>
                <w:sz w:val="20"/>
                <w:szCs w:val="20"/>
              </w:rPr>
              <w:t>●</w:t>
            </w:r>
          </w:p>
        </w:tc>
        <w:tc>
          <w:tcPr>
            <w:tcW w:w="0" w:type="auto"/>
            <w:hideMark/>
          </w:tcPr>
          <w:p w14:paraId="0F39733A" w14:textId="77777777" w:rsidR="00000000" w:rsidRDefault="002F725F">
            <w:pPr>
              <w:jc w:val="both"/>
              <w:rPr>
                <w:rFonts w:eastAsia="Times New Roman"/>
                <w:sz w:val="20"/>
                <w:szCs w:val="20"/>
              </w:rPr>
            </w:pPr>
            <w:r>
              <w:rPr>
                <w:rFonts w:eastAsia="Times New Roman"/>
                <w:sz w:val="20"/>
                <w:szCs w:val="20"/>
              </w:rPr>
              <w:t>Parent and Merger Sub having performed or complied in all material respects with all obl</w:t>
            </w:r>
            <w:r>
              <w:rPr>
                <w:rFonts w:eastAsia="Times New Roman"/>
                <w:sz w:val="20"/>
                <w:szCs w:val="20"/>
              </w:rPr>
              <w:t>igations and covenants required by the Merger Agreement to be performed or complied with by it at or prior to the closing; and</w:t>
            </w:r>
          </w:p>
        </w:tc>
      </w:tr>
    </w:tbl>
    <w:p w14:paraId="49EF6976"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8994F9E" w14:textId="77777777">
        <w:trPr>
          <w:divId w:val="415980837"/>
          <w:tblCellSpacing w:w="0" w:type="dxa"/>
        </w:trPr>
        <w:tc>
          <w:tcPr>
            <w:tcW w:w="720" w:type="dxa"/>
            <w:hideMark/>
          </w:tcPr>
          <w:p w14:paraId="00ADB80D" w14:textId="77777777" w:rsidR="00000000" w:rsidRDefault="002F725F">
            <w:pPr>
              <w:rPr>
                <w:sz w:val="20"/>
                <w:szCs w:val="20"/>
              </w:rPr>
            </w:pPr>
          </w:p>
        </w:tc>
        <w:tc>
          <w:tcPr>
            <w:tcW w:w="360" w:type="dxa"/>
            <w:hideMark/>
          </w:tcPr>
          <w:p w14:paraId="237A7895" w14:textId="77777777" w:rsidR="00000000" w:rsidRDefault="002F725F">
            <w:pPr>
              <w:rPr>
                <w:rFonts w:eastAsia="Times New Roman"/>
                <w:sz w:val="20"/>
                <w:szCs w:val="20"/>
              </w:rPr>
            </w:pPr>
            <w:r>
              <w:rPr>
                <w:rFonts w:eastAsia="Times New Roman"/>
                <w:sz w:val="20"/>
                <w:szCs w:val="20"/>
              </w:rPr>
              <w:t>●</w:t>
            </w:r>
          </w:p>
        </w:tc>
        <w:tc>
          <w:tcPr>
            <w:tcW w:w="0" w:type="auto"/>
            <w:hideMark/>
          </w:tcPr>
          <w:p w14:paraId="2C70A5E7" w14:textId="77777777" w:rsidR="00000000" w:rsidRDefault="002F725F">
            <w:pPr>
              <w:jc w:val="both"/>
              <w:rPr>
                <w:rFonts w:eastAsia="Times New Roman"/>
                <w:sz w:val="20"/>
                <w:szCs w:val="20"/>
              </w:rPr>
            </w:pPr>
            <w:r>
              <w:rPr>
                <w:rFonts w:eastAsia="Times New Roman"/>
                <w:sz w:val="20"/>
                <w:szCs w:val="20"/>
              </w:rPr>
              <w:t>Parent and Merger Sub having delivered to the Company a certificate, dated as of the closing date, signed by a director of each of Parent and Merger Sub, as the case may be, certifying as to the satisfaction of the conditions above.</w:t>
            </w:r>
          </w:p>
        </w:tc>
      </w:tr>
    </w:tbl>
    <w:p w14:paraId="2C90478A" w14:textId="77777777" w:rsidR="00000000" w:rsidRDefault="002F725F">
      <w:pPr>
        <w:pStyle w:val="NormalWeb"/>
        <w:spacing w:before="0" w:beforeAutospacing="0" w:after="0" w:afterAutospacing="0"/>
        <w:divId w:val="415980837"/>
        <w:rPr>
          <w:sz w:val="20"/>
          <w:szCs w:val="20"/>
        </w:rPr>
      </w:pPr>
      <w:r>
        <w:rPr>
          <w:sz w:val="20"/>
          <w:szCs w:val="20"/>
        </w:rPr>
        <w:t> </w:t>
      </w:r>
    </w:p>
    <w:p w14:paraId="361540F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For purposes of the </w:t>
      </w:r>
      <w:r>
        <w:rPr>
          <w:sz w:val="20"/>
          <w:szCs w:val="20"/>
        </w:rPr>
        <w:t>Merger Agreement, “Parent Material Adverse Effect” means any Effect that prevents or materially impedes, interferes with, hinders or delays or would reasonably be expected to prevent or materially impede, interfere with, hinder or delay (a) the consummatio</w:t>
      </w:r>
      <w:r>
        <w:rPr>
          <w:sz w:val="20"/>
          <w:szCs w:val="20"/>
        </w:rPr>
        <w:t>n by Parent and Merger Sub of the Merger or any of the other Transactions or (b) the compliance by each of Parent and Merger Sub of each of their respective obligations under the Merger Agreement in any material respect.</w:t>
      </w:r>
    </w:p>
    <w:p w14:paraId="686B0B2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D98419E" w14:textId="77777777" w:rsidR="00000000" w:rsidRDefault="002F725F">
      <w:pPr>
        <w:pStyle w:val="NormalWeb"/>
        <w:spacing w:before="0" w:beforeAutospacing="0" w:after="0" w:afterAutospacing="0"/>
        <w:jc w:val="both"/>
        <w:divId w:val="415980837"/>
        <w:rPr>
          <w:sz w:val="20"/>
          <w:szCs w:val="20"/>
        </w:rPr>
      </w:pPr>
      <w:r>
        <w:rPr>
          <w:b/>
          <w:bCs/>
          <w:sz w:val="20"/>
          <w:szCs w:val="20"/>
        </w:rPr>
        <w:t>Termination of the Merger Agreeme</w:t>
      </w:r>
      <w:r>
        <w:rPr>
          <w:b/>
          <w:bCs/>
          <w:sz w:val="20"/>
          <w:szCs w:val="20"/>
        </w:rPr>
        <w:t>nt</w:t>
      </w:r>
    </w:p>
    <w:p w14:paraId="051A31C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8F5526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(acting at the direction and upon the approval of the Special Committee) and Parent may terminate the Merger Agreement by mutual written agreement at any time prior to the Effective Time.</w:t>
      </w:r>
    </w:p>
    <w:p w14:paraId="5667E7F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B3B4D7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Either the Company (acting at the direction and u</w:t>
      </w:r>
      <w:r>
        <w:rPr>
          <w:sz w:val="20"/>
          <w:szCs w:val="20"/>
        </w:rPr>
        <w:t>pon the approval of the Special Committee) or Parent may terminate the Merger Agreement at any time prior to the Effective Time if:</w:t>
      </w:r>
    </w:p>
    <w:p w14:paraId="5D18B54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7F28031" w14:textId="77777777">
        <w:trPr>
          <w:divId w:val="415980837"/>
          <w:tblCellSpacing w:w="0" w:type="dxa"/>
        </w:trPr>
        <w:tc>
          <w:tcPr>
            <w:tcW w:w="720" w:type="dxa"/>
            <w:hideMark/>
          </w:tcPr>
          <w:p w14:paraId="17EF9B8C" w14:textId="77777777" w:rsidR="00000000" w:rsidRDefault="002F725F">
            <w:pPr>
              <w:rPr>
                <w:sz w:val="20"/>
                <w:szCs w:val="20"/>
              </w:rPr>
            </w:pPr>
          </w:p>
        </w:tc>
        <w:tc>
          <w:tcPr>
            <w:tcW w:w="360" w:type="dxa"/>
            <w:hideMark/>
          </w:tcPr>
          <w:p w14:paraId="5E2EFE28" w14:textId="77777777" w:rsidR="00000000" w:rsidRDefault="002F725F">
            <w:pPr>
              <w:rPr>
                <w:rFonts w:eastAsia="Times New Roman"/>
                <w:sz w:val="20"/>
                <w:szCs w:val="20"/>
              </w:rPr>
            </w:pPr>
            <w:r>
              <w:rPr>
                <w:rFonts w:eastAsia="Times New Roman"/>
                <w:sz w:val="20"/>
                <w:szCs w:val="20"/>
              </w:rPr>
              <w:t>●</w:t>
            </w:r>
          </w:p>
        </w:tc>
        <w:tc>
          <w:tcPr>
            <w:tcW w:w="0" w:type="auto"/>
            <w:hideMark/>
          </w:tcPr>
          <w:p w14:paraId="4BD93C7E" w14:textId="77777777" w:rsidR="00000000" w:rsidRDefault="002F725F">
            <w:pPr>
              <w:jc w:val="both"/>
              <w:rPr>
                <w:rFonts w:eastAsia="Times New Roman"/>
                <w:sz w:val="20"/>
                <w:szCs w:val="20"/>
              </w:rPr>
            </w:pPr>
            <w:r>
              <w:rPr>
                <w:rFonts w:eastAsia="Times New Roman"/>
                <w:sz w:val="20"/>
                <w:szCs w:val="20"/>
              </w:rPr>
              <w:t xml:space="preserve">any governmental entity having competent jurisdiction shall have enacted, issued, promulgated, enforced or entered any </w:t>
            </w:r>
            <w:r>
              <w:rPr>
                <w:rFonts w:eastAsia="Times New Roman"/>
                <w:sz w:val="20"/>
                <w:szCs w:val="20"/>
              </w:rPr>
              <w:t>law or order which is then in effect or taken any other action, in each case, permanently restraining, enjoining or otherwise prohibiting the consummation of the Merger, and such order or other action shall have become final and non-appealable;</w:t>
            </w:r>
          </w:p>
        </w:tc>
      </w:tr>
    </w:tbl>
    <w:p w14:paraId="5D2CD082"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EA4ED9D" w14:textId="77777777">
        <w:trPr>
          <w:divId w:val="415980837"/>
          <w:tblCellSpacing w:w="0" w:type="dxa"/>
        </w:trPr>
        <w:tc>
          <w:tcPr>
            <w:tcW w:w="720" w:type="dxa"/>
            <w:hideMark/>
          </w:tcPr>
          <w:p w14:paraId="1B47FCF8" w14:textId="77777777" w:rsidR="00000000" w:rsidRDefault="002F725F">
            <w:pPr>
              <w:rPr>
                <w:sz w:val="20"/>
                <w:szCs w:val="20"/>
              </w:rPr>
            </w:pPr>
          </w:p>
        </w:tc>
        <w:tc>
          <w:tcPr>
            <w:tcW w:w="360" w:type="dxa"/>
            <w:hideMark/>
          </w:tcPr>
          <w:p w14:paraId="33C08598" w14:textId="77777777" w:rsidR="00000000" w:rsidRDefault="002F725F">
            <w:pPr>
              <w:rPr>
                <w:rFonts w:eastAsia="Times New Roman"/>
                <w:sz w:val="20"/>
                <w:szCs w:val="20"/>
              </w:rPr>
            </w:pPr>
            <w:r>
              <w:rPr>
                <w:rFonts w:eastAsia="Times New Roman"/>
                <w:sz w:val="20"/>
                <w:szCs w:val="20"/>
              </w:rPr>
              <w:t>●</w:t>
            </w:r>
          </w:p>
        </w:tc>
        <w:tc>
          <w:tcPr>
            <w:tcW w:w="0" w:type="auto"/>
            <w:hideMark/>
          </w:tcPr>
          <w:p w14:paraId="7BD1E757" w14:textId="77777777" w:rsidR="00000000" w:rsidRDefault="002F725F">
            <w:pPr>
              <w:jc w:val="both"/>
              <w:rPr>
                <w:rFonts w:eastAsia="Times New Roman"/>
                <w:sz w:val="20"/>
                <w:szCs w:val="20"/>
              </w:rPr>
            </w:pPr>
            <w:r>
              <w:rPr>
                <w:rFonts w:eastAsia="Times New Roman"/>
                <w:sz w:val="20"/>
                <w:szCs w:val="20"/>
              </w:rPr>
              <w:t>the Company Shareholder Approval shall not have been obtained at the Shareholders’ Meeting (after taking into account any adjournment, postponement, or recess thereof); or</w:t>
            </w:r>
          </w:p>
        </w:tc>
      </w:tr>
    </w:tbl>
    <w:p w14:paraId="583C875C"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3D45CFE" w14:textId="77777777">
        <w:trPr>
          <w:divId w:val="415980837"/>
          <w:tblCellSpacing w:w="0" w:type="dxa"/>
        </w:trPr>
        <w:tc>
          <w:tcPr>
            <w:tcW w:w="720" w:type="dxa"/>
            <w:hideMark/>
          </w:tcPr>
          <w:p w14:paraId="2521C0C5" w14:textId="77777777" w:rsidR="00000000" w:rsidRDefault="002F725F">
            <w:pPr>
              <w:rPr>
                <w:sz w:val="20"/>
                <w:szCs w:val="20"/>
              </w:rPr>
            </w:pPr>
          </w:p>
        </w:tc>
        <w:tc>
          <w:tcPr>
            <w:tcW w:w="360" w:type="dxa"/>
            <w:hideMark/>
          </w:tcPr>
          <w:p w14:paraId="1AED1212" w14:textId="77777777" w:rsidR="00000000" w:rsidRDefault="002F725F">
            <w:pPr>
              <w:rPr>
                <w:rFonts w:eastAsia="Times New Roman"/>
                <w:sz w:val="20"/>
                <w:szCs w:val="20"/>
              </w:rPr>
            </w:pPr>
            <w:r>
              <w:rPr>
                <w:rFonts w:eastAsia="Times New Roman"/>
                <w:sz w:val="20"/>
                <w:szCs w:val="20"/>
              </w:rPr>
              <w:t>●</w:t>
            </w:r>
          </w:p>
        </w:tc>
        <w:tc>
          <w:tcPr>
            <w:tcW w:w="0" w:type="auto"/>
            <w:hideMark/>
          </w:tcPr>
          <w:p w14:paraId="13DB017A" w14:textId="77777777" w:rsidR="00000000" w:rsidRDefault="002F725F">
            <w:pPr>
              <w:jc w:val="both"/>
              <w:rPr>
                <w:rFonts w:eastAsia="Times New Roman"/>
                <w:sz w:val="20"/>
                <w:szCs w:val="20"/>
              </w:rPr>
            </w:pPr>
            <w:r>
              <w:rPr>
                <w:rFonts w:eastAsia="Times New Roman"/>
                <w:sz w:val="20"/>
                <w:szCs w:val="20"/>
              </w:rPr>
              <w:t>the Merger has not been consummated by the Termination Date;</w:t>
            </w:r>
          </w:p>
        </w:tc>
      </w:tr>
    </w:tbl>
    <w:p w14:paraId="1500548B" w14:textId="77777777" w:rsidR="00000000" w:rsidRDefault="002F725F">
      <w:pPr>
        <w:pStyle w:val="NormalWeb"/>
        <w:spacing w:before="0" w:beforeAutospacing="0" w:after="0" w:afterAutospacing="0"/>
        <w:divId w:val="415980837"/>
        <w:rPr>
          <w:sz w:val="20"/>
          <w:szCs w:val="20"/>
        </w:rPr>
      </w:pPr>
      <w:r>
        <w:rPr>
          <w:sz w:val="20"/>
          <w:szCs w:val="20"/>
        </w:rPr>
        <w:t> </w:t>
      </w:r>
    </w:p>
    <w:p w14:paraId="48B80AEC" w14:textId="77777777" w:rsidR="00000000" w:rsidRDefault="002F725F">
      <w:pPr>
        <w:pStyle w:val="NormalWeb"/>
        <w:spacing w:before="0" w:beforeAutospacing="0" w:after="0" w:afterAutospacing="0"/>
        <w:ind w:left="720"/>
        <w:jc w:val="both"/>
        <w:divId w:val="415980837"/>
        <w:rPr>
          <w:sz w:val="20"/>
          <w:szCs w:val="20"/>
        </w:rPr>
      </w:pPr>
      <w:r>
        <w:rPr>
          <w:sz w:val="20"/>
          <w:szCs w:val="20"/>
        </w:rPr>
        <w:t>provided, that</w:t>
      </w:r>
      <w:r>
        <w:rPr>
          <w:sz w:val="20"/>
          <w:szCs w:val="20"/>
        </w:rPr>
        <w:t xml:space="preserve"> the right to terminate the Merger Agreement pursuant to the foregoing three clauses may not be available to any party whose breach of, or failure to fulfill (or, in the case of Parent, any such breach or failure by Parent or Merger Sub), any of its obliga</w:t>
      </w:r>
      <w:r>
        <w:rPr>
          <w:sz w:val="20"/>
          <w:szCs w:val="20"/>
        </w:rPr>
        <w:t>tions under the Merger Agreement in any manner has been a primary cause of, or resulted in, the failure of the Merger to be consummated by the Termination Date or the applicable condition(s) being satisfied.</w:t>
      </w:r>
    </w:p>
    <w:p w14:paraId="5787E2F0" w14:textId="77777777" w:rsidR="00000000" w:rsidRDefault="002F725F">
      <w:pPr>
        <w:pStyle w:val="NormalWeb"/>
        <w:spacing w:before="0" w:beforeAutospacing="0" w:after="0" w:afterAutospacing="0"/>
        <w:ind w:left="720"/>
        <w:jc w:val="both"/>
        <w:divId w:val="415980837"/>
        <w:rPr>
          <w:sz w:val="20"/>
          <w:szCs w:val="20"/>
        </w:rPr>
      </w:pPr>
      <w:r>
        <w:rPr>
          <w:sz w:val="20"/>
          <w:szCs w:val="20"/>
        </w:rPr>
        <w:t> </w:t>
      </w:r>
    </w:p>
    <w:p w14:paraId="1319FDE9"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xml:space="preserve">The Company (acting at the direction and upon </w:t>
      </w:r>
      <w:r>
        <w:rPr>
          <w:sz w:val="20"/>
          <w:szCs w:val="20"/>
        </w:rPr>
        <w:t>the approval of the Special Committee) may terminate the Merger Agreement at any time prior to the Effective Time if:</w:t>
      </w:r>
    </w:p>
    <w:p w14:paraId="672E9C9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F5FA1E9" w14:textId="77777777">
        <w:trPr>
          <w:divId w:val="415980837"/>
          <w:tblCellSpacing w:w="0" w:type="dxa"/>
        </w:trPr>
        <w:tc>
          <w:tcPr>
            <w:tcW w:w="720" w:type="dxa"/>
            <w:hideMark/>
          </w:tcPr>
          <w:p w14:paraId="023B7CD2" w14:textId="77777777" w:rsidR="00000000" w:rsidRDefault="002F725F">
            <w:pPr>
              <w:rPr>
                <w:sz w:val="20"/>
                <w:szCs w:val="20"/>
              </w:rPr>
            </w:pPr>
          </w:p>
        </w:tc>
        <w:tc>
          <w:tcPr>
            <w:tcW w:w="360" w:type="dxa"/>
            <w:hideMark/>
          </w:tcPr>
          <w:p w14:paraId="3F303DD6" w14:textId="77777777" w:rsidR="00000000" w:rsidRDefault="002F725F">
            <w:pPr>
              <w:rPr>
                <w:rFonts w:eastAsia="Times New Roman"/>
                <w:sz w:val="20"/>
                <w:szCs w:val="20"/>
              </w:rPr>
            </w:pPr>
            <w:r>
              <w:rPr>
                <w:rFonts w:eastAsia="Times New Roman"/>
                <w:sz w:val="20"/>
                <w:szCs w:val="20"/>
              </w:rPr>
              <w:t>●</w:t>
            </w:r>
          </w:p>
        </w:tc>
        <w:tc>
          <w:tcPr>
            <w:tcW w:w="0" w:type="auto"/>
            <w:hideMark/>
          </w:tcPr>
          <w:p w14:paraId="38C10167" w14:textId="77777777" w:rsidR="00000000" w:rsidRDefault="002F725F">
            <w:pPr>
              <w:jc w:val="both"/>
              <w:rPr>
                <w:rFonts w:eastAsia="Times New Roman"/>
                <w:sz w:val="20"/>
                <w:szCs w:val="20"/>
              </w:rPr>
            </w:pPr>
            <w:r>
              <w:rPr>
                <w:rFonts w:eastAsia="Times New Roman"/>
                <w:sz w:val="20"/>
                <w:szCs w:val="20"/>
              </w:rPr>
              <w:t xml:space="preserve">a breach or failure of any representation, warranty or covenant of Parent or Merger Sub set forth in the Merger Agreement shall have </w:t>
            </w:r>
            <w:r>
              <w:rPr>
                <w:rFonts w:eastAsia="Times New Roman"/>
                <w:sz w:val="20"/>
                <w:szCs w:val="20"/>
              </w:rPr>
              <w:t xml:space="preserve">occurred, which breach or failure has given rise to the failure of a condition to the Company’s obligations to complete the Merger, and such breach or failure would not be capable of being cured prior to the Termination Date, or if capable of being cured, </w:t>
            </w:r>
            <w:r>
              <w:rPr>
                <w:rFonts w:eastAsia="Times New Roman"/>
                <w:sz w:val="20"/>
                <w:szCs w:val="20"/>
              </w:rPr>
              <w:t>shall not have been cured within 30 business days following receipt of written notice from the Company (or such shorter period of time that remains between the date the Company provides written notice and the Termination Date), except that the Company will</w:t>
            </w:r>
            <w:r>
              <w:rPr>
                <w:rFonts w:eastAsia="Times New Roman"/>
                <w:sz w:val="20"/>
                <w:szCs w:val="20"/>
              </w:rPr>
              <w:t xml:space="preserve"> not have this termination right if it is then in material breach of the Merger Agreement and such breach would result in any Parent’s or Merger Sub’s closing conditions not to be satisfied (a “Parent Breach Termination Event”);</w:t>
            </w:r>
          </w:p>
        </w:tc>
      </w:tr>
    </w:tbl>
    <w:p w14:paraId="72D34B26" w14:textId="77777777" w:rsidR="00000000" w:rsidRDefault="002F725F">
      <w:pPr>
        <w:pStyle w:val="NormalWeb"/>
        <w:spacing w:before="0" w:beforeAutospacing="0" w:after="0" w:afterAutospacing="0"/>
        <w:divId w:val="415980837"/>
        <w:rPr>
          <w:sz w:val="20"/>
          <w:szCs w:val="20"/>
        </w:rPr>
      </w:pPr>
      <w:r>
        <w:rPr>
          <w:sz w:val="20"/>
          <w:szCs w:val="20"/>
        </w:rPr>
        <w:t> </w:t>
      </w:r>
    </w:p>
    <w:p w14:paraId="2EF6D309" w14:textId="77777777" w:rsidR="00000000" w:rsidRDefault="002F725F">
      <w:pPr>
        <w:pStyle w:val="NormalWeb"/>
        <w:spacing w:before="0" w:beforeAutospacing="0" w:after="0" w:afterAutospacing="0"/>
        <w:jc w:val="center"/>
        <w:divId w:val="1006978777"/>
        <w:rPr>
          <w:sz w:val="20"/>
          <w:szCs w:val="20"/>
        </w:rPr>
      </w:pPr>
      <w:r>
        <w:rPr>
          <w:sz w:val="20"/>
          <w:szCs w:val="20"/>
        </w:rPr>
        <w:t>9</w:t>
      </w:r>
      <w:r>
        <w:rPr>
          <w:sz w:val="20"/>
          <w:szCs w:val="20"/>
        </w:rPr>
        <w:t>4</w:t>
      </w:r>
    </w:p>
    <w:p w14:paraId="4E0ADF34" w14:textId="77777777" w:rsidR="00000000" w:rsidRDefault="002F725F">
      <w:pPr>
        <w:pStyle w:val="NormalWeb"/>
        <w:spacing w:before="0" w:beforeAutospacing="0" w:after="0" w:afterAutospacing="0"/>
        <w:divId w:val="284045917"/>
        <w:rPr>
          <w:sz w:val="20"/>
          <w:szCs w:val="20"/>
        </w:rPr>
      </w:pPr>
      <w:r>
        <w:rPr>
          <w:sz w:val="20"/>
          <w:szCs w:val="20"/>
        </w:rPr>
        <w:t> </w:t>
      </w:r>
    </w:p>
    <w:p w14:paraId="1221AD0D"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BC63691" w14:textId="77777777">
        <w:trPr>
          <w:divId w:val="415980837"/>
          <w:tblCellSpacing w:w="0" w:type="dxa"/>
        </w:trPr>
        <w:tc>
          <w:tcPr>
            <w:tcW w:w="720" w:type="dxa"/>
            <w:hideMark/>
          </w:tcPr>
          <w:p w14:paraId="30F8996D" w14:textId="77777777" w:rsidR="00000000" w:rsidRDefault="002F725F">
            <w:pPr>
              <w:rPr>
                <w:sz w:val="20"/>
                <w:szCs w:val="20"/>
              </w:rPr>
            </w:pPr>
          </w:p>
        </w:tc>
        <w:tc>
          <w:tcPr>
            <w:tcW w:w="360" w:type="dxa"/>
            <w:hideMark/>
          </w:tcPr>
          <w:p w14:paraId="4C22ABEF" w14:textId="77777777" w:rsidR="00000000" w:rsidRDefault="002F725F">
            <w:pPr>
              <w:rPr>
                <w:rFonts w:eastAsia="Times New Roman"/>
                <w:sz w:val="20"/>
                <w:szCs w:val="20"/>
              </w:rPr>
            </w:pPr>
            <w:r>
              <w:rPr>
                <w:rFonts w:eastAsia="Times New Roman"/>
                <w:sz w:val="20"/>
                <w:szCs w:val="20"/>
              </w:rPr>
              <w:t>●</w:t>
            </w:r>
          </w:p>
        </w:tc>
        <w:tc>
          <w:tcPr>
            <w:tcW w:w="0" w:type="auto"/>
            <w:hideMark/>
          </w:tcPr>
          <w:p w14:paraId="692AD8A6" w14:textId="77777777" w:rsidR="00000000" w:rsidRDefault="002F725F">
            <w:pPr>
              <w:jc w:val="both"/>
              <w:rPr>
                <w:rFonts w:eastAsia="Times New Roman"/>
                <w:sz w:val="20"/>
                <w:szCs w:val="20"/>
              </w:rPr>
            </w:pPr>
            <w:r>
              <w:rPr>
                <w:rFonts w:eastAsia="Times New Roman"/>
                <w:sz w:val="20"/>
                <w:szCs w:val="20"/>
              </w:rPr>
              <w:t>prior to obtaining the Company Shareholder Approval, the Board or the Special Committee shall have determined to make a Change in Company Recommendation in respect of a Superior Proposal and terminate the Merger Agreement; provided, that substantially conc</w:t>
            </w:r>
            <w:r>
              <w:rPr>
                <w:rFonts w:eastAsia="Times New Roman"/>
                <w:sz w:val="20"/>
                <w:szCs w:val="20"/>
              </w:rPr>
              <w:t>urrently with or immediately after the termination of the Merger Agreement by the Company, the Company enters into definitive binding transaction documents with respect to the relevant Superior Proposal and the Company pays to Parent the Company Terminatio</w:t>
            </w:r>
            <w:r>
              <w:rPr>
                <w:rFonts w:eastAsia="Times New Roman"/>
                <w:sz w:val="20"/>
                <w:szCs w:val="20"/>
              </w:rPr>
              <w:t>n Fee (as defined below) in immediately available funds; provided further, that the Company will not be entitled to terminate the Merger Agreement unless the Company has complied with the requirements of the Merger Agreement with respect to such Superior P</w:t>
            </w:r>
            <w:r>
              <w:rPr>
                <w:rFonts w:eastAsia="Times New Roman"/>
                <w:sz w:val="20"/>
                <w:szCs w:val="20"/>
              </w:rPr>
              <w:t>roposal (a “Superior Proposal Termination Event”); or</w:t>
            </w:r>
          </w:p>
        </w:tc>
      </w:tr>
    </w:tbl>
    <w:p w14:paraId="6E281F7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A62F8BE" w14:textId="77777777">
        <w:trPr>
          <w:divId w:val="415980837"/>
          <w:tblCellSpacing w:w="0" w:type="dxa"/>
        </w:trPr>
        <w:tc>
          <w:tcPr>
            <w:tcW w:w="720" w:type="dxa"/>
            <w:hideMark/>
          </w:tcPr>
          <w:p w14:paraId="144CA47A" w14:textId="77777777" w:rsidR="00000000" w:rsidRDefault="002F725F">
            <w:pPr>
              <w:rPr>
                <w:sz w:val="20"/>
                <w:szCs w:val="20"/>
              </w:rPr>
            </w:pPr>
          </w:p>
        </w:tc>
        <w:tc>
          <w:tcPr>
            <w:tcW w:w="360" w:type="dxa"/>
            <w:hideMark/>
          </w:tcPr>
          <w:p w14:paraId="5B4E9A49" w14:textId="77777777" w:rsidR="00000000" w:rsidRDefault="002F725F">
            <w:pPr>
              <w:rPr>
                <w:rFonts w:eastAsia="Times New Roman"/>
                <w:sz w:val="20"/>
                <w:szCs w:val="20"/>
              </w:rPr>
            </w:pPr>
            <w:r>
              <w:rPr>
                <w:rFonts w:eastAsia="Times New Roman"/>
                <w:sz w:val="20"/>
                <w:szCs w:val="20"/>
              </w:rPr>
              <w:t>●</w:t>
            </w:r>
          </w:p>
        </w:tc>
        <w:tc>
          <w:tcPr>
            <w:tcW w:w="0" w:type="auto"/>
            <w:hideMark/>
          </w:tcPr>
          <w:p w14:paraId="7181C4AC" w14:textId="77777777" w:rsidR="00000000" w:rsidRDefault="002F725F">
            <w:pPr>
              <w:jc w:val="both"/>
              <w:rPr>
                <w:rFonts w:eastAsia="Times New Roman"/>
                <w:sz w:val="20"/>
                <w:szCs w:val="20"/>
              </w:rPr>
            </w:pPr>
            <w:r>
              <w:rPr>
                <w:rFonts w:eastAsia="Times New Roman"/>
                <w:sz w:val="20"/>
                <w:szCs w:val="20"/>
              </w:rPr>
              <w:t>all conditions to Parent’s and Merger Sub’s obligations to complete the Merger (except those to be satisfied at the closing) have been satisfied or waived, the Company has irrevocably confirmed in</w:t>
            </w:r>
            <w:r>
              <w:rPr>
                <w:rFonts w:eastAsia="Times New Roman"/>
                <w:sz w:val="20"/>
                <w:szCs w:val="20"/>
              </w:rPr>
              <w:t xml:space="preserve"> writing to Parent that the closing conditions specific to the Company have been satisfied (except those to be satisfied at the closing) or the Company is willing to waive them and is prepared to close, and Parent and Merger Sub fail to consummate the clos</w:t>
            </w:r>
            <w:r>
              <w:rPr>
                <w:rFonts w:eastAsia="Times New Roman"/>
                <w:sz w:val="20"/>
                <w:szCs w:val="20"/>
              </w:rPr>
              <w:t>ing within 10 business days following the date the closing should have occurred under the Merger Agreement (a “Parent Failure to Close Termination Event”).</w:t>
            </w:r>
          </w:p>
        </w:tc>
      </w:tr>
    </w:tbl>
    <w:p w14:paraId="61ED470C" w14:textId="77777777" w:rsidR="00000000" w:rsidRDefault="002F725F">
      <w:pPr>
        <w:pStyle w:val="NormalWeb"/>
        <w:spacing w:before="0" w:beforeAutospacing="0" w:after="0" w:afterAutospacing="0"/>
        <w:divId w:val="415980837"/>
        <w:rPr>
          <w:sz w:val="20"/>
          <w:szCs w:val="20"/>
        </w:rPr>
      </w:pPr>
      <w:r>
        <w:rPr>
          <w:sz w:val="20"/>
          <w:szCs w:val="20"/>
        </w:rPr>
        <w:t> </w:t>
      </w:r>
    </w:p>
    <w:p w14:paraId="66CB6FC6" w14:textId="77777777" w:rsidR="00000000" w:rsidRDefault="002F725F">
      <w:pPr>
        <w:pStyle w:val="NormalWeb"/>
        <w:spacing w:before="0" w:beforeAutospacing="0" w:after="0" w:afterAutospacing="0"/>
        <w:ind w:firstLine="720"/>
        <w:divId w:val="415980837"/>
        <w:rPr>
          <w:sz w:val="20"/>
          <w:szCs w:val="20"/>
        </w:rPr>
      </w:pPr>
      <w:r>
        <w:rPr>
          <w:sz w:val="20"/>
          <w:szCs w:val="20"/>
        </w:rPr>
        <w:t>Parent may terminate the Merger Agreement at any time prior to the Effective Time if:</w:t>
      </w:r>
    </w:p>
    <w:p w14:paraId="258BE5A9" w14:textId="77777777" w:rsidR="00000000" w:rsidRDefault="002F725F">
      <w:pPr>
        <w:pStyle w:val="NormalWeb"/>
        <w:spacing w:before="0" w:beforeAutospacing="0" w:after="0" w:afterAutospacing="0"/>
        <w:ind w:firstLine="72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2E854FF" w14:textId="77777777">
        <w:trPr>
          <w:divId w:val="415980837"/>
          <w:tblCellSpacing w:w="0" w:type="dxa"/>
        </w:trPr>
        <w:tc>
          <w:tcPr>
            <w:tcW w:w="720" w:type="dxa"/>
            <w:hideMark/>
          </w:tcPr>
          <w:p w14:paraId="02F63900" w14:textId="77777777" w:rsidR="00000000" w:rsidRDefault="002F725F">
            <w:pPr>
              <w:rPr>
                <w:sz w:val="20"/>
                <w:szCs w:val="20"/>
              </w:rPr>
            </w:pPr>
          </w:p>
        </w:tc>
        <w:tc>
          <w:tcPr>
            <w:tcW w:w="360" w:type="dxa"/>
            <w:hideMark/>
          </w:tcPr>
          <w:p w14:paraId="3AF555BF" w14:textId="77777777" w:rsidR="00000000" w:rsidRDefault="002F725F">
            <w:pPr>
              <w:rPr>
                <w:rFonts w:eastAsia="Times New Roman"/>
                <w:sz w:val="20"/>
                <w:szCs w:val="20"/>
              </w:rPr>
            </w:pPr>
            <w:r>
              <w:rPr>
                <w:rFonts w:eastAsia="Times New Roman"/>
                <w:sz w:val="20"/>
                <w:szCs w:val="20"/>
              </w:rPr>
              <w:t>●</w:t>
            </w:r>
          </w:p>
        </w:tc>
        <w:tc>
          <w:tcPr>
            <w:tcW w:w="0" w:type="auto"/>
            <w:hideMark/>
          </w:tcPr>
          <w:p w14:paraId="70E74253" w14:textId="77777777" w:rsidR="00000000" w:rsidRDefault="002F725F">
            <w:pPr>
              <w:jc w:val="both"/>
              <w:rPr>
                <w:rFonts w:eastAsia="Times New Roman"/>
                <w:sz w:val="20"/>
                <w:szCs w:val="20"/>
              </w:rPr>
            </w:pPr>
            <w:r>
              <w:rPr>
                <w:rFonts w:eastAsia="Times New Roman"/>
                <w:sz w:val="20"/>
                <w:szCs w:val="20"/>
              </w:rPr>
              <w:t>a brea</w:t>
            </w:r>
            <w:r>
              <w:rPr>
                <w:rFonts w:eastAsia="Times New Roman"/>
                <w:sz w:val="20"/>
                <w:szCs w:val="20"/>
              </w:rPr>
              <w:t>ch or failure of any representation, warranty or covenant of the Company set forth in the Merger Agreement shall have occurred, which breach or failure has given rise to or would reasonably be expected to give rise to the failure of a condition to Parent’s</w:t>
            </w:r>
            <w:r>
              <w:rPr>
                <w:rFonts w:eastAsia="Times New Roman"/>
                <w:sz w:val="20"/>
                <w:szCs w:val="20"/>
              </w:rPr>
              <w:t xml:space="preserve"> or Merger Sub’s obligations to complete the Merger, and such breach or failure is not capable of being cured prior to the Termination Date, or if capable of being cured, is not cured within 30 business days following written notice from Parent (or such sh</w:t>
            </w:r>
            <w:r>
              <w:rPr>
                <w:rFonts w:eastAsia="Times New Roman"/>
                <w:sz w:val="20"/>
                <w:szCs w:val="20"/>
              </w:rPr>
              <w:t>orter period of time that remains between the date Parent provides written notice and the Termination Date), except that Parent will not have this termination right if either Parent or Merger Sub is in material breach of the Merger Agreement and such breac</w:t>
            </w:r>
            <w:r>
              <w:rPr>
                <w:rFonts w:eastAsia="Times New Roman"/>
                <w:sz w:val="20"/>
                <w:szCs w:val="20"/>
              </w:rPr>
              <w:t>h would result in any Company’s closing conditions not to be satisfied; or</w:t>
            </w:r>
          </w:p>
        </w:tc>
      </w:tr>
    </w:tbl>
    <w:p w14:paraId="5611BBBD"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830CD52" w14:textId="77777777">
        <w:trPr>
          <w:divId w:val="415980837"/>
          <w:tblCellSpacing w:w="0" w:type="dxa"/>
        </w:trPr>
        <w:tc>
          <w:tcPr>
            <w:tcW w:w="720" w:type="dxa"/>
            <w:hideMark/>
          </w:tcPr>
          <w:p w14:paraId="015C1A4E" w14:textId="77777777" w:rsidR="00000000" w:rsidRDefault="002F725F">
            <w:pPr>
              <w:rPr>
                <w:sz w:val="20"/>
                <w:szCs w:val="20"/>
              </w:rPr>
            </w:pPr>
          </w:p>
        </w:tc>
        <w:tc>
          <w:tcPr>
            <w:tcW w:w="360" w:type="dxa"/>
            <w:hideMark/>
          </w:tcPr>
          <w:p w14:paraId="4569D13E" w14:textId="77777777" w:rsidR="00000000" w:rsidRDefault="002F725F">
            <w:pPr>
              <w:rPr>
                <w:rFonts w:eastAsia="Times New Roman"/>
                <w:sz w:val="20"/>
                <w:szCs w:val="20"/>
              </w:rPr>
            </w:pPr>
            <w:r>
              <w:rPr>
                <w:rFonts w:eastAsia="Times New Roman"/>
                <w:sz w:val="20"/>
                <w:szCs w:val="20"/>
              </w:rPr>
              <w:t>●</w:t>
            </w:r>
          </w:p>
        </w:tc>
        <w:tc>
          <w:tcPr>
            <w:tcW w:w="0" w:type="auto"/>
            <w:hideMark/>
          </w:tcPr>
          <w:p w14:paraId="078D0621" w14:textId="77777777" w:rsidR="00000000" w:rsidRDefault="002F725F">
            <w:pPr>
              <w:jc w:val="both"/>
              <w:rPr>
                <w:rFonts w:eastAsia="Times New Roman"/>
                <w:sz w:val="20"/>
                <w:szCs w:val="20"/>
              </w:rPr>
            </w:pPr>
            <w:r>
              <w:rPr>
                <w:rFonts w:eastAsia="Times New Roman"/>
                <w:sz w:val="20"/>
                <w:szCs w:val="20"/>
              </w:rPr>
              <w:t>the Board or the Special Committee shall have effected a Change in Company Recommendation (together with the events under the bulleting point immediately above, collectively, the “Parent Termination Events”).</w:t>
            </w:r>
          </w:p>
        </w:tc>
      </w:tr>
    </w:tbl>
    <w:p w14:paraId="13419883" w14:textId="77777777" w:rsidR="00000000" w:rsidRDefault="002F725F">
      <w:pPr>
        <w:pStyle w:val="NormalWeb"/>
        <w:spacing w:before="0" w:beforeAutospacing="0" w:after="0" w:afterAutospacing="0"/>
        <w:divId w:val="415980837"/>
        <w:rPr>
          <w:sz w:val="20"/>
          <w:szCs w:val="20"/>
        </w:rPr>
      </w:pPr>
      <w:r>
        <w:rPr>
          <w:sz w:val="20"/>
          <w:szCs w:val="20"/>
        </w:rPr>
        <w:t> </w:t>
      </w:r>
    </w:p>
    <w:p w14:paraId="56848546" w14:textId="77777777" w:rsidR="00000000" w:rsidRDefault="002F725F">
      <w:pPr>
        <w:pStyle w:val="NormalWeb"/>
        <w:spacing w:before="0" w:beforeAutospacing="0" w:after="0" w:afterAutospacing="0"/>
        <w:jc w:val="both"/>
        <w:divId w:val="415980837"/>
        <w:rPr>
          <w:sz w:val="20"/>
          <w:szCs w:val="20"/>
        </w:rPr>
      </w:pPr>
      <w:r>
        <w:rPr>
          <w:b/>
          <w:bCs/>
          <w:sz w:val="20"/>
          <w:szCs w:val="20"/>
        </w:rPr>
        <w:t>Termination Fees</w:t>
      </w:r>
    </w:p>
    <w:p w14:paraId="34F9A44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820D79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is required t</w:t>
      </w:r>
      <w:r>
        <w:rPr>
          <w:sz w:val="20"/>
          <w:szCs w:val="20"/>
        </w:rPr>
        <w:t>o pay Parent or its designees a termination fee of US$50,000 (the “Company Termination Fee”) if the Merger Agreement is terminated:</w:t>
      </w:r>
    </w:p>
    <w:p w14:paraId="4EFBAFD8"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D79BECD" w14:textId="77777777">
        <w:trPr>
          <w:divId w:val="415980837"/>
          <w:tblCellSpacing w:w="0" w:type="dxa"/>
        </w:trPr>
        <w:tc>
          <w:tcPr>
            <w:tcW w:w="720" w:type="dxa"/>
            <w:hideMark/>
          </w:tcPr>
          <w:p w14:paraId="2895D234" w14:textId="77777777" w:rsidR="00000000" w:rsidRDefault="002F725F">
            <w:pPr>
              <w:rPr>
                <w:sz w:val="20"/>
                <w:szCs w:val="20"/>
              </w:rPr>
            </w:pPr>
          </w:p>
        </w:tc>
        <w:tc>
          <w:tcPr>
            <w:tcW w:w="360" w:type="dxa"/>
            <w:hideMark/>
          </w:tcPr>
          <w:p w14:paraId="16ADDB7A" w14:textId="77777777" w:rsidR="00000000" w:rsidRDefault="002F725F">
            <w:pPr>
              <w:rPr>
                <w:rFonts w:eastAsia="Times New Roman"/>
                <w:sz w:val="20"/>
                <w:szCs w:val="20"/>
              </w:rPr>
            </w:pPr>
            <w:r>
              <w:rPr>
                <w:rFonts w:eastAsia="Times New Roman"/>
                <w:sz w:val="20"/>
                <w:szCs w:val="20"/>
              </w:rPr>
              <w:t>●</w:t>
            </w:r>
          </w:p>
        </w:tc>
        <w:tc>
          <w:tcPr>
            <w:tcW w:w="0" w:type="auto"/>
            <w:hideMark/>
          </w:tcPr>
          <w:p w14:paraId="26C98ED8" w14:textId="77777777" w:rsidR="00000000" w:rsidRDefault="002F725F">
            <w:pPr>
              <w:jc w:val="both"/>
              <w:rPr>
                <w:rFonts w:eastAsia="Times New Roman"/>
                <w:sz w:val="20"/>
                <w:szCs w:val="20"/>
              </w:rPr>
            </w:pPr>
            <w:r>
              <w:rPr>
                <w:rFonts w:eastAsia="Times New Roman"/>
                <w:sz w:val="20"/>
                <w:szCs w:val="20"/>
              </w:rPr>
              <w:t>by Parent pursuant to any Parent Termination Event;</w:t>
            </w:r>
          </w:p>
        </w:tc>
      </w:tr>
    </w:tbl>
    <w:p w14:paraId="62997924"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8A3DE82" w14:textId="77777777">
        <w:trPr>
          <w:divId w:val="415980837"/>
          <w:tblCellSpacing w:w="0" w:type="dxa"/>
        </w:trPr>
        <w:tc>
          <w:tcPr>
            <w:tcW w:w="720" w:type="dxa"/>
            <w:hideMark/>
          </w:tcPr>
          <w:p w14:paraId="34C93C89" w14:textId="77777777" w:rsidR="00000000" w:rsidRDefault="002F725F">
            <w:pPr>
              <w:rPr>
                <w:sz w:val="20"/>
                <w:szCs w:val="20"/>
              </w:rPr>
            </w:pPr>
          </w:p>
        </w:tc>
        <w:tc>
          <w:tcPr>
            <w:tcW w:w="360" w:type="dxa"/>
            <w:hideMark/>
          </w:tcPr>
          <w:p w14:paraId="2724212C" w14:textId="77777777" w:rsidR="00000000" w:rsidRDefault="002F725F">
            <w:pPr>
              <w:rPr>
                <w:rFonts w:eastAsia="Times New Roman"/>
                <w:sz w:val="20"/>
                <w:szCs w:val="20"/>
              </w:rPr>
            </w:pPr>
            <w:r>
              <w:rPr>
                <w:rFonts w:eastAsia="Times New Roman"/>
                <w:sz w:val="20"/>
                <w:szCs w:val="20"/>
              </w:rPr>
              <w:t>●</w:t>
            </w:r>
          </w:p>
        </w:tc>
        <w:tc>
          <w:tcPr>
            <w:tcW w:w="0" w:type="auto"/>
            <w:hideMark/>
          </w:tcPr>
          <w:p w14:paraId="301960D0" w14:textId="77777777" w:rsidR="00000000" w:rsidRDefault="002F725F">
            <w:pPr>
              <w:jc w:val="both"/>
              <w:rPr>
                <w:rFonts w:eastAsia="Times New Roman"/>
                <w:sz w:val="20"/>
                <w:szCs w:val="20"/>
              </w:rPr>
            </w:pPr>
            <w:r>
              <w:rPr>
                <w:rFonts w:eastAsia="Times New Roman"/>
                <w:sz w:val="20"/>
                <w:szCs w:val="20"/>
              </w:rPr>
              <w:t>by Company pursuant to a Superior Proposal Termination Event;</w:t>
            </w:r>
            <w:r>
              <w:rPr>
                <w:rFonts w:eastAsia="Times New Roman"/>
                <w:sz w:val="20"/>
                <w:szCs w:val="20"/>
              </w:rPr>
              <w:t xml:space="preserve"> or</w:t>
            </w:r>
          </w:p>
        </w:tc>
      </w:tr>
    </w:tbl>
    <w:p w14:paraId="219BFDFD"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7D0EDF7" w14:textId="77777777">
        <w:trPr>
          <w:divId w:val="415980837"/>
          <w:tblCellSpacing w:w="0" w:type="dxa"/>
        </w:trPr>
        <w:tc>
          <w:tcPr>
            <w:tcW w:w="720" w:type="dxa"/>
            <w:hideMark/>
          </w:tcPr>
          <w:p w14:paraId="786BA7CD" w14:textId="77777777" w:rsidR="00000000" w:rsidRDefault="002F725F">
            <w:pPr>
              <w:rPr>
                <w:sz w:val="20"/>
                <w:szCs w:val="20"/>
              </w:rPr>
            </w:pPr>
          </w:p>
        </w:tc>
        <w:tc>
          <w:tcPr>
            <w:tcW w:w="360" w:type="dxa"/>
            <w:hideMark/>
          </w:tcPr>
          <w:p w14:paraId="55115BF5" w14:textId="77777777" w:rsidR="00000000" w:rsidRDefault="002F725F">
            <w:pPr>
              <w:rPr>
                <w:rFonts w:eastAsia="Times New Roman"/>
                <w:sz w:val="20"/>
                <w:szCs w:val="20"/>
              </w:rPr>
            </w:pPr>
            <w:r>
              <w:rPr>
                <w:rFonts w:eastAsia="Times New Roman"/>
                <w:sz w:val="20"/>
                <w:szCs w:val="20"/>
              </w:rPr>
              <w:t>●</w:t>
            </w:r>
          </w:p>
        </w:tc>
        <w:tc>
          <w:tcPr>
            <w:tcW w:w="0" w:type="auto"/>
            <w:hideMark/>
          </w:tcPr>
          <w:p w14:paraId="1601A2D8" w14:textId="77777777" w:rsidR="00000000" w:rsidRDefault="002F725F">
            <w:pPr>
              <w:jc w:val="both"/>
              <w:rPr>
                <w:rFonts w:eastAsia="Times New Roman"/>
                <w:sz w:val="20"/>
                <w:szCs w:val="20"/>
              </w:rPr>
            </w:pPr>
            <w:r>
              <w:rPr>
                <w:rFonts w:eastAsia="Times New Roman"/>
                <w:sz w:val="20"/>
                <w:szCs w:val="20"/>
              </w:rPr>
              <w:t xml:space="preserve">by the Company or Parent because the Company Shareholder Approval shall not have been obtained or the </w:t>
            </w:r>
            <w:r>
              <w:rPr>
                <w:rFonts w:eastAsia="Times New Roman"/>
                <w:sz w:val="20"/>
                <w:szCs w:val="20"/>
              </w:rPr>
              <w:t>Effective Time shall not have occurred on or before the Termination Date, if at the time of such termination, a Competing Proposal relating to a Competing Transaction shall have been made known to the Company, or shall have been publicly announced or publi</w:t>
            </w:r>
            <w:r>
              <w:rPr>
                <w:rFonts w:eastAsia="Times New Roman"/>
                <w:sz w:val="20"/>
                <w:szCs w:val="20"/>
              </w:rPr>
              <w:t>cly made known, and not publicly and unconditionally withdrawn prior to the earlier of the termination of the Merger Agreement or the Shareholders’ Meeting, and within 12 months after such termination the Company or any of its subsidiaries enters into a de</w:t>
            </w:r>
            <w:r>
              <w:rPr>
                <w:rFonts w:eastAsia="Times New Roman"/>
                <w:sz w:val="20"/>
                <w:szCs w:val="20"/>
              </w:rPr>
              <w:t>finitive agreement in connection with the same Competing Proposal referred to above that was later consummated or consummates such Competing Proposal, provided that, for purposes of this clause, all references to “20%” in the definition of “Competing Trans</w:t>
            </w:r>
            <w:r>
              <w:rPr>
                <w:rFonts w:eastAsia="Times New Roman"/>
                <w:sz w:val="20"/>
                <w:szCs w:val="20"/>
              </w:rPr>
              <w:t>action” will be deemed to be references to “50%.”</w:t>
            </w:r>
          </w:p>
        </w:tc>
      </w:tr>
    </w:tbl>
    <w:p w14:paraId="05461119" w14:textId="77777777" w:rsidR="00000000" w:rsidRDefault="002F725F">
      <w:pPr>
        <w:pStyle w:val="NormalWeb"/>
        <w:spacing w:before="0" w:beforeAutospacing="0" w:after="0" w:afterAutospacing="0"/>
        <w:divId w:val="415980837"/>
        <w:rPr>
          <w:sz w:val="20"/>
          <w:szCs w:val="20"/>
        </w:rPr>
      </w:pPr>
      <w:r>
        <w:rPr>
          <w:sz w:val="20"/>
          <w:szCs w:val="20"/>
        </w:rPr>
        <w:t> </w:t>
      </w:r>
    </w:p>
    <w:p w14:paraId="6C0AA2E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Parent is required to pay the Company a termination fee of US$100,000 (the “Parent Termination Fee”), if the Merger Agreement is terminated by the Company pursuant to a Parent Breach Termination Event or</w:t>
      </w:r>
      <w:r>
        <w:rPr>
          <w:sz w:val="20"/>
          <w:szCs w:val="20"/>
        </w:rPr>
        <w:t xml:space="preserve"> a Parent Failure to Close Termination Event.</w:t>
      </w:r>
    </w:p>
    <w:p w14:paraId="6F195CC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B0A044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All expenses incurred in connection with the Merger Agreement and the Transactions will be paid by the party incurring such expenses, whether or not the Merger or any other Transaction is consummated, except </w:t>
      </w:r>
      <w:r>
        <w:rPr>
          <w:sz w:val="20"/>
          <w:szCs w:val="20"/>
        </w:rPr>
        <w:t>that, if the Company fails to pay the Company Termination Fee, or Parent fails to pay the Parent Termination Fee, when due and in accordance with the Merger Agreement, the Company or Parent, as the case may be, will reimburse the other party for all reason</w:t>
      </w:r>
      <w:r>
        <w:rPr>
          <w:sz w:val="20"/>
          <w:szCs w:val="20"/>
        </w:rPr>
        <w:t xml:space="preserve">able costs and expenses actually incurred or accrued by the other party (including fees and expenses of counsel) in connection with the collection under and enforcement of the termination fee arrangements in the Merger Agreement, together with interest on </w:t>
      </w:r>
      <w:r>
        <w:rPr>
          <w:sz w:val="20"/>
          <w:szCs w:val="20"/>
        </w:rPr>
        <w:t>such unpaid Company Termination Fee or Parent Termination Fee.</w:t>
      </w:r>
    </w:p>
    <w:p w14:paraId="0A540A7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52240CF" w14:textId="77777777" w:rsidR="00000000" w:rsidRDefault="002F725F">
      <w:pPr>
        <w:pStyle w:val="NormalWeb"/>
        <w:spacing w:before="0" w:beforeAutospacing="0" w:after="0" w:afterAutospacing="0"/>
        <w:jc w:val="center"/>
        <w:divId w:val="78453283"/>
        <w:rPr>
          <w:sz w:val="20"/>
          <w:szCs w:val="20"/>
        </w:rPr>
      </w:pPr>
      <w:r>
        <w:rPr>
          <w:sz w:val="20"/>
          <w:szCs w:val="20"/>
        </w:rPr>
        <w:t>9</w:t>
      </w:r>
      <w:r>
        <w:rPr>
          <w:sz w:val="20"/>
          <w:szCs w:val="20"/>
        </w:rPr>
        <w:t>5</w:t>
      </w:r>
    </w:p>
    <w:p w14:paraId="1E1D2D47" w14:textId="77777777" w:rsidR="00000000" w:rsidRDefault="002F725F">
      <w:pPr>
        <w:pStyle w:val="NormalWeb"/>
        <w:spacing w:before="0" w:beforeAutospacing="0" w:after="0" w:afterAutospacing="0"/>
        <w:divId w:val="781922695"/>
        <w:rPr>
          <w:sz w:val="20"/>
          <w:szCs w:val="20"/>
        </w:rPr>
      </w:pPr>
      <w:r>
        <w:rPr>
          <w:sz w:val="20"/>
          <w:szCs w:val="20"/>
        </w:rPr>
        <w:t> </w:t>
      </w:r>
    </w:p>
    <w:p w14:paraId="605EBBB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D54E4F4" w14:textId="77777777" w:rsidR="00000000" w:rsidRDefault="002F725F">
      <w:pPr>
        <w:pStyle w:val="NormalWeb"/>
        <w:spacing w:before="0" w:beforeAutospacing="0" w:after="0" w:afterAutospacing="0"/>
        <w:jc w:val="both"/>
        <w:divId w:val="415980837"/>
        <w:rPr>
          <w:sz w:val="20"/>
          <w:szCs w:val="20"/>
        </w:rPr>
      </w:pPr>
      <w:r>
        <w:rPr>
          <w:b/>
          <w:bCs/>
          <w:sz w:val="20"/>
          <w:szCs w:val="20"/>
        </w:rPr>
        <w:t>Remedies and Limitations on Liability</w:t>
      </w:r>
    </w:p>
    <w:p w14:paraId="2CE02D5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F3783F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Company, Parent and Merger Sub acknowledge and agree that they may be entitled to an injunction, specific performance, or other equitable re</w:t>
      </w:r>
      <w:r>
        <w:rPr>
          <w:sz w:val="20"/>
          <w:szCs w:val="20"/>
        </w:rPr>
        <w:t>lief, to prevent breaches of the Merger Agreement and to enforce specifically the terms and provisions thereof, without proof of damages, prior to the valid termination of the Merger Agreement, in addition to any other remedy to which they are entitled und</w:t>
      </w:r>
      <w:r>
        <w:rPr>
          <w:sz w:val="20"/>
          <w:szCs w:val="20"/>
        </w:rPr>
        <w:t>er the Merger Agreement.</w:t>
      </w:r>
    </w:p>
    <w:p w14:paraId="7FCEB17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77BCD9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Other than rights of specific performance that Parent may be entitled to, Parent’s right to terminate the Merger Agreement and receive the Company Termination Fee and certain reimbursement and interest in connection with collecti</w:t>
      </w:r>
      <w:r>
        <w:rPr>
          <w:sz w:val="20"/>
          <w:szCs w:val="20"/>
        </w:rPr>
        <w:t>on of the Company Termination Fee will be the sole and exclusive remedy of Parent, Merger Sub, the Rollover Shareholders, the Sponsor and their affiliates against the Company and its subsidiaries and affiliates for any loss or damage suffered as a result o</w:t>
      </w:r>
      <w:r>
        <w:rPr>
          <w:sz w:val="20"/>
          <w:szCs w:val="20"/>
        </w:rPr>
        <w:t>f any breach of any representation, warranty, covenant or agreement or failure to perform under the Merger Agreement or other failure of the Transactions to be consummated.</w:t>
      </w:r>
    </w:p>
    <w:p w14:paraId="238A26B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5FB272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Other than rights of specific performance that the Company may be entitled to, th</w:t>
      </w:r>
      <w:r>
        <w:rPr>
          <w:sz w:val="20"/>
          <w:szCs w:val="20"/>
        </w:rPr>
        <w:t>e Company’s right to terminate the Merger Agreement and receive the Parent Termination Fee and certain reimbursement and interest in connection with collection of the Parent Termination Fee will be the sole and exclusive remedy of the Company and its subsi</w:t>
      </w:r>
      <w:r>
        <w:rPr>
          <w:sz w:val="20"/>
          <w:szCs w:val="20"/>
        </w:rPr>
        <w:t xml:space="preserve">diaries and affiliates against Parent, Merger Sub, the Rollover Shareholders, the Sponsor and their affiliates for any loss or damage suffered as a result of any breach of any representation, warranty, covenant or agreement or failure to perform under the </w:t>
      </w:r>
      <w:r>
        <w:rPr>
          <w:sz w:val="20"/>
          <w:szCs w:val="20"/>
        </w:rPr>
        <w:t>Merger Agreement or other failure of the Transactions to be consummated.</w:t>
      </w:r>
    </w:p>
    <w:p w14:paraId="0F1A98C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A63E350"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xml:space="preserve">Until such time as the Company </w:t>
      </w:r>
      <w:r>
        <w:rPr>
          <w:sz w:val="20"/>
          <w:szCs w:val="20"/>
        </w:rPr>
        <w:t>pays the Company Termination Fee or Parent pays the Parent Termination Fee, the remedies available to each party will be in addition to any other remedy to which they are entitled to at law or in equity; provided that once the Company pays the Company Term</w:t>
      </w:r>
      <w:r>
        <w:rPr>
          <w:sz w:val="20"/>
          <w:szCs w:val="20"/>
        </w:rPr>
        <w:t xml:space="preserve">ination Fee or Parent pays the Parent Termination Fee, as the case may be, plus certain reimbursement and interest in connection with collection of the relevant termination fee, if any, any other remedies may not be available against the party making such </w:t>
      </w:r>
      <w:r>
        <w:rPr>
          <w:sz w:val="20"/>
          <w:szCs w:val="20"/>
        </w:rPr>
        <w:t>payment.</w:t>
      </w:r>
    </w:p>
    <w:p w14:paraId="35141F7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00738C5" w14:textId="77777777" w:rsidR="00000000" w:rsidRDefault="002F725F">
      <w:pPr>
        <w:pStyle w:val="NormalWeb"/>
        <w:spacing w:before="0" w:beforeAutospacing="0" w:after="0" w:afterAutospacing="0"/>
        <w:jc w:val="both"/>
        <w:divId w:val="415980837"/>
        <w:rPr>
          <w:sz w:val="20"/>
          <w:szCs w:val="20"/>
        </w:rPr>
      </w:pPr>
      <w:r>
        <w:rPr>
          <w:b/>
          <w:bCs/>
          <w:sz w:val="20"/>
          <w:szCs w:val="20"/>
        </w:rPr>
        <w:t>Amendment and Waiver</w:t>
      </w:r>
    </w:p>
    <w:p w14:paraId="1019CE0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901FB6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Merger Agreement may be amended, modified and supplemented by written agreement of the Company, Merger Sub and Parent, by action taken by or on behalf of their respective board of directors (or individuals holding simi</w:t>
      </w:r>
      <w:r>
        <w:rPr>
          <w:sz w:val="20"/>
          <w:szCs w:val="20"/>
        </w:rPr>
        <w:t>lar positions) with the Company acting solely through the Special Committee; provided, that following receipt of the Company Shareholder Approval, no amendment may be made that would reduce the amount or change the type of consideration into which each Sha</w:t>
      </w:r>
      <w:r>
        <w:rPr>
          <w:sz w:val="20"/>
          <w:szCs w:val="20"/>
        </w:rPr>
        <w:t>re will be converted upon consummation of the Merger or that by laws otherwise would require further approval or authorization by the shareholders of the Company without such further approval or authorization.</w:t>
      </w:r>
    </w:p>
    <w:p w14:paraId="6C16408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CB5ADDE" w14:textId="77777777" w:rsidR="00000000" w:rsidRDefault="002F725F">
      <w:pPr>
        <w:pStyle w:val="NormalWeb"/>
        <w:spacing w:before="0" w:beforeAutospacing="0" w:after="0" w:afterAutospacing="0"/>
        <w:jc w:val="center"/>
        <w:divId w:val="637490968"/>
        <w:rPr>
          <w:sz w:val="20"/>
          <w:szCs w:val="20"/>
        </w:rPr>
      </w:pPr>
      <w:r>
        <w:rPr>
          <w:sz w:val="20"/>
          <w:szCs w:val="20"/>
        </w:rPr>
        <w:t>9</w:t>
      </w:r>
      <w:r>
        <w:rPr>
          <w:sz w:val="20"/>
          <w:szCs w:val="20"/>
        </w:rPr>
        <w:t>6</w:t>
      </w:r>
    </w:p>
    <w:p w14:paraId="50DBF431" w14:textId="77777777" w:rsidR="00000000" w:rsidRDefault="002F725F">
      <w:pPr>
        <w:pStyle w:val="NormalWeb"/>
        <w:spacing w:before="0" w:beforeAutospacing="0" w:after="0" w:afterAutospacing="0"/>
        <w:divId w:val="1743139493"/>
        <w:rPr>
          <w:sz w:val="20"/>
          <w:szCs w:val="20"/>
        </w:rPr>
      </w:pPr>
      <w:r>
        <w:rPr>
          <w:sz w:val="20"/>
          <w:szCs w:val="20"/>
        </w:rPr>
        <w:t> </w:t>
      </w:r>
    </w:p>
    <w:p w14:paraId="2133CDC6"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B69F3D4" w14:textId="77777777" w:rsidR="00000000" w:rsidRDefault="002F725F">
      <w:pPr>
        <w:pStyle w:val="NormalWeb"/>
        <w:spacing w:before="0" w:beforeAutospacing="0" w:after="0" w:afterAutospacing="0"/>
        <w:jc w:val="center"/>
        <w:divId w:val="415980837"/>
        <w:rPr>
          <w:sz w:val="20"/>
          <w:szCs w:val="20"/>
        </w:rPr>
      </w:pPr>
      <w:bookmarkStart w:id="26" w:name="gfpea028961701ex99-a1.htmk_007"/>
      <w:bookmarkEnd w:id="26"/>
      <w:r>
        <w:rPr>
          <w:b/>
          <w:bCs/>
          <w:sz w:val="20"/>
          <w:szCs w:val="20"/>
        </w:rPr>
        <w:t xml:space="preserve">PROVISIONS FOR UNAFFILIATED SECURITY </w:t>
      </w:r>
      <w:r>
        <w:rPr>
          <w:b/>
          <w:bCs/>
          <w:sz w:val="20"/>
          <w:szCs w:val="20"/>
        </w:rPr>
        <w:t>HOLDERS</w:t>
      </w:r>
    </w:p>
    <w:p w14:paraId="0ABBF020"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6F7A28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No provision has been made to (a) grant the Unaffiliated Security Holders access to corporate files of the Company or any Buyer Filing Person or (b) obtain counsel or appraisal services at the expense of the Company or any Buyer Filing Person.</w:t>
      </w:r>
    </w:p>
    <w:p w14:paraId="45225FD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2C3BCA8" w14:textId="77777777" w:rsidR="00000000" w:rsidRDefault="002F725F">
      <w:pPr>
        <w:pStyle w:val="NormalWeb"/>
        <w:spacing w:before="0" w:beforeAutospacing="0" w:after="0" w:afterAutospacing="0"/>
        <w:jc w:val="center"/>
        <w:divId w:val="2145805785"/>
        <w:rPr>
          <w:sz w:val="20"/>
          <w:szCs w:val="20"/>
        </w:rPr>
      </w:pPr>
      <w:r>
        <w:rPr>
          <w:sz w:val="20"/>
          <w:szCs w:val="20"/>
        </w:rPr>
        <w:t>9</w:t>
      </w:r>
      <w:r>
        <w:rPr>
          <w:sz w:val="20"/>
          <w:szCs w:val="20"/>
        </w:rPr>
        <w:t>7</w:t>
      </w:r>
    </w:p>
    <w:p w14:paraId="3A29550B" w14:textId="77777777" w:rsidR="00000000" w:rsidRDefault="002F725F">
      <w:pPr>
        <w:pStyle w:val="NormalWeb"/>
        <w:spacing w:before="0" w:beforeAutospacing="0" w:after="0" w:afterAutospacing="0"/>
        <w:divId w:val="1283919748"/>
        <w:rPr>
          <w:sz w:val="20"/>
          <w:szCs w:val="20"/>
        </w:rPr>
      </w:pPr>
      <w:r>
        <w:rPr>
          <w:sz w:val="20"/>
          <w:szCs w:val="20"/>
        </w:rPr>
        <w:t> </w:t>
      </w:r>
    </w:p>
    <w:p w14:paraId="5EB062EE"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FD03FCB" w14:textId="77777777" w:rsidR="00000000" w:rsidRDefault="002F725F">
      <w:pPr>
        <w:pStyle w:val="NormalWeb"/>
        <w:spacing w:before="0" w:beforeAutospacing="0" w:after="0" w:afterAutospacing="0"/>
        <w:jc w:val="center"/>
        <w:divId w:val="415980837"/>
        <w:rPr>
          <w:sz w:val="20"/>
          <w:szCs w:val="20"/>
        </w:rPr>
      </w:pPr>
      <w:bookmarkStart w:id="27" w:name="gfpea028961701ex99-a1.htmb_005"/>
      <w:bookmarkEnd w:id="27"/>
      <w:r>
        <w:rPr>
          <w:b/>
          <w:bCs/>
          <w:sz w:val="20"/>
          <w:szCs w:val="20"/>
        </w:rPr>
        <w:t>DISSENTERS’ RIGHTS</w:t>
      </w:r>
    </w:p>
    <w:p w14:paraId="632C27D6"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3001157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following is a brief summary of the rights of registered holders of the Shares to dissent from the Merger and receive payment of the fair value of their Shares (“Dissenters’ Rights”) as determined by the Grand Court of the C</w:t>
      </w:r>
      <w:r>
        <w:rPr>
          <w:sz w:val="20"/>
          <w:szCs w:val="20"/>
        </w:rPr>
        <w:t>ayman Islands (the “Grand Court”). This summary is not a complete statement of the law, and is qualified in its entirety by the complete text of Section 238 of the Cayman Islands Companies Act, a copy of which is attached as Annex D to this proxy statement</w:t>
      </w:r>
      <w:r>
        <w:rPr>
          <w:sz w:val="20"/>
          <w:szCs w:val="20"/>
        </w:rPr>
        <w:t>. If you are contemplating the possibility of dissenting from the Merger, you should carefully review the text of Annex D, particularly the procedural steps required to perfect your Dissenters’ Rights. These procedures are complex and you should consult yo</w:t>
      </w:r>
      <w:r>
        <w:rPr>
          <w:sz w:val="20"/>
          <w:szCs w:val="20"/>
        </w:rPr>
        <w:t>ur Cayman Islands legal counsel. If you do not fully and precisely satisfy the procedural requirements of the Cayman Islands Companies Act, you will lose the ability to assert your Dissenters’ Rights.</w:t>
      </w:r>
    </w:p>
    <w:p w14:paraId="34A105B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0661481" w14:textId="77777777" w:rsidR="00000000" w:rsidRDefault="002F725F">
      <w:pPr>
        <w:pStyle w:val="NormalWeb"/>
        <w:spacing w:before="0" w:beforeAutospacing="0" w:after="0" w:afterAutospacing="0"/>
        <w:jc w:val="both"/>
        <w:divId w:val="415980837"/>
        <w:rPr>
          <w:sz w:val="20"/>
          <w:szCs w:val="20"/>
        </w:rPr>
      </w:pPr>
      <w:r>
        <w:rPr>
          <w:b/>
          <w:bCs/>
          <w:sz w:val="20"/>
          <w:szCs w:val="20"/>
        </w:rPr>
        <w:t>Requirements for Exercising Dissenters’ Rights</w:t>
      </w:r>
    </w:p>
    <w:p w14:paraId="072D617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30112C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 ho</w:t>
      </w:r>
      <w:r>
        <w:rPr>
          <w:sz w:val="20"/>
          <w:szCs w:val="20"/>
        </w:rPr>
        <w:t xml:space="preserve">lder of Dissenting Shares (a “Dissenting Shareholder”) is entitled to payment of the fair value of its, his or her Shares as determined by the Grand Court (as applicable) upon validly dissenting from the Merger in accordance with Section 238 of the Cayman </w:t>
      </w:r>
      <w:r>
        <w:rPr>
          <w:sz w:val="20"/>
          <w:szCs w:val="20"/>
        </w:rPr>
        <w:t>Islands Companies Act.</w:t>
      </w:r>
    </w:p>
    <w:p w14:paraId="0B3B5D5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F790A8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valid exercise of your Dissenters’ </w:t>
      </w:r>
      <w:r>
        <w:rPr>
          <w:sz w:val="20"/>
          <w:szCs w:val="20"/>
        </w:rPr>
        <w:t>Rights will preclude the exercise of any other rights by virtue of holding Shares in connection with the Merger, other than the right to participate fully in proceedings to determine the fair value of Shares held by you and to seek relief on the grounds th</w:t>
      </w:r>
      <w:r>
        <w:rPr>
          <w:sz w:val="20"/>
          <w:szCs w:val="20"/>
        </w:rPr>
        <w:t>at the Merger is void or unlawful. To exercise your Dissenters’ Rights, the following procedures must be followed:</w:t>
      </w:r>
    </w:p>
    <w:p w14:paraId="6196C0A7"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289F52E" w14:textId="77777777">
        <w:trPr>
          <w:divId w:val="415980837"/>
          <w:tblCellSpacing w:w="0" w:type="dxa"/>
        </w:trPr>
        <w:tc>
          <w:tcPr>
            <w:tcW w:w="720" w:type="dxa"/>
            <w:hideMark/>
          </w:tcPr>
          <w:p w14:paraId="6F69A334" w14:textId="77777777" w:rsidR="00000000" w:rsidRDefault="002F725F">
            <w:pPr>
              <w:rPr>
                <w:sz w:val="20"/>
                <w:szCs w:val="20"/>
              </w:rPr>
            </w:pPr>
          </w:p>
        </w:tc>
        <w:tc>
          <w:tcPr>
            <w:tcW w:w="360" w:type="dxa"/>
            <w:hideMark/>
          </w:tcPr>
          <w:p w14:paraId="42A6E83E" w14:textId="77777777" w:rsidR="00000000" w:rsidRDefault="002F725F">
            <w:pPr>
              <w:rPr>
                <w:rFonts w:eastAsia="Times New Roman"/>
                <w:sz w:val="20"/>
                <w:szCs w:val="20"/>
              </w:rPr>
            </w:pPr>
            <w:r>
              <w:rPr>
                <w:rFonts w:eastAsia="Times New Roman"/>
                <w:sz w:val="20"/>
                <w:szCs w:val="20"/>
              </w:rPr>
              <w:t>(1)</w:t>
            </w:r>
          </w:p>
        </w:tc>
        <w:tc>
          <w:tcPr>
            <w:tcW w:w="0" w:type="auto"/>
            <w:hideMark/>
          </w:tcPr>
          <w:p w14:paraId="18287129" w14:textId="77777777" w:rsidR="00000000" w:rsidRDefault="002F725F">
            <w:pPr>
              <w:jc w:val="both"/>
              <w:rPr>
                <w:rFonts w:eastAsia="Times New Roman"/>
                <w:sz w:val="20"/>
                <w:szCs w:val="20"/>
              </w:rPr>
            </w:pPr>
            <w:r>
              <w:rPr>
                <w:rFonts w:eastAsia="Times New Roman"/>
                <w:sz w:val="20"/>
                <w:szCs w:val="20"/>
              </w:rPr>
              <w:t>You must give written notice of objection (“Notice of Objection”) to the Company prior to the vote to authorize and approve the Merger</w:t>
            </w:r>
            <w:r>
              <w:rPr>
                <w:rFonts w:eastAsia="Times New Roman"/>
                <w:sz w:val="20"/>
                <w:szCs w:val="20"/>
              </w:rPr>
              <w:t>. The Notice of Objection must include a statement that you propose to demand payment for your Shares if the Merger is authorized by the vote at the extraordinary general meeting.</w:t>
            </w:r>
          </w:p>
        </w:tc>
      </w:tr>
    </w:tbl>
    <w:p w14:paraId="618FC3E5"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D523737" w14:textId="77777777">
        <w:trPr>
          <w:divId w:val="415980837"/>
          <w:tblCellSpacing w:w="0" w:type="dxa"/>
        </w:trPr>
        <w:tc>
          <w:tcPr>
            <w:tcW w:w="720" w:type="dxa"/>
            <w:hideMark/>
          </w:tcPr>
          <w:p w14:paraId="635B0E64" w14:textId="77777777" w:rsidR="00000000" w:rsidRDefault="002F725F">
            <w:pPr>
              <w:rPr>
                <w:sz w:val="20"/>
                <w:szCs w:val="20"/>
              </w:rPr>
            </w:pPr>
          </w:p>
        </w:tc>
        <w:tc>
          <w:tcPr>
            <w:tcW w:w="360" w:type="dxa"/>
            <w:hideMark/>
          </w:tcPr>
          <w:p w14:paraId="3744093D" w14:textId="77777777" w:rsidR="00000000" w:rsidRDefault="002F725F">
            <w:pPr>
              <w:rPr>
                <w:rFonts w:eastAsia="Times New Roman"/>
                <w:sz w:val="20"/>
                <w:szCs w:val="20"/>
              </w:rPr>
            </w:pPr>
            <w:r>
              <w:rPr>
                <w:rFonts w:eastAsia="Times New Roman"/>
                <w:sz w:val="20"/>
                <w:szCs w:val="20"/>
              </w:rPr>
              <w:t>(2)</w:t>
            </w:r>
          </w:p>
        </w:tc>
        <w:tc>
          <w:tcPr>
            <w:tcW w:w="0" w:type="auto"/>
            <w:hideMark/>
          </w:tcPr>
          <w:p w14:paraId="48234D1D" w14:textId="77777777" w:rsidR="00000000" w:rsidRDefault="002F725F">
            <w:pPr>
              <w:jc w:val="both"/>
              <w:rPr>
                <w:rFonts w:eastAsia="Times New Roman"/>
                <w:sz w:val="20"/>
                <w:szCs w:val="20"/>
              </w:rPr>
            </w:pPr>
            <w:r>
              <w:rPr>
                <w:rFonts w:eastAsia="Times New Roman"/>
                <w:sz w:val="20"/>
                <w:szCs w:val="20"/>
              </w:rPr>
              <w:t>Within 20 days immediately following the date on which the vote auth</w:t>
            </w:r>
            <w:r>
              <w:rPr>
                <w:rFonts w:eastAsia="Times New Roman"/>
                <w:sz w:val="20"/>
                <w:szCs w:val="20"/>
              </w:rPr>
              <w:t>orizing the Merger is made, the Company must give written notice of the authorization (“Authorization Notice”) to all Company shareholders who have served a notice of objection.</w:t>
            </w:r>
          </w:p>
        </w:tc>
      </w:tr>
    </w:tbl>
    <w:p w14:paraId="261CFF1E"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4A5E81A" w14:textId="77777777">
        <w:trPr>
          <w:divId w:val="415980837"/>
          <w:tblCellSpacing w:w="0" w:type="dxa"/>
        </w:trPr>
        <w:tc>
          <w:tcPr>
            <w:tcW w:w="720" w:type="dxa"/>
            <w:hideMark/>
          </w:tcPr>
          <w:p w14:paraId="4173D5F9" w14:textId="77777777" w:rsidR="00000000" w:rsidRDefault="002F725F">
            <w:pPr>
              <w:rPr>
                <w:sz w:val="20"/>
                <w:szCs w:val="20"/>
              </w:rPr>
            </w:pPr>
          </w:p>
        </w:tc>
        <w:tc>
          <w:tcPr>
            <w:tcW w:w="360" w:type="dxa"/>
            <w:hideMark/>
          </w:tcPr>
          <w:p w14:paraId="13E49484" w14:textId="77777777" w:rsidR="00000000" w:rsidRDefault="002F725F">
            <w:pPr>
              <w:rPr>
                <w:rFonts w:eastAsia="Times New Roman"/>
                <w:sz w:val="20"/>
                <w:szCs w:val="20"/>
              </w:rPr>
            </w:pPr>
            <w:r>
              <w:rPr>
                <w:rFonts w:eastAsia="Times New Roman"/>
                <w:sz w:val="20"/>
                <w:szCs w:val="20"/>
              </w:rPr>
              <w:t>(3)</w:t>
            </w:r>
          </w:p>
        </w:tc>
        <w:tc>
          <w:tcPr>
            <w:tcW w:w="0" w:type="auto"/>
            <w:hideMark/>
          </w:tcPr>
          <w:p w14:paraId="43224460" w14:textId="77777777" w:rsidR="00000000" w:rsidRDefault="002F725F">
            <w:pPr>
              <w:jc w:val="both"/>
              <w:rPr>
                <w:rFonts w:eastAsia="Times New Roman"/>
                <w:sz w:val="20"/>
                <w:szCs w:val="20"/>
              </w:rPr>
            </w:pPr>
            <w:r>
              <w:rPr>
                <w:rFonts w:eastAsia="Times New Roman"/>
                <w:sz w:val="20"/>
                <w:szCs w:val="20"/>
              </w:rPr>
              <w:t>Within 20 days immediately following the date on which the Authorizati</w:t>
            </w:r>
            <w:r>
              <w:rPr>
                <w:rFonts w:eastAsia="Times New Roman"/>
                <w:sz w:val="20"/>
                <w:szCs w:val="20"/>
              </w:rPr>
              <w:t>on Notice is given (the “Dissent Period”), any Company shareholder who elects to dissent must give a written notice of its, his or her decision to dissent (a “Notice of Dissent”) to the Company stating its, his or her name and address and the number and cl</w:t>
            </w:r>
            <w:r>
              <w:rPr>
                <w:rFonts w:eastAsia="Times New Roman"/>
                <w:sz w:val="20"/>
                <w:szCs w:val="20"/>
              </w:rPr>
              <w:t>ass of the Shares with respect to which it, he or she dissents and demanding payment of the fair value of its, his or her Shares. A Company shareholder who dissents must do so in respect of all the Shares which it, he or she holds. Upon giving of the Notic</w:t>
            </w:r>
            <w:r>
              <w:rPr>
                <w:rFonts w:eastAsia="Times New Roman"/>
                <w:sz w:val="20"/>
                <w:szCs w:val="20"/>
              </w:rPr>
              <w:t>e of Dissent, the Company shareholder to whom the Notice of Dissent relates will cease to have any of the rights of a Company shareholder except the right to be paid the fair value of its, his or her Shares, the right to participate fully in proceedings to</w:t>
            </w:r>
            <w:r>
              <w:rPr>
                <w:rFonts w:eastAsia="Times New Roman"/>
                <w:sz w:val="20"/>
                <w:szCs w:val="20"/>
              </w:rPr>
              <w:t xml:space="preserve"> determine the fair value of such Shares and the right to seek relief on the grounds that the Merger is void or unlawful.</w:t>
            </w:r>
          </w:p>
        </w:tc>
      </w:tr>
    </w:tbl>
    <w:p w14:paraId="3BC5DD06"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534242E" w14:textId="77777777">
        <w:trPr>
          <w:divId w:val="415980837"/>
          <w:tblCellSpacing w:w="0" w:type="dxa"/>
        </w:trPr>
        <w:tc>
          <w:tcPr>
            <w:tcW w:w="720" w:type="dxa"/>
            <w:hideMark/>
          </w:tcPr>
          <w:p w14:paraId="30BD1622" w14:textId="77777777" w:rsidR="00000000" w:rsidRDefault="002F725F">
            <w:pPr>
              <w:rPr>
                <w:sz w:val="20"/>
                <w:szCs w:val="20"/>
              </w:rPr>
            </w:pPr>
          </w:p>
        </w:tc>
        <w:tc>
          <w:tcPr>
            <w:tcW w:w="360" w:type="dxa"/>
            <w:hideMark/>
          </w:tcPr>
          <w:p w14:paraId="6106DFDB" w14:textId="77777777" w:rsidR="00000000" w:rsidRDefault="002F725F">
            <w:pPr>
              <w:rPr>
                <w:rFonts w:eastAsia="Times New Roman"/>
                <w:sz w:val="20"/>
                <w:szCs w:val="20"/>
              </w:rPr>
            </w:pPr>
            <w:r>
              <w:rPr>
                <w:rFonts w:eastAsia="Times New Roman"/>
                <w:sz w:val="20"/>
                <w:szCs w:val="20"/>
              </w:rPr>
              <w:t>(4)</w:t>
            </w:r>
          </w:p>
        </w:tc>
        <w:tc>
          <w:tcPr>
            <w:tcW w:w="0" w:type="auto"/>
            <w:hideMark/>
          </w:tcPr>
          <w:p w14:paraId="5FC6B5AA" w14:textId="77777777" w:rsidR="00000000" w:rsidRDefault="002F725F">
            <w:pPr>
              <w:jc w:val="both"/>
              <w:rPr>
                <w:rFonts w:eastAsia="Times New Roman"/>
                <w:sz w:val="20"/>
                <w:szCs w:val="20"/>
              </w:rPr>
            </w:pPr>
            <w:r>
              <w:rPr>
                <w:rFonts w:eastAsia="Times New Roman"/>
                <w:sz w:val="20"/>
                <w:szCs w:val="20"/>
              </w:rPr>
              <w:t>Within seven days immediately following (a) the date of expiry of the Dissent Period or (b) the date on which the Plan of Merg</w:t>
            </w:r>
            <w:r>
              <w:rPr>
                <w:rFonts w:eastAsia="Times New Roman"/>
                <w:sz w:val="20"/>
                <w:szCs w:val="20"/>
              </w:rPr>
              <w:t xml:space="preserve">er is filed with the Cayman Registrar, whichever is later, the Company, as the Surviving Company, must make a written offer (a “Fair Value Offer”) to each Dissenting Shareholder to purchase its, his or her Shares at a price determined by the Company to be </w:t>
            </w:r>
            <w:r>
              <w:rPr>
                <w:rFonts w:eastAsia="Times New Roman"/>
                <w:sz w:val="20"/>
                <w:szCs w:val="20"/>
              </w:rPr>
              <w:t>the fair value of such Shares.</w:t>
            </w:r>
          </w:p>
        </w:tc>
      </w:tr>
    </w:tbl>
    <w:p w14:paraId="1C5CE85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9C7BF30" w14:textId="77777777">
        <w:trPr>
          <w:divId w:val="415980837"/>
          <w:tblCellSpacing w:w="0" w:type="dxa"/>
        </w:trPr>
        <w:tc>
          <w:tcPr>
            <w:tcW w:w="720" w:type="dxa"/>
            <w:hideMark/>
          </w:tcPr>
          <w:p w14:paraId="334AB743" w14:textId="77777777" w:rsidR="00000000" w:rsidRDefault="002F725F">
            <w:pPr>
              <w:rPr>
                <w:sz w:val="20"/>
                <w:szCs w:val="20"/>
              </w:rPr>
            </w:pPr>
          </w:p>
        </w:tc>
        <w:tc>
          <w:tcPr>
            <w:tcW w:w="360" w:type="dxa"/>
            <w:hideMark/>
          </w:tcPr>
          <w:p w14:paraId="546554C3" w14:textId="77777777" w:rsidR="00000000" w:rsidRDefault="002F725F">
            <w:pPr>
              <w:rPr>
                <w:rFonts w:eastAsia="Times New Roman"/>
                <w:sz w:val="20"/>
                <w:szCs w:val="20"/>
              </w:rPr>
            </w:pPr>
            <w:r>
              <w:rPr>
                <w:rFonts w:eastAsia="Times New Roman"/>
                <w:sz w:val="20"/>
                <w:szCs w:val="20"/>
              </w:rPr>
              <w:t>(5)</w:t>
            </w:r>
          </w:p>
        </w:tc>
        <w:tc>
          <w:tcPr>
            <w:tcW w:w="0" w:type="auto"/>
            <w:hideMark/>
          </w:tcPr>
          <w:p w14:paraId="4E71AB5C" w14:textId="77777777" w:rsidR="00000000" w:rsidRDefault="002F725F">
            <w:pPr>
              <w:jc w:val="both"/>
              <w:rPr>
                <w:rFonts w:eastAsia="Times New Roman"/>
                <w:sz w:val="20"/>
                <w:szCs w:val="20"/>
              </w:rPr>
            </w:pPr>
            <w:r>
              <w:rPr>
                <w:rFonts w:eastAsia="Times New Roman"/>
                <w:sz w:val="20"/>
                <w:szCs w:val="20"/>
              </w:rPr>
              <w:t xml:space="preserve">If, within 30 days immediately following the date of the Fair Value Offer, the Company and the Dissenting </w:t>
            </w:r>
            <w:r>
              <w:rPr>
                <w:rFonts w:eastAsia="Times New Roman"/>
                <w:sz w:val="20"/>
                <w:szCs w:val="20"/>
              </w:rPr>
              <w:t>Shareholder agree on a price at which the Company will purchase the Dissenting Shareholder’s Shares, then the Company shall pay to the Dissenting Shareholder such amount in cash forthwith.</w:t>
            </w:r>
          </w:p>
        </w:tc>
      </w:tr>
    </w:tbl>
    <w:p w14:paraId="7EFE7B4F"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3B003F7" w14:textId="77777777">
        <w:trPr>
          <w:divId w:val="415980837"/>
          <w:tblCellSpacing w:w="0" w:type="dxa"/>
        </w:trPr>
        <w:tc>
          <w:tcPr>
            <w:tcW w:w="720" w:type="dxa"/>
            <w:hideMark/>
          </w:tcPr>
          <w:p w14:paraId="03CD950B" w14:textId="77777777" w:rsidR="00000000" w:rsidRDefault="002F725F">
            <w:pPr>
              <w:rPr>
                <w:sz w:val="20"/>
                <w:szCs w:val="20"/>
              </w:rPr>
            </w:pPr>
          </w:p>
        </w:tc>
        <w:tc>
          <w:tcPr>
            <w:tcW w:w="360" w:type="dxa"/>
            <w:hideMark/>
          </w:tcPr>
          <w:p w14:paraId="00DB668C" w14:textId="77777777" w:rsidR="00000000" w:rsidRDefault="002F725F">
            <w:pPr>
              <w:rPr>
                <w:rFonts w:eastAsia="Times New Roman"/>
                <w:sz w:val="20"/>
                <w:szCs w:val="20"/>
              </w:rPr>
            </w:pPr>
            <w:r>
              <w:rPr>
                <w:rFonts w:eastAsia="Times New Roman"/>
                <w:sz w:val="20"/>
                <w:szCs w:val="20"/>
              </w:rPr>
              <w:t>(6)</w:t>
            </w:r>
          </w:p>
        </w:tc>
        <w:tc>
          <w:tcPr>
            <w:tcW w:w="0" w:type="auto"/>
            <w:hideMark/>
          </w:tcPr>
          <w:p w14:paraId="7BF9A807" w14:textId="77777777" w:rsidR="00000000" w:rsidRDefault="002F725F">
            <w:pPr>
              <w:jc w:val="both"/>
              <w:rPr>
                <w:rFonts w:eastAsia="Times New Roman"/>
                <w:sz w:val="20"/>
                <w:szCs w:val="20"/>
              </w:rPr>
            </w:pPr>
            <w:r>
              <w:rPr>
                <w:rFonts w:eastAsia="Times New Roman"/>
                <w:sz w:val="20"/>
                <w:szCs w:val="20"/>
              </w:rPr>
              <w:t>If, within 30 days immediately following the date of the Fa</w:t>
            </w:r>
            <w:r>
              <w:rPr>
                <w:rFonts w:eastAsia="Times New Roman"/>
                <w:sz w:val="20"/>
                <w:szCs w:val="20"/>
              </w:rPr>
              <w:t>ir Value Offer, the Company and the Dissenting Shareholder fail to agree on a price at which the Company will purchase the Dissenting Shareholder’s Shares, then, within 20 days immediately following the date of the expiry of such 30-day period, the Company</w:t>
            </w:r>
            <w:r>
              <w:rPr>
                <w:rFonts w:eastAsia="Times New Roman"/>
                <w:sz w:val="20"/>
                <w:szCs w:val="20"/>
              </w:rPr>
              <w:t xml:space="preserve"> must, and the Dissenting Shareholder may, file a petition with the Grand Court for a determination of the fair value of the Shares held by all Dissenting Shareholders who have served a Notice of Dissent, which petition by the Company must be accompanied b</w:t>
            </w:r>
            <w:r>
              <w:rPr>
                <w:rFonts w:eastAsia="Times New Roman"/>
                <w:sz w:val="20"/>
                <w:szCs w:val="20"/>
              </w:rPr>
              <w:t>y a verified list containing the names and addresses of all Company shareholders who have filed a Notice of Dissent and who have not agreed with the Company as to the fair value of such Shares (if a Dissenting Shareholder files a petition, the Company must</w:t>
            </w:r>
            <w:r>
              <w:rPr>
                <w:rFonts w:eastAsia="Times New Roman"/>
                <w:sz w:val="20"/>
                <w:szCs w:val="20"/>
              </w:rPr>
              <w:t xml:space="preserve"> file such verified list within 10 days after service of such petition on the Company).</w:t>
            </w:r>
          </w:p>
        </w:tc>
      </w:tr>
    </w:tbl>
    <w:p w14:paraId="0294DDA5" w14:textId="77777777" w:rsidR="00000000" w:rsidRDefault="002F725F">
      <w:pPr>
        <w:pStyle w:val="NormalWeb"/>
        <w:spacing w:before="0" w:beforeAutospacing="0" w:after="0" w:afterAutospacing="0"/>
        <w:divId w:val="415980837"/>
        <w:rPr>
          <w:sz w:val="20"/>
          <w:szCs w:val="20"/>
        </w:rPr>
      </w:pPr>
      <w:r>
        <w:rPr>
          <w:sz w:val="20"/>
          <w:szCs w:val="20"/>
        </w:rPr>
        <w:t> </w:t>
      </w:r>
    </w:p>
    <w:p w14:paraId="2407BE49" w14:textId="77777777" w:rsidR="00000000" w:rsidRDefault="002F725F">
      <w:pPr>
        <w:pStyle w:val="NormalWeb"/>
        <w:spacing w:before="0" w:beforeAutospacing="0" w:after="0" w:afterAutospacing="0"/>
        <w:jc w:val="center"/>
        <w:divId w:val="1878931783"/>
        <w:rPr>
          <w:sz w:val="20"/>
          <w:szCs w:val="20"/>
        </w:rPr>
      </w:pPr>
      <w:r>
        <w:rPr>
          <w:sz w:val="20"/>
          <w:szCs w:val="20"/>
        </w:rPr>
        <w:t>9</w:t>
      </w:r>
      <w:r>
        <w:rPr>
          <w:sz w:val="20"/>
          <w:szCs w:val="20"/>
        </w:rPr>
        <w:t>8</w:t>
      </w:r>
    </w:p>
    <w:p w14:paraId="581BCAF7" w14:textId="77777777" w:rsidR="00000000" w:rsidRDefault="002F725F">
      <w:pPr>
        <w:pStyle w:val="NormalWeb"/>
        <w:spacing w:before="0" w:beforeAutospacing="0" w:after="0" w:afterAutospacing="0"/>
        <w:divId w:val="1932614960"/>
        <w:rPr>
          <w:sz w:val="20"/>
          <w:szCs w:val="20"/>
        </w:rPr>
      </w:pPr>
      <w:r>
        <w:rPr>
          <w:sz w:val="20"/>
          <w:szCs w:val="20"/>
        </w:rPr>
        <w:t> </w:t>
      </w:r>
    </w:p>
    <w:p w14:paraId="3D464B6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CC6DF31" w14:textId="77777777">
        <w:trPr>
          <w:divId w:val="415980837"/>
          <w:tblCellSpacing w:w="0" w:type="dxa"/>
        </w:trPr>
        <w:tc>
          <w:tcPr>
            <w:tcW w:w="720" w:type="dxa"/>
            <w:hideMark/>
          </w:tcPr>
          <w:p w14:paraId="4CC7C147" w14:textId="77777777" w:rsidR="00000000" w:rsidRDefault="002F725F">
            <w:pPr>
              <w:rPr>
                <w:sz w:val="20"/>
                <w:szCs w:val="20"/>
              </w:rPr>
            </w:pPr>
          </w:p>
        </w:tc>
        <w:tc>
          <w:tcPr>
            <w:tcW w:w="360" w:type="dxa"/>
            <w:hideMark/>
          </w:tcPr>
          <w:p w14:paraId="264E9B3C" w14:textId="77777777" w:rsidR="00000000" w:rsidRDefault="002F725F">
            <w:pPr>
              <w:rPr>
                <w:rFonts w:eastAsia="Times New Roman"/>
                <w:sz w:val="20"/>
                <w:szCs w:val="20"/>
              </w:rPr>
            </w:pPr>
            <w:r>
              <w:rPr>
                <w:rFonts w:eastAsia="Times New Roman"/>
                <w:sz w:val="20"/>
                <w:szCs w:val="20"/>
              </w:rPr>
              <w:t>(7)</w:t>
            </w:r>
          </w:p>
        </w:tc>
        <w:tc>
          <w:tcPr>
            <w:tcW w:w="0" w:type="auto"/>
            <w:hideMark/>
          </w:tcPr>
          <w:p w14:paraId="30A6097D" w14:textId="77777777" w:rsidR="00000000" w:rsidRDefault="002F725F">
            <w:pPr>
              <w:jc w:val="both"/>
              <w:rPr>
                <w:rFonts w:eastAsia="Times New Roman"/>
                <w:sz w:val="20"/>
                <w:szCs w:val="20"/>
              </w:rPr>
            </w:pPr>
            <w:r>
              <w:rPr>
                <w:rFonts w:eastAsia="Times New Roman"/>
                <w:sz w:val="20"/>
                <w:szCs w:val="20"/>
              </w:rPr>
              <w:t>If a petition is timely filed and served, the Grand Court will determine at a hearing at which Dissenting Shareholders are entitled to participate, (a) t</w:t>
            </w:r>
            <w:r>
              <w:rPr>
                <w:rFonts w:eastAsia="Times New Roman"/>
                <w:sz w:val="20"/>
                <w:szCs w:val="20"/>
              </w:rPr>
              <w:t>he fair value of such Shares held by those shareholders as the Grand Court finds are involved with a fair rate of interest, if any, to be paid by the Company upon the amount determined to be the fair value and (b) the costs of the proceeding and the alloca</w:t>
            </w:r>
            <w:r>
              <w:rPr>
                <w:rFonts w:eastAsia="Times New Roman"/>
                <w:sz w:val="20"/>
                <w:szCs w:val="20"/>
              </w:rPr>
              <w:t>tion of such costs upon the parties.</w:t>
            </w:r>
          </w:p>
        </w:tc>
      </w:tr>
    </w:tbl>
    <w:p w14:paraId="246D5263" w14:textId="77777777" w:rsidR="00000000" w:rsidRDefault="002F725F">
      <w:pPr>
        <w:pStyle w:val="NormalWeb"/>
        <w:spacing w:before="0" w:beforeAutospacing="0" w:after="0" w:afterAutospacing="0"/>
        <w:divId w:val="415980837"/>
        <w:rPr>
          <w:sz w:val="20"/>
          <w:szCs w:val="20"/>
        </w:rPr>
      </w:pPr>
      <w:r>
        <w:rPr>
          <w:sz w:val="20"/>
          <w:szCs w:val="20"/>
        </w:rPr>
        <w:t> </w:t>
      </w:r>
    </w:p>
    <w:p w14:paraId="10FE75E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All notices and petitions must be executed by or for the Company shareholder of record or a person duly authorized on behalf of that Company shareholder, fully and correctly, as such Company shareholder’s name appear</w:t>
      </w:r>
      <w:r>
        <w:rPr>
          <w:sz w:val="20"/>
          <w:szCs w:val="20"/>
        </w:rPr>
        <w:t xml:space="preserve">s </w:t>
      </w:r>
      <w:r>
        <w:rPr>
          <w:sz w:val="20"/>
          <w:szCs w:val="20"/>
        </w:rPr>
        <w:lastRenderedPageBreak/>
        <w:t>on the register of members of the Company. If Shares are owned of record in a fiduciary capacity, such as by a trustee, guardian or custodian, these notices must be executed by or for the fiduciary. If Shares are owned by or for more than one person, suc</w:t>
      </w:r>
      <w:r>
        <w:rPr>
          <w:sz w:val="20"/>
          <w:szCs w:val="20"/>
        </w:rPr>
        <w:t>h notices and petitions must be executed by or for all joint owners. An authorized agent, including an agent for two or more joint owners, may execute the notices or petitions for a Company shareholder of record. The agent must, however, identify the recor</w:t>
      </w:r>
      <w:r>
        <w:rPr>
          <w:sz w:val="20"/>
          <w:szCs w:val="20"/>
        </w:rPr>
        <w:t>d owner and expressly disclose the fact that, in exercising the notice, he or she is acting as agent for the record owner. A person having a beneficial interest in Shares held of record in the name of another person, such as a broker or other nominee, must</w:t>
      </w:r>
      <w:r>
        <w:rPr>
          <w:sz w:val="20"/>
          <w:szCs w:val="20"/>
        </w:rPr>
        <w:t xml:space="preserve"> act promptly to cause the record holder to follow the steps summarized above and in a timely manner to perfect whatever Dissenters’ Rights attached to such Shares.</w:t>
      </w:r>
    </w:p>
    <w:p w14:paraId="0CFE2C3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DF3C34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If you do not satisfy each of these requirements and comply strictly with all procedures required by the Cayman Islands Companies Act with regard to the exercise of Dissenters’ Rights, you cannot exercise Dissenters’ Rights and will be bound by the terms o</w:t>
      </w:r>
      <w:r>
        <w:rPr>
          <w:sz w:val="20"/>
          <w:szCs w:val="20"/>
        </w:rPr>
        <w:t>f the Merger Agreement and the Plan of Merger. Submitting a proxy card that does not direct how the Shares represented by that proxy are to be voted will give the proxy holder discretion to vote as it determines appropriate. In addition, failure to vote yo</w:t>
      </w:r>
      <w:r>
        <w:rPr>
          <w:sz w:val="20"/>
          <w:szCs w:val="20"/>
        </w:rPr>
        <w:t>ur Shares, or a vote against the Merger proposal, will not alone satisfy the notice requirement referred to above. You must send all notices to the Company at</w:t>
      </w:r>
      <w:r>
        <w:rPr>
          <w:sz w:val="20"/>
          <w:szCs w:val="20"/>
          <w:u w:val="single"/>
        </w:rPr>
        <w:t>                    </w:t>
      </w:r>
      <w:r>
        <w:rPr>
          <w:sz w:val="20"/>
          <w:szCs w:val="20"/>
        </w:rPr>
        <w:t>.</w:t>
      </w:r>
    </w:p>
    <w:p w14:paraId="5B98421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B2BE2B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If you are considering dissenting, you should be aware that the fair value</w:t>
      </w:r>
      <w:r>
        <w:rPr>
          <w:sz w:val="20"/>
          <w:szCs w:val="20"/>
        </w:rPr>
        <w:t xml:space="preserve"> of your Shares as determined by the Grand Court (as applicable) under Section 238 of the Cayman Islands Companies Act could be more than, the same as, or less than the merger consideration you would receive pursuant to the Merger Agreement if you do not e</w:t>
      </w:r>
      <w:r>
        <w:rPr>
          <w:sz w:val="20"/>
          <w:szCs w:val="20"/>
        </w:rPr>
        <w:t>xercise Dissenters’ Rights with respect to your Shares. Depending on the outcome of any petition under Section 238 of the Cayman Islands Companies Act, the Grand Court may order you to pay the Company’s recoverable legal expenses of that petition.</w:t>
      </w:r>
    </w:p>
    <w:p w14:paraId="5DA4699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773457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pr</w:t>
      </w:r>
      <w:r>
        <w:rPr>
          <w:sz w:val="20"/>
          <w:szCs w:val="20"/>
        </w:rPr>
        <w:t xml:space="preserve">ovisions of Section 238 of the Cayman Islands Companies Act are technical and complex. If you fail to comply strictly with the procedures set forth in Section 238, you will lose your Dissenters’ Rights. You should consult your Cayman Islands legal counsel </w:t>
      </w:r>
      <w:r>
        <w:rPr>
          <w:sz w:val="20"/>
          <w:szCs w:val="20"/>
        </w:rPr>
        <w:t>if you wish to exercise Dissenters’ Rights.</w:t>
      </w:r>
    </w:p>
    <w:p w14:paraId="6C3D5D0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9275547" w14:textId="77777777" w:rsidR="00000000" w:rsidRDefault="002F725F">
      <w:pPr>
        <w:pStyle w:val="NormalWeb"/>
        <w:spacing w:before="0" w:beforeAutospacing="0" w:after="0" w:afterAutospacing="0"/>
        <w:jc w:val="center"/>
        <w:divId w:val="718554517"/>
        <w:rPr>
          <w:sz w:val="20"/>
          <w:szCs w:val="20"/>
        </w:rPr>
      </w:pPr>
      <w:r>
        <w:rPr>
          <w:sz w:val="20"/>
          <w:szCs w:val="20"/>
        </w:rPr>
        <w:t>9</w:t>
      </w:r>
      <w:r>
        <w:rPr>
          <w:sz w:val="20"/>
          <w:szCs w:val="20"/>
        </w:rPr>
        <w:t>9</w:t>
      </w:r>
    </w:p>
    <w:p w14:paraId="44FF3605" w14:textId="77777777" w:rsidR="00000000" w:rsidRDefault="002F725F">
      <w:pPr>
        <w:pStyle w:val="NormalWeb"/>
        <w:spacing w:before="0" w:beforeAutospacing="0" w:after="0" w:afterAutospacing="0"/>
        <w:divId w:val="310869585"/>
        <w:rPr>
          <w:sz w:val="20"/>
          <w:szCs w:val="20"/>
        </w:rPr>
      </w:pPr>
      <w:r>
        <w:rPr>
          <w:sz w:val="20"/>
          <w:szCs w:val="20"/>
        </w:rPr>
        <w:t> </w:t>
      </w:r>
    </w:p>
    <w:p w14:paraId="0DC8449F"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56FD4354" w14:textId="77777777" w:rsidR="00000000" w:rsidRDefault="002F725F">
      <w:pPr>
        <w:pStyle w:val="NormalWeb"/>
        <w:spacing w:before="0" w:beforeAutospacing="0" w:after="0" w:afterAutospacing="0"/>
        <w:jc w:val="center"/>
        <w:divId w:val="415980837"/>
        <w:rPr>
          <w:sz w:val="20"/>
          <w:szCs w:val="20"/>
        </w:rPr>
      </w:pPr>
      <w:bookmarkStart w:id="28" w:name="gfpea028961701ex99-a1.htmk_009"/>
      <w:bookmarkEnd w:id="28"/>
      <w:r>
        <w:rPr>
          <w:b/>
          <w:bCs/>
          <w:sz w:val="20"/>
          <w:szCs w:val="20"/>
        </w:rPr>
        <w:t>FINANCIAL INFORMATION</w:t>
      </w:r>
    </w:p>
    <w:p w14:paraId="4D0CD6DD"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009BC4F7" w14:textId="77777777" w:rsidR="00000000" w:rsidRDefault="002F725F">
      <w:pPr>
        <w:pStyle w:val="NormalWeb"/>
        <w:spacing w:before="0" w:beforeAutospacing="0" w:after="0" w:afterAutospacing="0"/>
        <w:jc w:val="both"/>
        <w:divId w:val="415980837"/>
        <w:rPr>
          <w:sz w:val="20"/>
          <w:szCs w:val="20"/>
        </w:rPr>
      </w:pPr>
      <w:r>
        <w:rPr>
          <w:i/>
          <w:iCs/>
          <w:sz w:val="20"/>
          <w:szCs w:val="20"/>
        </w:rPr>
        <w:t>Selected Historical Financial Information</w:t>
      </w:r>
    </w:p>
    <w:p w14:paraId="72DFE1B0"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1E2125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following sets forth certain </w:t>
      </w:r>
      <w:r>
        <w:rPr>
          <w:sz w:val="20"/>
          <w:szCs w:val="20"/>
        </w:rPr>
        <w:t xml:space="preserve">selected historical consolidated financial information of the Company. The following selected consolidated statements of operations and comprehensive loss data for the fiscal years ended March 31, 2024 and 2025 and the selected consolidated balance sheets </w:t>
      </w:r>
      <w:r>
        <w:rPr>
          <w:sz w:val="20"/>
          <w:szCs w:val="20"/>
        </w:rPr>
        <w:t>data as of March 31, 2024 and 2025 have been derived from the Company’s consolidated financial statements, which are included in the Company’s Annual Report, beginning on page F-1. The Company’s historical results for any period are not necessarily indicat</w:t>
      </w:r>
      <w:r>
        <w:rPr>
          <w:sz w:val="20"/>
          <w:szCs w:val="20"/>
        </w:rPr>
        <w:t>ive of results to be expected for any future period. The selected consolidated financial data should be read in conjunction with, and are qualified in their entirety by reference to, the Company’s audited consolidated financial statements and related notes</w:t>
      </w:r>
      <w:r>
        <w:rPr>
          <w:sz w:val="20"/>
          <w:szCs w:val="20"/>
        </w:rPr>
        <w:t xml:space="preserve"> and “Item 5. Operating and Financial Review and Prospects” in the Company’s Annual Report, which are incorporated into this proxy statement by reference. See “Where You Can Find More Information” for a description of how to obtain a copy of such report.</w:t>
      </w:r>
    </w:p>
    <w:p w14:paraId="28E6DDF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5758"/>
        <w:gridCol w:w="50"/>
        <w:gridCol w:w="50"/>
        <w:gridCol w:w="1067"/>
        <w:gridCol w:w="67"/>
        <w:gridCol w:w="50"/>
        <w:gridCol w:w="50"/>
        <w:gridCol w:w="1067"/>
        <w:gridCol w:w="67"/>
        <w:gridCol w:w="50"/>
        <w:gridCol w:w="50"/>
        <w:gridCol w:w="967"/>
        <w:gridCol w:w="67"/>
      </w:tblGrid>
      <w:tr w:rsidR="00000000" w14:paraId="108D4CC3" w14:textId="77777777">
        <w:trPr>
          <w:divId w:val="415980837"/>
        </w:trPr>
        <w:tc>
          <w:tcPr>
            <w:tcW w:w="0" w:type="auto"/>
            <w:vAlign w:val="bottom"/>
            <w:hideMark/>
          </w:tcPr>
          <w:p w14:paraId="3BDEFDD7" w14:textId="77777777" w:rsidR="00000000" w:rsidRDefault="002F725F">
            <w:pPr>
              <w:jc w:val="center"/>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74BCED28" w14:textId="77777777" w:rsidR="00000000" w:rsidRDefault="002F725F">
            <w:pPr>
              <w:rPr>
                <w:rFonts w:eastAsia="Times New Roman"/>
                <w:b/>
                <w:bCs/>
                <w:sz w:val="20"/>
                <w:szCs w:val="20"/>
              </w:rPr>
            </w:pPr>
            <w:r>
              <w:rPr>
                <w:rFonts w:eastAsia="Times New Roman"/>
                <w:b/>
                <w:bCs/>
                <w:sz w:val="20"/>
                <w:szCs w:val="20"/>
              </w:rPr>
              <w:t> </w:t>
            </w:r>
          </w:p>
        </w:tc>
        <w:tc>
          <w:tcPr>
            <w:tcW w:w="0" w:type="auto"/>
            <w:gridSpan w:val="10"/>
            <w:tcBorders>
              <w:bottom w:val="single" w:sz="12" w:space="0" w:color="000000"/>
            </w:tcBorders>
            <w:vAlign w:val="bottom"/>
            <w:hideMark/>
          </w:tcPr>
          <w:p w14:paraId="0EE2FF63" w14:textId="77777777" w:rsidR="00000000" w:rsidRDefault="002F725F">
            <w:pPr>
              <w:jc w:val="center"/>
              <w:rPr>
                <w:rFonts w:eastAsia="Times New Roman"/>
                <w:b/>
                <w:bCs/>
                <w:sz w:val="20"/>
                <w:szCs w:val="20"/>
              </w:rPr>
            </w:pPr>
            <w:r>
              <w:rPr>
                <w:rFonts w:eastAsia="Times New Roman"/>
                <w:b/>
                <w:bCs/>
                <w:sz w:val="20"/>
                <w:szCs w:val="20"/>
              </w:rPr>
              <w:t>For the Year Ended March 31,</w:t>
            </w:r>
          </w:p>
        </w:tc>
        <w:tc>
          <w:tcPr>
            <w:tcW w:w="0" w:type="auto"/>
            <w:tcMar>
              <w:top w:w="0" w:type="dxa"/>
              <w:left w:w="0" w:type="dxa"/>
              <w:bottom w:w="30" w:type="dxa"/>
              <w:right w:w="0" w:type="dxa"/>
            </w:tcMar>
            <w:vAlign w:val="bottom"/>
            <w:hideMark/>
          </w:tcPr>
          <w:p w14:paraId="356C2327" w14:textId="77777777" w:rsidR="00000000" w:rsidRDefault="002F725F">
            <w:pPr>
              <w:rPr>
                <w:rFonts w:eastAsia="Times New Roman"/>
                <w:b/>
                <w:bCs/>
                <w:sz w:val="20"/>
                <w:szCs w:val="20"/>
              </w:rPr>
            </w:pPr>
            <w:r>
              <w:rPr>
                <w:rFonts w:eastAsia="Times New Roman"/>
                <w:b/>
                <w:bCs/>
                <w:sz w:val="20"/>
                <w:szCs w:val="20"/>
              </w:rPr>
              <w:t> </w:t>
            </w:r>
          </w:p>
        </w:tc>
      </w:tr>
      <w:tr w:rsidR="00000000" w14:paraId="0D0FB54F" w14:textId="77777777">
        <w:trPr>
          <w:divId w:val="415980837"/>
        </w:trPr>
        <w:tc>
          <w:tcPr>
            <w:tcW w:w="0" w:type="auto"/>
            <w:vAlign w:val="bottom"/>
            <w:hideMark/>
          </w:tcPr>
          <w:p w14:paraId="17C69428" w14:textId="77777777" w:rsidR="00000000" w:rsidRDefault="002F725F">
            <w:pPr>
              <w:jc w:val="center"/>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382E88AA"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6C3DBC32" w14:textId="77777777" w:rsidR="00000000" w:rsidRDefault="002F725F">
            <w:pPr>
              <w:jc w:val="center"/>
              <w:rPr>
                <w:rFonts w:eastAsia="Times New Roman"/>
                <w:b/>
                <w:bCs/>
                <w:sz w:val="20"/>
                <w:szCs w:val="20"/>
              </w:rPr>
            </w:pPr>
            <w:r>
              <w:rPr>
                <w:rFonts w:eastAsia="Times New Roman"/>
                <w:b/>
                <w:bCs/>
                <w:sz w:val="20"/>
                <w:szCs w:val="20"/>
              </w:rPr>
              <w:t>2024</w:t>
            </w:r>
          </w:p>
        </w:tc>
        <w:tc>
          <w:tcPr>
            <w:tcW w:w="0" w:type="auto"/>
            <w:tcMar>
              <w:top w:w="0" w:type="dxa"/>
              <w:left w:w="0" w:type="dxa"/>
              <w:bottom w:w="30" w:type="dxa"/>
              <w:right w:w="0" w:type="dxa"/>
            </w:tcMar>
            <w:vAlign w:val="bottom"/>
            <w:hideMark/>
          </w:tcPr>
          <w:p w14:paraId="1769AD39"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4C271C47" w14:textId="77777777" w:rsidR="00000000" w:rsidRDefault="002F725F">
            <w:pPr>
              <w:rPr>
                <w:rFonts w:eastAsia="Times New Roman"/>
                <w:b/>
                <w:bCs/>
                <w:sz w:val="20"/>
                <w:szCs w:val="20"/>
              </w:rPr>
            </w:pPr>
            <w:r>
              <w:rPr>
                <w:rFonts w:eastAsia="Times New Roman"/>
                <w:b/>
                <w:bCs/>
                <w:sz w:val="20"/>
                <w:szCs w:val="20"/>
              </w:rPr>
              <w:t> </w:t>
            </w:r>
          </w:p>
        </w:tc>
        <w:tc>
          <w:tcPr>
            <w:tcW w:w="0" w:type="auto"/>
            <w:gridSpan w:val="6"/>
            <w:tcBorders>
              <w:bottom w:val="single" w:sz="12" w:space="0" w:color="000000"/>
            </w:tcBorders>
            <w:vAlign w:val="bottom"/>
            <w:hideMark/>
          </w:tcPr>
          <w:p w14:paraId="1374AEF4" w14:textId="77777777" w:rsidR="00000000" w:rsidRDefault="002F725F">
            <w:pPr>
              <w:jc w:val="center"/>
              <w:rPr>
                <w:rFonts w:eastAsia="Times New Roman"/>
                <w:b/>
                <w:bCs/>
                <w:sz w:val="20"/>
                <w:szCs w:val="20"/>
              </w:rPr>
            </w:pPr>
            <w:r>
              <w:rPr>
                <w:rFonts w:eastAsia="Times New Roman"/>
                <w:b/>
                <w:bCs/>
                <w:sz w:val="20"/>
                <w:szCs w:val="20"/>
              </w:rPr>
              <w:t>2025</w:t>
            </w:r>
          </w:p>
        </w:tc>
        <w:tc>
          <w:tcPr>
            <w:tcW w:w="0" w:type="auto"/>
            <w:tcMar>
              <w:top w:w="0" w:type="dxa"/>
              <w:left w:w="0" w:type="dxa"/>
              <w:bottom w:w="30" w:type="dxa"/>
              <w:right w:w="0" w:type="dxa"/>
            </w:tcMar>
            <w:vAlign w:val="bottom"/>
            <w:hideMark/>
          </w:tcPr>
          <w:p w14:paraId="7E689456" w14:textId="77777777" w:rsidR="00000000" w:rsidRDefault="002F725F">
            <w:pPr>
              <w:rPr>
                <w:rFonts w:eastAsia="Times New Roman"/>
                <w:b/>
                <w:bCs/>
                <w:sz w:val="20"/>
                <w:szCs w:val="20"/>
              </w:rPr>
            </w:pPr>
            <w:r>
              <w:rPr>
                <w:rFonts w:eastAsia="Times New Roman"/>
                <w:b/>
                <w:bCs/>
                <w:sz w:val="20"/>
                <w:szCs w:val="20"/>
              </w:rPr>
              <w:t> </w:t>
            </w:r>
          </w:p>
        </w:tc>
      </w:tr>
      <w:tr w:rsidR="00000000" w14:paraId="406C82CD" w14:textId="77777777">
        <w:trPr>
          <w:divId w:val="415980837"/>
        </w:trPr>
        <w:tc>
          <w:tcPr>
            <w:tcW w:w="0" w:type="auto"/>
            <w:vAlign w:val="bottom"/>
            <w:hideMark/>
          </w:tcPr>
          <w:p w14:paraId="2EAB5A29" w14:textId="77777777" w:rsidR="00000000" w:rsidRDefault="002F725F">
            <w:pPr>
              <w:jc w:val="center"/>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7EAEB527"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0F688657" w14:textId="77777777" w:rsidR="00000000" w:rsidRDefault="002F725F">
            <w:pPr>
              <w:jc w:val="center"/>
              <w:rPr>
                <w:rFonts w:eastAsia="Times New Roman"/>
                <w:b/>
                <w:bCs/>
                <w:sz w:val="20"/>
                <w:szCs w:val="20"/>
              </w:rPr>
            </w:pPr>
            <w:r>
              <w:rPr>
                <w:rFonts w:eastAsia="Times New Roman"/>
                <w:b/>
                <w:bCs/>
                <w:sz w:val="20"/>
                <w:szCs w:val="20"/>
              </w:rPr>
              <w:t>RMB</w:t>
            </w:r>
          </w:p>
        </w:tc>
        <w:tc>
          <w:tcPr>
            <w:tcW w:w="0" w:type="auto"/>
            <w:tcMar>
              <w:top w:w="0" w:type="dxa"/>
              <w:left w:w="0" w:type="dxa"/>
              <w:bottom w:w="30" w:type="dxa"/>
              <w:right w:w="0" w:type="dxa"/>
            </w:tcMar>
            <w:vAlign w:val="bottom"/>
            <w:hideMark/>
          </w:tcPr>
          <w:p w14:paraId="37F6841C"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0736EB1C"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60E648D8" w14:textId="77777777" w:rsidR="00000000" w:rsidRDefault="002F725F">
            <w:pPr>
              <w:jc w:val="center"/>
              <w:rPr>
                <w:rFonts w:eastAsia="Times New Roman"/>
                <w:b/>
                <w:bCs/>
                <w:sz w:val="20"/>
                <w:szCs w:val="20"/>
              </w:rPr>
            </w:pPr>
            <w:r>
              <w:rPr>
                <w:rFonts w:eastAsia="Times New Roman"/>
                <w:b/>
                <w:bCs/>
                <w:sz w:val="20"/>
                <w:szCs w:val="20"/>
              </w:rPr>
              <w:t>RMB</w:t>
            </w:r>
          </w:p>
        </w:tc>
        <w:tc>
          <w:tcPr>
            <w:tcW w:w="0" w:type="auto"/>
            <w:tcMar>
              <w:top w:w="0" w:type="dxa"/>
              <w:left w:w="0" w:type="dxa"/>
              <w:bottom w:w="30" w:type="dxa"/>
              <w:right w:w="0" w:type="dxa"/>
            </w:tcMar>
            <w:vAlign w:val="bottom"/>
            <w:hideMark/>
          </w:tcPr>
          <w:p w14:paraId="7D855EBB"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00902B17"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35D1CE46" w14:textId="77777777" w:rsidR="00000000" w:rsidRDefault="002F725F">
            <w:pPr>
              <w:jc w:val="center"/>
              <w:rPr>
                <w:rFonts w:eastAsia="Times New Roman"/>
                <w:b/>
                <w:bCs/>
                <w:sz w:val="20"/>
                <w:szCs w:val="20"/>
              </w:rPr>
            </w:pPr>
            <w:r>
              <w:rPr>
                <w:rFonts w:eastAsia="Times New Roman"/>
                <w:b/>
                <w:bCs/>
                <w:sz w:val="20"/>
                <w:szCs w:val="20"/>
              </w:rPr>
              <w:t>US$</w:t>
            </w:r>
          </w:p>
        </w:tc>
        <w:tc>
          <w:tcPr>
            <w:tcW w:w="0" w:type="auto"/>
            <w:tcMar>
              <w:top w:w="0" w:type="dxa"/>
              <w:left w:w="0" w:type="dxa"/>
              <w:bottom w:w="30" w:type="dxa"/>
              <w:right w:w="0" w:type="dxa"/>
            </w:tcMar>
            <w:vAlign w:val="bottom"/>
            <w:hideMark/>
          </w:tcPr>
          <w:p w14:paraId="4CE320C2" w14:textId="77777777" w:rsidR="00000000" w:rsidRDefault="002F725F">
            <w:pPr>
              <w:rPr>
                <w:rFonts w:eastAsia="Times New Roman"/>
                <w:b/>
                <w:bCs/>
                <w:sz w:val="20"/>
                <w:szCs w:val="20"/>
              </w:rPr>
            </w:pPr>
            <w:r>
              <w:rPr>
                <w:rFonts w:eastAsia="Times New Roman"/>
                <w:b/>
                <w:bCs/>
                <w:sz w:val="20"/>
                <w:szCs w:val="20"/>
              </w:rPr>
              <w:t> </w:t>
            </w:r>
          </w:p>
        </w:tc>
      </w:tr>
      <w:tr w:rsidR="00000000" w14:paraId="3E3826E0" w14:textId="77777777">
        <w:trPr>
          <w:divId w:val="415980837"/>
        </w:trPr>
        <w:tc>
          <w:tcPr>
            <w:tcW w:w="0" w:type="auto"/>
            <w:vAlign w:val="bottom"/>
            <w:hideMark/>
          </w:tcPr>
          <w:p w14:paraId="1DE2C186"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1F26FD5C" w14:textId="77777777" w:rsidR="00000000" w:rsidRDefault="002F725F">
            <w:pPr>
              <w:rPr>
                <w:rFonts w:eastAsia="Times New Roman"/>
                <w:b/>
                <w:bCs/>
                <w:sz w:val="20"/>
                <w:szCs w:val="20"/>
              </w:rPr>
            </w:pPr>
            <w:r>
              <w:rPr>
                <w:rFonts w:eastAsia="Times New Roman"/>
                <w:b/>
                <w:bCs/>
                <w:sz w:val="20"/>
                <w:szCs w:val="20"/>
              </w:rPr>
              <w:t> </w:t>
            </w:r>
          </w:p>
        </w:tc>
        <w:tc>
          <w:tcPr>
            <w:tcW w:w="0" w:type="auto"/>
            <w:gridSpan w:val="10"/>
            <w:vAlign w:val="bottom"/>
            <w:hideMark/>
          </w:tcPr>
          <w:p w14:paraId="35D2776F" w14:textId="77777777" w:rsidR="00000000" w:rsidRDefault="002F725F">
            <w:pPr>
              <w:jc w:val="center"/>
              <w:rPr>
                <w:rFonts w:eastAsia="Times New Roman"/>
                <w:b/>
                <w:bCs/>
                <w:sz w:val="20"/>
                <w:szCs w:val="20"/>
              </w:rPr>
            </w:pPr>
            <w:r>
              <w:rPr>
                <w:rFonts w:eastAsia="Times New Roman"/>
                <w:b/>
                <w:bCs/>
                <w:sz w:val="20"/>
                <w:szCs w:val="20"/>
              </w:rPr>
              <w:t>(in thousands, except for Share and per Share data)</w:t>
            </w:r>
          </w:p>
        </w:tc>
        <w:tc>
          <w:tcPr>
            <w:tcW w:w="0" w:type="auto"/>
            <w:vAlign w:val="bottom"/>
            <w:hideMark/>
          </w:tcPr>
          <w:p w14:paraId="663C9BF6" w14:textId="77777777" w:rsidR="00000000" w:rsidRDefault="002F725F">
            <w:pPr>
              <w:rPr>
                <w:rFonts w:eastAsia="Times New Roman"/>
                <w:b/>
                <w:bCs/>
                <w:sz w:val="20"/>
                <w:szCs w:val="20"/>
              </w:rPr>
            </w:pPr>
            <w:r>
              <w:rPr>
                <w:rFonts w:eastAsia="Times New Roman"/>
                <w:b/>
                <w:bCs/>
                <w:sz w:val="20"/>
                <w:szCs w:val="20"/>
              </w:rPr>
              <w:t> </w:t>
            </w:r>
          </w:p>
        </w:tc>
      </w:tr>
      <w:tr w:rsidR="00000000" w14:paraId="3DDBD657" w14:textId="77777777">
        <w:trPr>
          <w:divId w:val="415980837"/>
        </w:trPr>
        <w:tc>
          <w:tcPr>
            <w:tcW w:w="0" w:type="auto"/>
            <w:vAlign w:val="bottom"/>
            <w:hideMark/>
          </w:tcPr>
          <w:p w14:paraId="0B38388B" w14:textId="77777777" w:rsidR="00000000" w:rsidRDefault="002F725F">
            <w:pPr>
              <w:rPr>
                <w:rFonts w:eastAsia="Times New Roman"/>
                <w:b/>
                <w:bCs/>
                <w:sz w:val="20"/>
                <w:szCs w:val="20"/>
              </w:rPr>
            </w:pPr>
            <w:r>
              <w:rPr>
                <w:rFonts w:eastAsia="Times New Roman"/>
                <w:b/>
                <w:bCs/>
                <w:sz w:val="20"/>
                <w:szCs w:val="20"/>
              </w:rPr>
              <w:t>Selected Consolidated Statements of Operations and Comprehensive Loss Data:</w:t>
            </w:r>
          </w:p>
        </w:tc>
        <w:tc>
          <w:tcPr>
            <w:tcW w:w="0" w:type="auto"/>
            <w:vAlign w:val="bottom"/>
            <w:hideMark/>
          </w:tcPr>
          <w:p w14:paraId="06DDE5D2"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09C65B0C" w14:textId="77777777" w:rsidR="00000000" w:rsidRDefault="002F725F">
            <w:pPr>
              <w:jc w:val="right"/>
              <w:rPr>
                <w:rFonts w:eastAsia="Times New Roman"/>
                <w:sz w:val="20"/>
                <w:szCs w:val="20"/>
              </w:rPr>
            </w:pPr>
            <w:r>
              <w:rPr>
                <w:rFonts w:eastAsia="Times New Roman"/>
                <w:sz w:val="20"/>
                <w:szCs w:val="20"/>
              </w:rPr>
              <w:t> </w:t>
            </w:r>
          </w:p>
        </w:tc>
        <w:tc>
          <w:tcPr>
            <w:tcW w:w="0" w:type="auto"/>
            <w:vAlign w:val="bottom"/>
            <w:hideMark/>
          </w:tcPr>
          <w:p w14:paraId="199F7FDA"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16F89348"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5936F6C3"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2CA58D3A"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6627C39C"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1E8813D6" w14:textId="77777777" w:rsidR="00000000" w:rsidRDefault="002F725F">
            <w:pPr>
              <w:jc w:val="right"/>
              <w:rPr>
                <w:rFonts w:eastAsia="Times New Roman"/>
                <w:sz w:val="20"/>
                <w:szCs w:val="20"/>
              </w:rPr>
            </w:pPr>
            <w:r>
              <w:rPr>
                <w:rFonts w:eastAsia="Times New Roman"/>
                <w:sz w:val="20"/>
                <w:szCs w:val="20"/>
              </w:rPr>
              <w:t> </w:t>
            </w:r>
          </w:p>
        </w:tc>
        <w:tc>
          <w:tcPr>
            <w:tcW w:w="0" w:type="auto"/>
            <w:vAlign w:val="bottom"/>
            <w:hideMark/>
          </w:tcPr>
          <w:p w14:paraId="656DBC40" w14:textId="77777777" w:rsidR="00000000" w:rsidRDefault="002F725F">
            <w:pPr>
              <w:rPr>
                <w:rFonts w:eastAsia="Times New Roman"/>
                <w:sz w:val="20"/>
                <w:szCs w:val="20"/>
              </w:rPr>
            </w:pPr>
            <w:r>
              <w:rPr>
                <w:rFonts w:eastAsia="Times New Roman"/>
                <w:sz w:val="20"/>
                <w:szCs w:val="20"/>
              </w:rPr>
              <w:t> </w:t>
            </w:r>
          </w:p>
        </w:tc>
      </w:tr>
      <w:tr w:rsidR="00000000" w14:paraId="3E6E863C" w14:textId="77777777">
        <w:trPr>
          <w:divId w:val="415980837"/>
        </w:trPr>
        <w:tc>
          <w:tcPr>
            <w:tcW w:w="3200" w:type="pct"/>
            <w:shd w:val="clear" w:color="auto" w:fill="CCEEFF"/>
            <w:tcMar>
              <w:top w:w="0" w:type="dxa"/>
              <w:left w:w="200" w:type="dxa"/>
              <w:bottom w:w="0" w:type="dxa"/>
              <w:right w:w="0" w:type="dxa"/>
            </w:tcMar>
            <w:vAlign w:val="bottom"/>
            <w:hideMark/>
          </w:tcPr>
          <w:p w14:paraId="35BAA172" w14:textId="77777777" w:rsidR="00000000" w:rsidRDefault="002F725F">
            <w:pPr>
              <w:ind w:hanging="200"/>
              <w:rPr>
                <w:rFonts w:eastAsia="Times New Roman"/>
                <w:sz w:val="20"/>
                <w:szCs w:val="20"/>
              </w:rPr>
            </w:pPr>
            <w:r>
              <w:rPr>
                <w:rFonts w:eastAsia="Times New Roman"/>
                <w:sz w:val="20"/>
                <w:szCs w:val="20"/>
              </w:rPr>
              <w:t>Revenues</w:t>
            </w:r>
          </w:p>
        </w:tc>
        <w:tc>
          <w:tcPr>
            <w:tcW w:w="50" w:type="pct"/>
            <w:shd w:val="clear" w:color="auto" w:fill="CCEEFF"/>
            <w:vAlign w:val="bottom"/>
            <w:hideMark/>
          </w:tcPr>
          <w:p w14:paraId="53D06416"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7C9C7961"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CCEEFF"/>
            <w:vAlign w:val="bottom"/>
            <w:hideMark/>
          </w:tcPr>
          <w:p w14:paraId="19E972D4" w14:textId="77777777" w:rsidR="00000000" w:rsidRDefault="002F725F">
            <w:pPr>
              <w:jc w:val="right"/>
              <w:rPr>
                <w:rFonts w:eastAsia="Times New Roman"/>
                <w:sz w:val="20"/>
                <w:szCs w:val="20"/>
              </w:rPr>
            </w:pPr>
            <w:r>
              <w:rPr>
                <w:rFonts w:eastAsia="Times New Roman"/>
                <w:sz w:val="20"/>
                <w:szCs w:val="20"/>
              </w:rPr>
              <w:t>573,418,256</w:t>
            </w:r>
          </w:p>
        </w:tc>
        <w:tc>
          <w:tcPr>
            <w:tcW w:w="50" w:type="pct"/>
            <w:shd w:val="clear" w:color="auto" w:fill="CCEEFF"/>
            <w:vAlign w:val="bottom"/>
            <w:hideMark/>
          </w:tcPr>
          <w:p w14:paraId="2BE6FAC5"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572F238B"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46736C61"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CCEEFF"/>
            <w:vAlign w:val="bottom"/>
            <w:hideMark/>
          </w:tcPr>
          <w:p w14:paraId="551199C2" w14:textId="77777777" w:rsidR="00000000" w:rsidRDefault="002F725F">
            <w:pPr>
              <w:jc w:val="right"/>
              <w:rPr>
                <w:rFonts w:eastAsia="Times New Roman"/>
                <w:sz w:val="20"/>
                <w:szCs w:val="20"/>
              </w:rPr>
            </w:pPr>
            <w:r>
              <w:rPr>
                <w:rFonts w:eastAsia="Times New Roman"/>
                <w:sz w:val="20"/>
                <w:szCs w:val="20"/>
              </w:rPr>
              <w:t>614,961,584</w:t>
            </w:r>
          </w:p>
        </w:tc>
        <w:tc>
          <w:tcPr>
            <w:tcW w:w="50" w:type="pct"/>
            <w:shd w:val="clear" w:color="auto" w:fill="CCEEFF"/>
            <w:vAlign w:val="bottom"/>
            <w:hideMark/>
          </w:tcPr>
          <w:p w14:paraId="1F447D1F"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2180D958"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671EB898"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CCEEFF"/>
            <w:vAlign w:val="bottom"/>
            <w:hideMark/>
          </w:tcPr>
          <w:p w14:paraId="209C7ED4" w14:textId="77777777" w:rsidR="00000000" w:rsidRDefault="002F725F">
            <w:pPr>
              <w:jc w:val="right"/>
              <w:rPr>
                <w:rFonts w:eastAsia="Times New Roman"/>
                <w:sz w:val="20"/>
                <w:szCs w:val="20"/>
              </w:rPr>
            </w:pPr>
            <w:r>
              <w:rPr>
                <w:rFonts w:eastAsia="Times New Roman"/>
                <w:sz w:val="20"/>
                <w:szCs w:val="20"/>
              </w:rPr>
              <w:t>85,670,723</w:t>
            </w:r>
          </w:p>
        </w:tc>
        <w:tc>
          <w:tcPr>
            <w:tcW w:w="50" w:type="pct"/>
            <w:shd w:val="clear" w:color="auto" w:fill="CCEEFF"/>
            <w:vAlign w:val="bottom"/>
            <w:hideMark/>
          </w:tcPr>
          <w:p w14:paraId="2EBA5C2A" w14:textId="77777777" w:rsidR="00000000" w:rsidRDefault="002F725F">
            <w:pPr>
              <w:rPr>
                <w:rFonts w:eastAsia="Times New Roman"/>
                <w:sz w:val="20"/>
                <w:szCs w:val="20"/>
              </w:rPr>
            </w:pPr>
            <w:r>
              <w:rPr>
                <w:rFonts w:eastAsia="Times New Roman"/>
                <w:sz w:val="20"/>
                <w:szCs w:val="20"/>
              </w:rPr>
              <w:t> </w:t>
            </w:r>
          </w:p>
        </w:tc>
      </w:tr>
      <w:tr w:rsidR="00000000" w14:paraId="452F0448" w14:textId="77777777">
        <w:trPr>
          <w:divId w:val="415980837"/>
        </w:trPr>
        <w:tc>
          <w:tcPr>
            <w:tcW w:w="0" w:type="auto"/>
            <w:shd w:val="clear" w:color="auto" w:fill="FFFFFF"/>
            <w:tcMar>
              <w:top w:w="0" w:type="dxa"/>
              <w:left w:w="200" w:type="dxa"/>
              <w:bottom w:w="0" w:type="dxa"/>
              <w:right w:w="0" w:type="dxa"/>
            </w:tcMar>
            <w:vAlign w:val="bottom"/>
            <w:hideMark/>
          </w:tcPr>
          <w:p w14:paraId="31207082" w14:textId="77777777" w:rsidR="00000000" w:rsidRDefault="002F725F">
            <w:pPr>
              <w:ind w:hanging="200"/>
              <w:rPr>
                <w:rFonts w:eastAsia="Times New Roman"/>
                <w:sz w:val="20"/>
                <w:szCs w:val="20"/>
              </w:rPr>
            </w:pPr>
            <w:r>
              <w:rPr>
                <w:rFonts w:eastAsia="Times New Roman"/>
                <w:sz w:val="20"/>
                <w:szCs w:val="20"/>
              </w:rPr>
              <w:lastRenderedPageBreak/>
              <w:t>Gross profit</w:t>
            </w:r>
          </w:p>
        </w:tc>
        <w:tc>
          <w:tcPr>
            <w:tcW w:w="0" w:type="auto"/>
            <w:shd w:val="clear" w:color="auto" w:fill="FFFFFF"/>
            <w:vAlign w:val="bottom"/>
            <w:hideMark/>
          </w:tcPr>
          <w:p w14:paraId="4488F45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5132BB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B7FD69A" w14:textId="77777777" w:rsidR="00000000" w:rsidRDefault="002F725F">
            <w:pPr>
              <w:jc w:val="right"/>
              <w:rPr>
                <w:rFonts w:eastAsia="Times New Roman"/>
                <w:sz w:val="20"/>
                <w:szCs w:val="20"/>
              </w:rPr>
            </w:pPr>
            <w:r>
              <w:rPr>
                <w:rFonts w:eastAsia="Times New Roman"/>
                <w:sz w:val="20"/>
                <w:szCs w:val="20"/>
              </w:rPr>
              <w:t>455,729,955</w:t>
            </w:r>
          </w:p>
        </w:tc>
        <w:tc>
          <w:tcPr>
            <w:tcW w:w="0" w:type="auto"/>
            <w:shd w:val="clear" w:color="auto" w:fill="FFFFFF"/>
            <w:vAlign w:val="bottom"/>
            <w:hideMark/>
          </w:tcPr>
          <w:p w14:paraId="5258BFB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1BFAD4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167D99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813F477" w14:textId="77777777" w:rsidR="00000000" w:rsidRDefault="002F725F">
            <w:pPr>
              <w:jc w:val="right"/>
              <w:rPr>
                <w:rFonts w:eastAsia="Times New Roman"/>
                <w:sz w:val="20"/>
                <w:szCs w:val="20"/>
              </w:rPr>
            </w:pPr>
            <w:r>
              <w:rPr>
                <w:rFonts w:eastAsia="Times New Roman"/>
                <w:sz w:val="20"/>
                <w:szCs w:val="20"/>
              </w:rPr>
              <w:t>507,189,437</w:t>
            </w:r>
          </w:p>
        </w:tc>
        <w:tc>
          <w:tcPr>
            <w:tcW w:w="0" w:type="auto"/>
            <w:shd w:val="clear" w:color="auto" w:fill="FFFFFF"/>
            <w:vAlign w:val="bottom"/>
            <w:hideMark/>
          </w:tcPr>
          <w:p w14:paraId="209634F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D7A1F3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10BC7F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C02F971" w14:textId="77777777" w:rsidR="00000000" w:rsidRDefault="002F725F">
            <w:pPr>
              <w:jc w:val="right"/>
              <w:rPr>
                <w:rFonts w:eastAsia="Times New Roman"/>
                <w:sz w:val="20"/>
                <w:szCs w:val="20"/>
              </w:rPr>
            </w:pPr>
            <w:r>
              <w:rPr>
                <w:rFonts w:eastAsia="Times New Roman"/>
                <w:sz w:val="20"/>
                <w:szCs w:val="20"/>
              </w:rPr>
              <w:t>70,656,911</w:t>
            </w:r>
          </w:p>
        </w:tc>
        <w:tc>
          <w:tcPr>
            <w:tcW w:w="0" w:type="auto"/>
            <w:shd w:val="clear" w:color="auto" w:fill="FFFFFF"/>
            <w:vAlign w:val="bottom"/>
            <w:hideMark/>
          </w:tcPr>
          <w:p w14:paraId="69282C0E" w14:textId="77777777" w:rsidR="00000000" w:rsidRDefault="002F725F">
            <w:pPr>
              <w:rPr>
                <w:rFonts w:eastAsia="Times New Roman"/>
                <w:sz w:val="20"/>
                <w:szCs w:val="20"/>
              </w:rPr>
            </w:pPr>
            <w:r>
              <w:rPr>
                <w:rFonts w:eastAsia="Times New Roman"/>
                <w:sz w:val="20"/>
                <w:szCs w:val="20"/>
              </w:rPr>
              <w:t> </w:t>
            </w:r>
          </w:p>
        </w:tc>
      </w:tr>
      <w:tr w:rsidR="00000000" w14:paraId="03FFBC00" w14:textId="77777777">
        <w:trPr>
          <w:divId w:val="415980837"/>
        </w:trPr>
        <w:tc>
          <w:tcPr>
            <w:tcW w:w="0" w:type="auto"/>
            <w:shd w:val="clear" w:color="auto" w:fill="CCEEFF"/>
            <w:tcMar>
              <w:top w:w="0" w:type="dxa"/>
              <w:left w:w="200" w:type="dxa"/>
              <w:bottom w:w="0" w:type="dxa"/>
              <w:right w:w="0" w:type="dxa"/>
            </w:tcMar>
            <w:vAlign w:val="bottom"/>
            <w:hideMark/>
          </w:tcPr>
          <w:p w14:paraId="37C406EA" w14:textId="77777777" w:rsidR="00000000" w:rsidRDefault="002F725F">
            <w:pPr>
              <w:ind w:hanging="200"/>
              <w:rPr>
                <w:rFonts w:eastAsia="Times New Roman"/>
                <w:sz w:val="20"/>
                <w:szCs w:val="20"/>
              </w:rPr>
            </w:pPr>
            <w:r>
              <w:rPr>
                <w:rFonts w:eastAsia="Times New Roman"/>
                <w:sz w:val="20"/>
                <w:szCs w:val="20"/>
              </w:rPr>
              <w:t>Total operating expenses</w:t>
            </w:r>
          </w:p>
        </w:tc>
        <w:tc>
          <w:tcPr>
            <w:tcW w:w="0" w:type="auto"/>
            <w:shd w:val="clear" w:color="auto" w:fill="CCEEFF"/>
            <w:vAlign w:val="bottom"/>
            <w:hideMark/>
          </w:tcPr>
          <w:p w14:paraId="764A00C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00D580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AF67D6C" w14:textId="77777777" w:rsidR="00000000" w:rsidRDefault="002F725F">
            <w:pPr>
              <w:jc w:val="right"/>
              <w:rPr>
                <w:rFonts w:eastAsia="Times New Roman"/>
                <w:sz w:val="20"/>
                <w:szCs w:val="20"/>
              </w:rPr>
            </w:pPr>
            <w:r>
              <w:rPr>
                <w:rFonts w:eastAsia="Times New Roman"/>
                <w:sz w:val="20"/>
                <w:szCs w:val="20"/>
              </w:rPr>
              <w:t>901,562,457</w:t>
            </w:r>
          </w:p>
        </w:tc>
        <w:tc>
          <w:tcPr>
            <w:tcW w:w="0" w:type="auto"/>
            <w:shd w:val="clear" w:color="auto" w:fill="CCEEFF"/>
            <w:vAlign w:val="bottom"/>
            <w:hideMark/>
          </w:tcPr>
          <w:p w14:paraId="0D368EA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10A434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1C4BD2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398AB39" w14:textId="77777777" w:rsidR="00000000" w:rsidRDefault="002F725F">
            <w:pPr>
              <w:jc w:val="right"/>
              <w:rPr>
                <w:rFonts w:eastAsia="Times New Roman"/>
                <w:sz w:val="20"/>
                <w:szCs w:val="20"/>
              </w:rPr>
            </w:pPr>
            <w:r>
              <w:rPr>
                <w:rFonts w:eastAsia="Times New Roman"/>
                <w:sz w:val="20"/>
                <w:szCs w:val="20"/>
              </w:rPr>
              <w:t>593,481,321</w:t>
            </w:r>
          </w:p>
        </w:tc>
        <w:tc>
          <w:tcPr>
            <w:tcW w:w="0" w:type="auto"/>
            <w:shd w:val="clear" w:color="auto" w:fill="CCEEFF"/>
            <w:vAlign w:val="bottom"/>
            <w:hideMark/>
          </w:tcPr>
          <w:p w14:paraId="42EDA84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25E3D3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45EECA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8AA7B32" w14:textId="77777777" w:rsidR="00000000" w:rsidRDefault="002F725F">
            <w:pPr>
              <w:jc w:val="right"/>
              <w:rPr>
                <w:rFonts w:eastAsia="Times New Roman"/>
                <w:sz w:val="20"/>
                <w:szCs w:val="20"/>
              </w:rPr>
            </w:pPr>
            <w:r>
              <w:rPr>
                <w:rFonts w:eastAsia="Times New Roman"/>
                <w:sz w:val="20"/>
                <w:szCs w:val="20"/>
              </w:rPr>
              <w:t>82,678,293</w:t>
            </w:r>
          </w:p>
        </w:tc>
        <w:tc>
          <w:tcPr>
            <w:tcW w:w="0" w:type="auto"/>
            <w:shd w:val="clear" w:color="auto" w:fill="CCEEFF"/>
            <w:vAlign w:val="bottom"/>
            <w:hideMark/>
          </w:tcPr>
          <w:p w14:paraId="2F44F88B" w14:textId="77777777" w:rsidR="00000000" w:rsidRDefault="002F725F">
            <w:pPr>
              <w:rPr>
                <w:rFonts w:eastAsia="Times New Roman"/>
                <w:sz w:val="20"/>
                <w:szCs w:val="20"/>
              </w:rPr>
            </w:pPr>
            <w:r>
              <w:rPr>
                <w:rFonts w:eastAsia="Times New Roman"/>
                <w:sz w:val="20"/>
                <w:szCs w:val="20"/>
              </w:rPr>
              <w:t> </w:t>
            </w:r>
          </w:p>
        </w:tc>
      </w:tr>
      <w:tr w:rsidR="00000000" w14:paraId="1571516F" w14:textId="77777777">
        <w:trPr>
          <w:divId w:val="415980837"/>
        </w:trPr>
        <w:tc>
          <w:tcPr>
            <w:tcW w:w="0" w:type="auto"/>
            <w:shd w:val="clear" w:color="auto" w:fill="FFFFFF"/>
            <w:tcMar>
              <w:top w:w="0" w:type="dxa"/>
              <w:left w:w="200" w:type="dxa"/>
              <w:bottom w:w="0" w:type="dxa"/>
              <w:right w:w="0" w:type="dxa"/>
            </w:tcMar>
            <w:vAlign w:val="bottom"/>
            <w:hideMark/>
          </w:tcPr>
          <w:p w14:paraId="04DBF4C4" w14:textId="77777777" w:rsidR="00000000" w:rsidRDefault="002F725F">
            <w:pPr>
              <w:ind w:hanging="200"/>
              <w:rPr>
                <w:rFonts w:eastAsia="Times New Roman"/>
                <w:sz w:val="20"/>
                <w:szCs w:val="20"/>
              </w:rPr>
            </w:pPr>
            <w:r>
              <w:rPr>
                <w:rFonts w:eastAsia="Times New Roman"/>
                <w:sz w:val="20"/>
                <w:szCs w:val="20"/>
              </w:rPr>
              <w:t xml:space="preserve">Loss from operations </w:t>
            </w:r>
          </w:p>
        </w:tc>
        <w:tc>
          <w:tcPr>
            <w:tcW w:w="0" w:type="auto"/>
            <w:shd w:val="clear" w:color="auto" w:fill="FFFFFF"/>
            <w:vAlign w:val="bottom"/>
            <w:hideMark/>
          </w:tcPr>
          <w:p w14:paraId="0549AF7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6DE0F4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FFDBBFD" w14:textId="77777777" w:rsidR="00000000" w:rsidRDefault="002F725F">
            <w:pPr>
              <w:jc w:val="right"/>
              <w:rPr>
                <w:rFonts w:eastAsia="Times New Roman"/>
                <w:sz w:val="20"/>
                <w:szCs w:val="20"/>
              </w:rPr>
            </w:pPr>
            <w:r>
              <w:rPr>
                <w:rFonts w:eastAsia="Times New Roman"/>
                <w:sz w:val="20"/>
                <w:szCs w:val="20"/>
              </w:rPr>
              <w:t>(445,832,502</w:t>
            </w:r>
          </w:p>
        </w:tc>
        <w:tc>
          <w:tcPr>
            <w:tcW w:w="0" w:type="auto"/>
            <w:shd w:val="clear" w:color="auto" w:fill="FFFFFF"/>
            <w:vAlign w:val="bottom"/>
            <w:hideMark/>
          </w:tcPr>
          <w:p w14:paraId="0421A99D"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1A74913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4F32EF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05D809E" w14:textId="77777777" w:rsidR="00000000" w:rsidRDefault="002F725F">
            <w:pPr>
              <w:jc w:val="right"/>
              <w:rPr>
                <w:rFonts w:eastAsia="Times New Roman"/>
                <w:sz w:val="20"/>
                <w:szCs w:val="20"/>
              </w:rPr>
            </w:pPr>
            <w:r>
              <w:rPr>
                <w:rFonts w:eastAsia="Times New Roman"/>
                <w:sz w:val="20"/>
                <w:szCs w:val="20"/>
              </w:rPr>
              <w:t>(86,291,884</w:t>
            </w:r>
          </w:p>
        </w:tc>
        <w:tc>
          <w:tcPr>
            <w:tcW w:w="0" w:type="auto"/>
            <w:shd w:val="clear" w:color="auto" w:fill="FFFFFF"/>
            <w:vAlign w:val="bottom"/>
            <w:hideMark/>
          </w:tcPr>
          <w:p w14:paraId="1E1BDA6F"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2D978E2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A35F88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38C95B4" w14:textId="77777777" w:rsidR="00000000" w:rsidRDefault="002F725F">
            <w:pPr>
              <w:jc w:val="right"/>
              <w:rPr>
                <w:rFonts w:eastAsia="Times New Roman"/>
                <w:sz w:val="20"/>
                <w:szCs w:val="20"/>
              </w:rPr>
            </w:pPr>
            <w:r>
              <w:rPr>
                <w:rFonts w:eastAsia="Times New Roman"/>
                <w:sz w:val="20"/>
                <w:szCs w:val="20"/>
              </w:rPr>
              <w:t>(12,021,382</w:t>
            </w:r>
          </w:p>
        </w:tc>
        <w:tc>
          <w:tcPr>
            <w:tcW w:w="0" w:type="auto"/>
            <w:shd w:val="clear" w:color="auto" w:fill="FFFFFF"/>
            <w:vAlign w:val="bottom"/>
            <w:hideMark/>
          </w:tcPr>
          <w:p w14:paraId="735816D8" w14:textId="77777777" w:rsidR="00000000" w:rsidRDefault="002F725F">
            <w:pPr>
              <w:rPr>
                <w:rFonts w:eastAsia="Times New Roman"/>
                <w:sz w:val="20"/>
                <w:szCs w:val="20"/>
              </w:rPr>
            </w:pPr>
            <w:r>
              <w:rPr>
                <w:rFonts w:eastAsia="Times New Roman"/>
                <w:sz w:val="20"/>
                <w:szCs w:val="20"/>
              </w:rPr>
              <w:t>)</w:t>
            </w:r>
          </w:p>
        </w:tc>
      </w:tr>
      <w:tr w:rsidR="00000000" w14:paraId="7077E62B" w14:textId="77777777">
        <w:trPr>
          <w:divId w:val="415980837"/>
        </w:trPr>
        <w:tc>
          <w:tcPr>
            <w:tcW w:w="0" w:type="auto"/>
            <w:shd w:val="clear" w:color="auto" w:fill="CCEEFF"/>
            <w:tcMar>
              <w:top w:w="0" w:type="dxa"/>
              <w:left w:w="200" w:type="dxa"/>
              <w:bottom w:w="0" w:type="dxa"/>
              <w:right w:w="0" w:type="dxa"/>
            </w:tcMar>
            <w:vAlign w:val="bottom"/>
            <w:hideMark/>
          </w:tcPr>
          <w:p w14:paraId="374DD7A2" w14:textId="77777777" w:rsidR="00000000" w:rsidRDefault="002F725F">
            <w:pPr>
              <w:ind w:hanging="200"/>
              <w:rPr>
                <w:rFonts w:eastAsia="Times New Roman"/>
                <w:sz w:val="20"/>
                <w:szCs w:val="20"/>
              </w:rPr>
            </w:pPr>
            <w:r>
              <w:rPr>
                <w:rFonts w:eastAsia="Times New Roman"/>
                <w:sz w:val="20"/>
                <w:szCs w:val="20"/>
              </w:rPr>
              <w:t>Total other income (expense)</w:t>
            </w:r>
          </w:p>
        </w:tc>
        <w:tc>
          <w:tcPr>
            <w:tcW w:w="0" w:type="auto"/>
            <w:shd w:val="clear" w:color="auto" w:fill="CCEEFF"/>
            <w:vAlign w:val="bottom"/>
            <w:hideMark/>
          </w:tcPr>
          <w:p w14:paraId="4056203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31DD66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AB849F9" w14:textId="77777777" w:rsidR="00000000" w:rsidRDefault="002F725F">
            <w:pPr>
              <w:jc w:val="right"/>
              <w:rPr>
                <w:rFonts w:eastAsia="Times New Roman"/>
                <w:sz w:val="20"/>
                <w:szCs w:val="20"/>
              </w:rPr>
            </w:pPr>
            <w:r>
              <w:rPr>
                <w:rFonts w:eastAsia="Times New Roman"/>
                <w:sz w:val="20"/>
                <w:szCs w:val="20"/>
              </w:rPr>
              <w:t>(9,360,976</w:t>
            </w:r>
          </w:p>
        </w:tc>
        <w:tc>
          <w:tcPr>
            <w:tcW w:w="0" w:type="auto"/>
            <w:shd w:val="clear" w:color="auto" w:fill="CCEEFF"/>
            <w:vAlign w:val="bottom"/>
            <w:hideMark/>
          </w:tcPr>
          <w:p w14:paraId="3AFAB3A4"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3ECA80C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9BB493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0F433D9" w14:textId="77777777" w:rsidR="00000000" w:rsidRDefault="002F725F">
            <w:pPr>
              <w:jc w:val="right"/>
              <w:rPr>
                <w:rFonts w:eastAsia="Times New Roman"/>
                <w:sz w:val="20"/>
                <w:szCs w:val="20"/>
              </w:rPr>
            </w:pPr>
            <w:r>
              <w:rPr>
                <w:rFonts w:eastAsia="Times New Roman"/>
                <w:sz w:val="20"/>
                <w:szCs w:val="20"/>
              </w:rPr>
              <w:t>(14,637,440</w:t>
            </w:r>
          </w:p>
        </w:tc>
        <w:tc>
          <w:tcPr>
            <w:tcW w:w="0" w:type="auto"/>
            <w:shd w:val="clear" w:color="auto" w:fill="CCEEFF"/>
            <w:vAlign w:val="bottom"/>
            <w:hideMark/>
          </w:tcPr>
          <w:p w14:paraId="5375CB4C"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6904F6A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E78436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6BED095" w14:textId="77777777" w:rsidR="00000000" w:rsidRDefault="002F725F">
            <w:pPr>
              <w:jc w:val="right"/>
              <w:rPr>
                <w:rFonts w:eastAsia="Times New Roman"/>
                <w:sz w:val="20"/>
                <w:szCs w:val="20"/>
              </w:rPr>
            </w:pPr>
            <w:r>
              <w:rPr>
                <w:rFonts w:eastAsia="Times New Roman"/>
                <w:sz w:val="20"/>
                <w:szCs w:val="20"/>
              </w:rPr>
              <w:t>(2,039,152</w:t>
            </w:r>
          </w:p>
        </w:tc>
        <w:tc>
          <w:tcPr>
            <w:tcW w:w="0" w:type="auto"/>
            <w:shd w:val="clear" w:color="auto" w:fill="CCEEFF"/>
            <w:vAlign w:val="bottom"/>
            <w:hideMark/>
          </w:tcPr>
          <w:p w14:paraId="4154E23C" w14:textId="77777777" w:rsidR="00000000" w:rsidRDefault="002F725F">
            <w:pPr>
              <w:rPr>
                <w:rFonts w:eastAsia="Times New Roman"/>
                <w:sz w:val="20"/>
                <w:szCs w:val="20"/>
              </w:rPr>
            </w:pPr>
            <w:r>
              <w:rPr>
                <w:rFonts w:eastAsia="Times New Roman"/>
                <w:sz w:val="20"/>
                <w:szCs w:val="20"/>
              </w:rPr>
              <w:t>)</w:t>
            </w:r>
          </w:p>
        </w:tc>
      </w:tr>
      <w:tr w:rsidR="00000000" w14:paraId="7EA39D31" w14:textId="77777777">
        <w:trPr>
          <w:divId w:val="415980837"/>
        </w:trPr>
        <w:tc>
          <w:tcPr>
            <w:tcW w:w="0" w:type="auto"/>
            <w:shd w:val="clear" w:color="auto" w:fill="FFFFFF"/>
            <w:tcMar>
              <w:top w:w="0" w:type="dxa"/>
              <w:left w:w="200" w:type="dxa"/>
              <w:bottom w:w="0" w:type="dxa"/>
              <w:right w:w="0" w:type="dxa"/>
            </w:tcMar>
            <w:vAlign w:val="bottom"/>
            <w:hideMark/>
          </w:tcPr>
          <w:p w14:paraId="42C5FFAC" w14:textId="77777777" w:rsidR="00000000" w:rsidRDefault="002F725F">
            <w:pPr>
              <w:ind w:hanging="200"/>
              <w:rPr>
                <w:rFonts w:eastAsia="Times New Roman"/>
                <w:sz w:val="20"/>
                <w:szCs w:val="20"/>
              </w:rPr>
            </w:pPr>
            <w:r>
              <w:rPr>
                <w:rFonts w:eastAsia="Times New Roman"/>
                <w:sz w:val="20"/>
                <w:szCs w:val="20"/>
              </w:rPr>
              <w:t>Loss before income taxes</w:t>
            </w:r>
          </w:p>
        </w:tc>
        <w:tc>
          <w:tcPr>
            <w:tcW w:w="0" w:type="auto"/>
            <w:shd w:val="clear" w:color="auto" w:fill="FFFFFF"/>
            <w:vAlign w:val="bottom"/>
            <w:hideMark/>
          </w:tcPr>
          <w:p w14:paraId="40EE53A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20C3CA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A7EDC34" w14:textId="77777777" w:rsidR="00000000" w:rsidRDefault="002F725F">
            <w:pPr>
              <w:jc w:val="right"/>
              <w:rPr>
                <w:rFonts w:eastAsia="Times New Roman"/>
                <w:sz w:val="20"/>
                <w:szCs w:val="20"/>
              </w:rPr>
            </w:pPr>
            <w:r>
              <w:rPr>
                <w:rFonts w:eastAsia="Times New Roman"/>
                <w:sz w:val="20"/>
                <w:szCs w:val="20"/>
              </w:rPr>
              <w:t>(455,193,478</w:t>
            </w:r>
          </w:p>
        </w:tc>
        <w:tc>
          <w:tcPr>
            <w:tcW w:w="0" w:type="auto"/>
            <w:shd w:val="clear" w:color="auto" w:fill="FFFFFF"/>
            <w:vAlign w:val="bottom"/>
            <w:hideMark/>
          </w:tcPr>
          <w:p w14:paraId="6FD2B06C"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00C7110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FE5F64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42560AD" w14:textId="77777777" w:rsidR="00000000" w:rsidRDefault="002F725F">
            <w:pPr>
              <w:jc w:val="right"/>
              <w:rPr>
                <w:rFonts w:eastAsia="Times New Roman"/>
                <w:sz w:val="20"/>
                <w:szCs w:val="20"/>
              </w:rPr>
            </w:pPr>
            <w:r>
              <w:rPr>
                <w:rFonts w:eastAsia="Times New Roman"/>
                <w:sz w:val="20"/>
                <w:szCs w:val="20"/>
              </w:rPr>
              <w:t>(100,929,324</w:t>
            </w:r>
          </w:p>
        </w:tc>
        <w:tc>
          <w:tcPr>
            <w:tcW w:w="0" w:type="auto"/>
            <w:shd w:val="clear" w:color="auto" w:fill="FFFFFF"/>
            <w:vAlign w:val="bottom"/>
            <w:hideMark/>
          </w:tcPr>
          <w:p w14:paraId="08FAA74A"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12F07E9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F34AC3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2BE7EAA" w14:textId="77777777" w:rsidR="00000000" w:rsidRDefault="002F725F">
            <w:pPr>
              <w:jc w:val="right"/>
              <w:rPr>
                <w:rFonts w:eastAsia="Times New Roman"/>
                <w:sz w:val="20"/>
                <w:szCs w:val="20"/>
              </w:rPr>
            </w:pPr>
            <w:r>
              <w:rPr>
                <w:rFonts w:eastAsia="Times New Roman"/>
                <w:sz w:val="20"/>
                <w:szCs w:val="20"/>
              </w:rPr>
              <w:t>(14,060,534</w:t>
            </w:r>
          </w:p>
        </w:tc>
        <w:tc>
          <w:tcPr>
            <w:tcW w:w="0" w:type="auto"/>
            <w:shd w:val="clear" w:color="auto" w:fill="FFFFFF"/>
            <w:vAlign w:val="bottom"/>
            <w:hideMark/>
          </w:tcPr>
          <w:p w14:paraId="310DEF57" w14:textId="77777777" w:rsidR="00000000" w:rsidRDefault="002F725F">
            <w:pPr>
              <w:rPr>
                <w:rFonts w:eastAsia="Times New Roman"/>
                <w:sz w:val="20"/>
                <w:szCs w:val="20"/>
              </w:rPr>
            </w:pPr>
            <w:r>
              <w:rPr>
                <w:rFonts w:eastAsia="Times New Roman"/>
                <w:sz w:val="20"/>
                <w:szCs w:val="20"/>
              </w:rPr>
              <w:t>)</w:t>
            </w:r>
          </w:p>
        </w:tc>
      </w:tr>
      <w:tr w:rsidR="00000000" w14:paraId="0D7F3AD6" w14:textId="77777777">
        <w:trPr>
          <w:divId w:val="415980837"/>
        </w:trPr>
        <w:tc>
          <w:tcPr>
            <w:tcW w:w="0" w:type="auto"/>
            <w:shd w:val="clear" w:color="auto" w:fill="CCEEFF"/>
            <w:tcMar>
              <w:top w:w="0" w:type="dxa"/>
              <w:left w:w="200" w:type="dxa"/>
              <w:bottom w:w="0" w:type="dxa"/>
              <w:right w:w="0" w:type="dxa"/>
            </w:tcMar>
            <w:vAlign w:val="bottom"/>
            <w:hideMark/>
          </w:tcPr>
          <w:p w14:paraId="65D250AB" w14:textId="77777777" w:rsidR="00000000" w:rsidRDefault="002F725F">
            <w:pPr>
              <w:ind w:hanging="200"/>
              <w:rPr>
                <w:rFonts w:eastAsia="Times New Roman"/>
                <w:sz w:val="20"/>
                <w:szCs w:val="20"/>
              </w:rPr>
            </w:pPr>
            <w:r>
              <w:rPr>
                <w:rFonts w:eastAsia="Times New Roman"/>
                <w:sz w:val="20"/>
                <w:szCs w:val="20"/>
              </w:rPr>
              <w:t>Net loss attributable to LakeShore Group</w:t>
            </w:r>
          </w:p>
        </w:tc>
        <w:tc>
          <w:tcPr>
            <w:tcW w:w="0" w:type="auto"/>
            <w:shd w:val="clear" w:color="auto" w:fill="CCEEFF"/>
            <w:vAlign w:val="bottom"/>
            <w:hideMark/>
          </w:tcPr>
          <w:p w14:paraId="506D914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66C275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E2F064F" w14:textId="77777777" w:rsidR="00000000" w:rsidRDefault="002F725F">
            <w:pPr>
              <w:jc w:val="right"/>
              <w:rPr>
                <w:rFonts w:eastAsia="Times New Roman"/>
                <w:sz w:val="20"/>
                <w:szCs w:val="20"/>
              </w:rPr>
            </w:pPr>
            <w:r>
              <w:rPr>
                <w:rFonts w:eastAsia="Times New Roman"/>
                <w:sz w:val="20"/>
                <w:szCs w:val="20"/>
              </w:rPr>
              <w:t>(433,464,871</w:t>
            </w:r>
          </w:p>
        </w:tc>
        <w:tc>
          <w:tcPr>
            <w:tcW w:w="0" w:type="auto"/>
            <w:shd w:val="clear" w:color="auto" w:fill="CCEEFF"/>
            <w:vAlign w:val="bottom"/>
            <w:hideMark/>
          </w:tcPr>
          <w:p w14:paraId="7D11D146"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2F965CB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66EF2A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95FD046" w14:textId="77777777" w:rsidR="00000000" w:rsidRDefault="002F725F">
            <w:pPr>
              <w:jc w:val="right"/>
              <w:rPr>
                <w:rFonts w:eastAsia="Times New Roman"/>
                <w:sz w:val="20"/>
                <w:szCs w:val="20"/>
              </w:rPr>
            </w:pPr>
            <w:r>
              <w:rPr>
                <w:rFonts w:eastAsia="Times New Roman"/>
                <w:sz w:val="20"/>
                <w:szCs w:val="20"/>
              </w:rPr>
              <w:t>(99,982,451</w:t>
            </w:r>
          </w:p>
        </w:tc>
        <w:tc>
          <w:tcPr>
            <w:tcW w:w="0" w:type="auto"/>
            <w:shd w:val="clear" w:color="auto" w:fill="CCEEFF"/>
            <w:vAlign w:val="bottom"/>
            <w:hideMark/>
          </w:tcPr>
          <w:p w14:paraId="4BC604F1" w14:textId="77777777" w:rsidR="00000000" w:rsidRDefault="002F725F">
            <w:pPr>
              <w:rPr>
                <w:rFonts w:eastAsia="Times New Roman"/>
                <w:sz w:val="20"/>
                <w:szCs w:val="20"/>
              </w:rPr>
            </w:pPr>
            <w:r>
              <w:rPr>
                <w:rFonts w:eastAsia="Times New Roman"/>
                <w:sz w:val="20"/>
                <w:szCs w:val="20"/>
              </w:rPr>
              <w:t>)</w:t>
            </w:r>
          </w:p>
        </w:tc>
        <w:tc>
          <w:tcPr>
            <w:tcW w:w="0" w:type="auto"/>
            <w:shd w:val="clear" w:color="auto" w:fill="CCEEFF"/>
            <w:vAlign w:val="bottom"/>
            <w:hideMark/>
          </w:tcPr>
          <w:p w14:paraId="06B8608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A5BDFC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1A3B83E" w14:textId="77777777" w:rsidR="00000000" w:rsidRDefault="002F725F">
            <w:pPr>
              <w:jc w:val="right"/>
              <w:rPr>
                <w:rFonts w:eastAsia="Times New Roman"/>
                <w:sz w:val="20"/>
                <w:szCs w:val="20"/>
              </w:rPr>
            </w:pPr>
            <w:r>
              <w:rPr>
                <w:rFonts w:eastAsia="Times New Roman"/>
                <w:sz w:val="20"/>
                <w:szCs w:val="20"/>
              </w:rPr>
              <w:t>(13,928,624</w:t>
            </w:r>
          </w:p>
        </w:tc>
        <w:tc>
          <w:tcPr>
            <w:tcW w:w="0" w:type="auto"/>
            <w:shd w:val="clear" w:color="auto" w:fill="CCEEFF"/>
            <w:vAlign w:val="bottom"/>
            <w:hideMark/>
          </w:tcPr>
          <w:p w14:paraId="60E00727" w14:textId="77777777" w:rsidR="00000000" w:rsidRDefault="002F725F">
            <w:pPr>
              <w:rPr>
                <w:rFonts w:eastAsia="Times New Roman"/>
                <w:sz w:val="20"/>
                <w:szCs w:val="20"/>
              </w:rPr>
            </w:pPr>
            <w:r>
              <w:rPr>
                <w:rFonts w:eastAsia="Times New Roman"/>
                <w:sz w:val="20"/>
                <w:szCs w:val="20"/>
              </w:rPr>
              <w:t>)</w:t>
            </w:r>
          </w:p>
        </w:tc>
      </w:tr>
      <w:tr w:rsidR="00000000" w14:paraId="3EF4C5ED" w14:textId="77777777">
        <w:trPr>
          <w:divId w:val="415980837"/>
        </w:trPr>
        <w:tc>
          <w:tcPr>
            <w:tcW w:w="0" w:type="auto"/>
            <w:shd w:val="clear" w:color="auto" w:fill="FFFFFF"/>
            <w:tcMar>
              <w:top w:w="0" w:type="dxa"/>
              <w:left w:w="200" w:type="dxa"/>
              <w:bottom w:w="0" w:type="dxa"/>
              <w:right w:w="0" w:type="dxa"/>
            </w:tcMar>
            <w:vAlign w:val="bottom"/>
            <w:hideMark/>
          </w:tcPr>
          <w:p w14:paraId="6500EB26" w14:textId="77777777" w:rsidR="00000000" w:rsidRDefault="002F725F">
            <w:pPr>
              <w:ind w:hanging="200"/>
              <w:rPr>
                <w:rFonts w:eastAsia="Times New Roman"/>
                <w:b/>
                <w:bCs/>
                <w:sz w:val="20"/>
                <w:szCs w:val="20"/>
              </w:rPr>
            </w:pPr>
            <w:r>
              <w:rPr>
                <w:rFonts w:eastAsia="Times New Roman"/>
                <w:b/>
                <w:bCs/>
                <w:sz w:val="20"/>
                <w:szCs w:val="20"/>
              </w:rPr>
              <w:t>Total comprehensive loss</w:t>
            </w:r>
          </w:p>
        </w:tc>
        <w:tc>
          <w:tcPr>
            <w:tcW w:w="0" w:type="auto"/>
            <w:shd w:val="clear" w:color="auto" w:fill="FFFFFF"/>
            <w:vAlign w:val="bottom"/>
            <w:hideMark/>
          </w:tcPr>
          <w:p w14:paraId="6F49EE9D"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0253E6C3"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67C885B4" w14:textId="77777777" w:rsidR="00000000" w:rsidRDefault="002F725F">
            <w:pPr>
              <w:jc w:val="right"/>
              <w:rPr>
                <w:rFonts w:eastAsia="Times New Roman"/>
                <w:b/>
                <w:bCs/>
                <w:sz w:val="20"/>
                <w:szCs w:val="20"/>
              </w:rPr>
            </w:pPr>
            <w:r>
              <w:rPr>
                <w:rFonts w:eastAsia="Times New Roman"/>
                <w:b/>
                <w:bCs/>
                <w:sz w:val="20"/>
                <w:szCs w:val="20"/>
              </w:rPr>
              <w:t>(437,232,669</w:t>
            </w:r>
          </w:p>
        </w:tc>
        <w:tc>
          <w:tcPr>
            <w:tcW w:w="0" w:type="auto"/>
            <w:shd w:val="clear" w:color="auto" w:fill="FFFFFF"/>
            <w:vAlign w:val="bottom"/>
            <w:hideMark/>
          </w:tcPr>
          <w:p w14:paraId="12BE3372"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FFFFFF"/>
            <w:vAlign w:val="bottom"/>
            <w:hideMark/>
          </w:tcPr>
          <w:p w14:paraId="25C859DB"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122BFE4E"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3CC79E59" w14:textId="77777777" w:rsidR="00000000" w:rsidRDefault="002F725F">
            <w:pPr>
              <w:jc w:val="right"/>
              <w:rPr>
                <w:rFonts w:eastAsia="Times New Roman"/>
                <w:b/>
                <w:bCs/>
                <w:sz w:val="20"/>
                <w:szCs w:val="20"/>
              </w:rPr>
            </w:pPr>
            <w:r>
              <w:rPr>
                <w:rFonts w:eastAsia="Times New Roman"/>
                <w:b/>
                <w:bCs/>
                <w:sz w:val="20"/>
                <w:szCs w:val="20"/>
              </w:rPr>
              <w:t>(99,074,241</w:t>
            </w:r>
          </w:p>
        </w:tc>
        <w:tc>
          <w:tcPr>
            <w:tcW w:w="0" w:type="auto"/>
            <w:shd w:val="clear" w:color="auto" w:fill="FFFFFF"/>
            <w:vAlign w:val="bottom"/>
            <w:hideMark/>
          </w:tcPr>
          <w:p w14:paraId="51129605" w14:textId="77777777" w:rsidR="00000000" w:rsidRDefault="002F725F">
            <w:pPr>
              <w:rPr>
                <w:rFonts w:eastAsia="Times New Roman"/>
                <w:b/>
                <w:bCs/>
                <w:sz w:val="20"/>
                <w:szCs w:val="20"/>
              </w:rPr>
            </w:pPr>
            <w:r>
              <w:rPr>
                <w:rFonts w:eastAsia="Times New Roman"/>
                <w:b/>
                <w:bCs/>
                <w:sz w:val="20"/>
                <w:szCs w:val="20"/>
              </w:rPr>
              <w:t>)</w:t>
            </w:r>
          </w:p>
        </w:tc>
        <w:tc>
          <w:tcPr>
            <w:tcW w:w="0" w:type="auto"/>
            <w:shd w:val="clear" w:color="auto" w:fill="FFFFFF"/>
            <w:vAlign w:val="bottom"/>
            <w:hideMark/>
          </w:tcPr>
          <w:p w14:paraId="511227EA"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40921DA4"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4087EA0E" w14:textId="77777777" w:rsidR="00000000" w:rsidRDefault="002F725F">
            <w:pPr>
              <w:jc w:val="right"/>
              <w:rPr>
                <w:rFonts w:eastAsia="Times New Roman"/>
                <w:b/>
                <w:bCs/>
                <w:sz w:val="20"/>
                <w:szCs w:val="20"/>
              </w:rPr>
            </w:pPr>
            <w:r>
              <w:rPr>
                <w:rFonts w:eastAsia="Times New Roman"/>
                <w:b/>
                <w:bCs/>
                <w:sz w:val="20"/>
                <w:szCs w:val="20"/>
              </w:rPr>
              <w:t>(13,802,101</w:t>
            </w:r>
          </w:p>
        </w:tc>
        <w:tc>
          <w:tcPr>
            <w:tcW w:w="0" w:type="auto"/>
            <w:shd w:val="clear" w:color="auto" w:fill="FFFFFF"/>
            <w:vAlign w:val="bottom"/>
            <w:hideMark/>
          </w:tcPr>
          <w:p w14:paraId="392AEDE2" w14:textId="77777777" w:rsidR="00000000" w:rsidRDefault="002F725F">
            <w:pPr>
              <w:rPr>
                <w:rFonts w:eastAsia="Times New Roman"/>
                <w:b/>
                <w:bCs/>
                <w:sz w:val="20"/>
                <w:szCs w:val="20"/>
              </w:rPr>
            </w:pPr>
            <w:r>
              <w:rPr>
                <w:rFonts w:eastAsia="Times New Roman"/>
                <w:b/>
                <w:bCs/>
                <w:sz w:val="20"/>
                <w:szCs w:val="20"/>
              </w:rPr>
              <w:t>)</w:t>
            </w:r>
          </w:p>
        </w:tc>
      </w:tr>
      <w:tr w:rsidR="00000000" w14:paraId="7A028E28" w14:textId="77777777">
        <w:trPr>
          <w:divId w:val="415980837"/>
        </w:trPr>
        <w:tc>
          <w:tcPr>
            <w:tcW w:w="0" w:type="auto"/>
            <w:shd w:val="clear" w:color="auto" w:fill="CCEEFF"/>
            <w:tcMar>
              <w:top w:w="0" w:type="dxa"/>
              <w:left w:w="200" w:type="dxa"/>
              <w:bottom w:w="0" w:type="dxa"/>
              <w:right w:w="0" w:type="dxa"/>
            </w:tcMar>
            <w:vAlign w:val="bottom"/>
            <w:hideMark/>
          </w:tcPr>
          <w:p w14:paraId="4F59F23C" w14:textId="77777777" w:rsidR="00000000" w:rsidRDefault="002F725F">
            <w:pPr>
              <w:ind w:hanging="200"/>
              <w:rPr>
                <w:rFonts w:eastAsia="Times New Roman"/>
                <w:sz w:val="20"/>
                <w:szCs w:val="20"/>
              </w:rPr>
            </w:pPr>
            <w:r>
              <w:rPr>
                <w:rFonts w:eastAsia="Times New Roman"/>
                <w:sz w:val="20"/>
                <w:szCs w:val="20"/>
              </w:rPr>
              <w:t>Loss per share*</w:t>
            </w:r>
          </w:p>
        </w:tc>
        <w:tc>
          <w:tcPr>
            <w:tcW w:w="0" w:type="auto"/>
            <w:shd w:val="clear" w:color="auto" w:fill="CCEEFF"/>
            <w:vAlign w:val="bottom"/>
            <w:hideMark/>
          </w:tcPr>
          <w:p w14:paraId="48AEB92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2028A7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6882F3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1187F4E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7C9E91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7FF647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BBE8FB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089C087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4FDA4D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1AA476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C828FE4"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27D6E456" w14:textId="77777777" w:rsidR="00000000" w:rsidRDefault="002F725F">
            <w:pPr>
              <w:rPr>
                <w:rFonts w:eastAsia="Times New Roman"/>
                <w:sz w:val="20"/>
                <w:szCs w:val="20"/>
              </w:rPr>
            </w:pPr>
            <w:r>
              <w:rPr>
                <w:rFonts w:eastAsia="Times New Roman"/>
                <w:sz w:val="20"/>
                <w:szCs w:val="20"/>
              </w:rPr>
              <w:t> </w:t>
            </w:r>
          </w:p>
        </w:tc>
      </w:tr>
      <w:tr w:rsidR="00000000" w14:paraId="7B8A2E57" w14:textId="77777777">
        <w:trPr>
          <w:divId w:val="415980837"/>
        </w:trPr>
        <w:tc>
          <w:tcPr>
            <w:tcW w:w="0" w:type="auto"/>
            <w:shd w:val="clear" w:color="auto" w:fill="FFFFFF"/>
            <w:tcMar>
              <w:top w:w="0" w:type="dxa"/>
              <w:left w:w="360" w:type="dxa"/>
              <w:bottom w:w="0" w:type="dxa"/>
              <w:right w:w="0" w:type="dxa"/>
            </w:tcMar>
            <w:vAlign w:val="bottom"/>
            <w:hideMark/>
          </w:tcPr>
          <w:p w14:paraId="4F148958" w14:textId="77777777" w:rsidR="00000000" w:rsidRDefault="002F725F">
            <w:pPr>
              <w:ind w:hanging="200"/>
              <w:rPr>
                <w:rFonts w:eastAsia="Times New Roman"/>
                <w:sz w:val="20"/>
                <w:szCs w:val="20"/>
              </w:rPr>
            </w:pPr>
            <w:r>
              <w:rPr>
                <w:rFonts w:eastAsia="Times New Roman"/>
                <w:sz w:val="20"/>
                <w:szCs w:val="20"/>
              </w:rPr>
              <w:t>Basic and Diluted</w:t>
            </w:r>
          </w:p>
        </w:tc>
        <w:tc>
          <w:tcPr>
            <w:tcW w:w="0" w:type="auto"/>
            <w:shd w:val="clear" w:color="auto" w:fill="FFFFFF"/>
            <w:vAlign w:val="bottom"/>
            <w:hideMark/>
          </w:tcPr>
          <w:p w14:paraId="61E5D5B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94420F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5B1CE57" w14:textId="77777777" w:rsidR="00000000" w:rsidRDefault="002F725F">
            <w:pPr>
              <w:jc w:val="right"/>
              <w:rPr>
                <w:rFonts w:eastAsia="Times New Roman"/>
                <w:sz w:val="20"/>
                <w:szCs w:val="20"/>
              </w:rPr>
            </w:pPr>
            <w:r>
              <w:rPr>
                <w:rFonts w:eastAsia="Times New Roman"/>
                <w:sz w:val="20"/>
                <w:szCs w:val="20"/>
              </w:rPr>
              <w:t>(40.54</w:t>
            </w:r>
          </w:p>
        </w:tc>
        <w:tc>
          <w:tcPr>
            <w:tcW w:w="0" w:type="auto"/>
            <w:shd w:val="clear" w:color="auto" w:fill="FFFFFF"/>
            <w:vAlign w:val="bottom"/>
            <w:hideMark/>
          </w:tcPr>
          <w:p w14:paraId="2145D04D"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0E54D4A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76E7A0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44C78AC" w14:textId="77777777" w:rsidR="00000000" w:rsidRDefault="002F725F">
            <w:pPr>
              <w:jc w:val="right"/>
              <w:rPr>
                <w:rFonts w:eastAsia="Times New Roman"/>
                <w:sz w:val="20"/>
                <w:szCs w:val="20"/>
              </w:rPr>
            </w:pPr>
            <w:r>
              <w:rPr>
                <w:rFonts w:eastAsia="Times New Roman"/>
                <w:sz w:val="20"/>
                <w:szCs w:val="20"/>
              </w:rPr>
              <w:t>(5.22</w:t>
            </w:r>
          </w:p>
        </w:tc>
        <w:tc>
          <w:tcPr>
            <w:tcW w:w="0" w:type="auto"/>
            <w:shd w:val="clear" w:color="auto" w:fill="FFFFFF"/>
            <w:vAlign w:val="bottom"/>
            <w:hideMark/>
          </w:tcPr>
          <w:p w14:paraId="54BE2A50" w14:textId="77777777" w:rsidR="00000000" w:rsidRDefault="002F725F">
            <w:pPr>
              <w:rPr>
                <w:rFonts w:eastAsia="Times New Roman"/>
                <w:sz w:val="20"/>
                <w:szCs w:val="20"/>
              </w:rPr>
            </w:pPr>
            <w:r>
              <w:rPr>
                <w:rFonts w:eastAsia="Times New Roman"/>
                <w:sz w:val="20"/>
                <w:szCs w:val="20"/>
              </w:rPr>
              <w:t>)</w:t>
            </w:r>
          </w:p>
        </w:tc>
        <w:tc>
          <w:tcPr>
            <w:tcW w:w="0" w:type="auto"/>
            <w:shd w:val="clear" w:color="auto" w:fill="FFFFFF"/>
            <w:vAlign w:val="bottom"/>
            <w:hideMark/>
          </w:tcPr>
          <w:p w14:paraId="1E6A120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641B37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18F974F" w14:textId="77777777" w:rsidR="00000000" w:rsidRDefault="002F725F">
            <w:pPr>
              <w:jc w:val="right"/>
              <w:rPr>
                <w:rFonts w:eastAsia="Times New Roman"/>
                <w:sz w:val="20"/>
                <w:szCs w:val="20"/>
              </w:rPr>
            </w:pPr>
            <w:r>
              <w:rPr>
                <w:rFonts w:eastAsia="Times New Roman"/>
                <w:sz w:val="20"/>
                <w:szCs w:val="20"/>
              </w:rPr>
              <w:t>(0.73</w:t>
            </w:r>
          </w:p>
        </w:tc>
        <w:tc>
          <w:tcPr>
            <w:tcW w:w="0" w:type="auto"/>
            <w:shd w:val="clear" w:color="auto" w:fill="FFFFFF"/>
            <w:vAlign w:val="bottom"/>
            <w:hideMark/>
          </w:tcPr>
          <w:p w14:paraId="7CAC5D74" w14:textId="77777777" w:rsidR="00000000" w:rsidRDefault="002F725F">
            <w:pPr>
              <w:rPr>
                <w:rFonts w:eastAsia="Times New Roman"/>
                <w:sz w:val="20"/>
                <w:szCs w:val="20"/>
              </w:rPr>
            </w:pPr>
            <w:r>
              <w:rPr>
                <w:rFonts w:eastAsia="Times New Roman"/>
                <w:sz w:val="20"/>
                <w:szCs w:val="20"/>
              </w:rPr>
              <w:t>)</w:t>
            </w:r>
          </w:p>
        </w:tc>
      </w:tr>
      <w:tr w:rsidR="00000000" w14:paraId="7B2676DE" w14:textId="77777777">
        <w:trPr>
          <w:divId w:val="415980837"/>
        </w:trPr>
        <w:tc>
          <w:tcPr>
            <w:tcW w:w="0" w:type="auto"/>
            <w:shd w:val="clear" w:color="auto" w:fill="CCEEFF"/>
            <w:tcMar>
              <w:top w:w="0" w:type="dxa"/>
              <w:left w:w="200" w:type="dxa"/>
              <w:bottom w:w="0" w:type="dxa"/>
              <w:right w:w="0" w:type="dxa"/>
            </w:tcMar>
            <w:vAlign w:val="bottom"/>
            <w:hideMark/>
          </w:tcPr>
          <w:p w14:paraId="7F20A714" w14:textId="77777777" w:rsidR="00000000" w:rsidRDefault="002F725F">
            <w:pPr>
              <w:ind w:hanging="200"/>
              <w:rPr>
                <w:rFonts w:eastAsia="Times New Roman"/>
                <w:sz w:val="20"/>
                <w:szCs w:val="20"/>
              </w:rPr>
            </w:pPr>
            <w:r>
              <w:rPr>
                <w:rFonts w:eastAsia="Times New Roman"/>
                <w:sz w:val="20"/>
                <w:szCs w:val="20"/>
              </w:rPr>
              <w:t>Weighted average number of ordinary shares outstanding*</w:t>
            </w:r>
          </w:p>
        </w:tc>
        <w:tc>
          <w:tcPr>
            <w:tcW w:w="0" w:type="auto"/>
            <w:shd w:val="clear" w:color="auto" w:fill="CCEEFF"/>
            <w:vAlign w:val="bottom"/>
            <w:hideMark/>
          </w:tcPr>
          <w:p w14:paraId="22B6A4A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3D6596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131997D"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46DA4A0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F56741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2B05AC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296E4D2"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21D5416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D3AE2A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71649D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D1C35F2"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5E4E4128" w14:textId="77777777" w:rsidR="00000000" w:rsidRDefault="002F725F">
            <w:pPr>
              <w:rPr>
                <w:rFonts w:eastAsia="Times New Roman"/>
                <w:sz w:val="20"/>
                <w:szCs w:val="20"/>
              </w:rPr>
            </w:pPr>
            <w:r>
              <w:rPr>
                <w:rFonts w:eastAsia="Times New Roman"/>
                <w:sz w:val="20"/>
                <w:szCs w:val="20"/>
              </w:rPr>
              <w:t> </w:t>
            </w:r>
          </w:p>
        </w:tc>
      </w:tr>
      <w:tr w:rsidR="00000000" w14:paraId="38EEDA1D" w14:textId="77777777">
        <w:trPr>
          <w:divId w:val="415980837"/>
        </w:trPr>
        <w:tc>
          <w:tcPr>
            <w:tcW w:w="0" w:type="auto"/>
            <w:shd w:val="clear" w:color="auto" w:fill="FFFFFF"/>
            <w:tcMar>
              <w:top w:w="0" w:type="dxa"/>
              <w:left w:w="360" w:type="dxa"/>
              <w:bottom w:w="0" w:type="dxa"/>
              <w:right w:w="0" w:type="dxa"/>
            </w:tcMar>
            <w:vAlign w:val="bottom"/>
            <w:hideMark/>
          </w:tcPr>
          <w:p w14:paraId="0DAB0C9A" w14:textId="77777777" w:rsidR="00000000" w:rsidRDefault="002F725F">
            <w:pPr>
              <w:ind w:hanging="200"/>
              <w:rPr>
                <w:rFonts w:eastAsia="Times New Roman"/>
                <w:b/>
                <w:bCs/>
                <w:sz w:val="20"/>
                <w:szCs w:val="20"/>
              </w:rPr>
            </w:pPr>
            <w:r>
              <w:rPr>
                <w:rFonts w:eastAsia="Times New Roman"/>
                <w:b/>
                <w:bCs/>
                <w:sz w:val="20"/>
                <w:szCs w:val="20"/>
              </w:rPr>
              <w:t>Basic and Diluted</w:t>
            </w:r>
          </w:p>
        </w:tc>
        <w:tc>
          <w:tcPr>
            <w:tcW w:w="0" w:type="auto"/>
            <w:shd w:val="clear" w:color="auto" w:fill="FFFFFF"/>
            <w:vAlign w:val="bottom"/>
            <w:hideMark/>
          </w:tcPr>
          <w:p w14:paraId="760F1D6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CE8C24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8710191" w14:textId="77777777" w:rsidR="00000000" w:rsidRDefault="002F725F">
            <w:pPr>
              <w:jc w:val="right"/>
              <w:rPr>
                <w:rFonts w:eastAsia="Times New Roman"/>
                <w:sz w:val="20"/>
                <w:szCs w:val="20"/>
              </w:rPr>
            </w:pPr>
            <w:r>
              <w:rPr>
                <w:rFonts w:eastAsia="Times New Roman"/>
                <w:sz w:val="20"/>
                <w:szCs w:val="20"/>
              </w:rPr>
              <w:t>10,692,312</w:t>
            </w:r>
          </w:p>
        </w:tc>
        <w:tc>
          <w:tcPr>
            <w:tcW w:w="0" w:type="auto"/>
            <w:shd w:val="clear" w:color="auto" w:fill="FFFFFF"/>
            <w:vAlign w:val="bottom"/>
            <w:hideMark/>
          </w:tcPr>
          <w:p w14:paraId="3255FC3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7BA342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D6EC7E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DF6E02D" w14:textId="77777777" w:rsidR="00000000" w:rsidRDefault="002F725F">
            <w:pPr>
              <w:jc w:val="right"/>
              <w:rPr>
                <w:rFonts w:eastAsia="Times New Roman"/>
                <w:sz w:val="20"/>
                <w:szCs w:val="20"/>
              </w:rPr>
            </w:pPr>
            <w:r>
              <w:rPr>
                <w:rFonts w:eastAsia="Times New Roman"/>
                <w:sz w:val="20"/>
                <w:szCs w:val="20"/>
              </w:rPr>
              <w:t>19,158,907</w:t>
            </w:r>
          </w:p>
        </w:tc>
        <w:tc>
          <w:tcPr>
            <w:tcW w:w="0" w:type="auto"/>
            <w:shd w:val="clear" w:color="auto" w:fill="FFFFFF"/>
            <w:vAlign w:val="bottom"/>
            <w:hideMark/>
          </w:tcPr>
          <w:p w14:paraId="5302E53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120DBD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49E343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446513D" w14:textId="77777777" w:rsidR="00000000" w:rsidRDefault="002F725F">
            <w:pPr>
              <w:jc w:val="right"/>
              <w:rPr>
                <w:rFonts w:eastAsia="Times New Roman"/>
                <w:sz w:val="20"/>
                <w:szCs w:val="20"/>
              </w:rPr>
            </w:pPr>
            <w:r>
              <w:rPr>
                <w:rFonts w:eastAsia="Times New Roman"/>
                <w:sz w:val="20"/>
                <w:szCs w:val="20"/>
              </w:rPr>
              <w:t>19,158,907</w:t>
            </w:r>
          </w:p>
        </w:tc>
        <w:tc>
          <w:tcPr>
            <w:tcW w:w="0" w:type="auto"/>
            <w:shd w:val="clear" w:color="auto" w:fill="FFFFFF"/>
            <w:vAlign w:val="bottom"/>
            <w:hideMark/>
          </w:tcPr>
          <w:p w14:paraId="28A76588" w14:textId="77777777" w:rsidR="00000000" w:rsidRDefault="002F725F">
            <w:pPr>
              <w:rPr>
                <w:rFonts w:eastAsia="Times New Roman"/>
                <w:sz w:val="20"/>
                <w:szCs w:val="20"/>
              </w:rPr>
            </w:pPr>
            <w:r>
              <w:rPr>
                <w:rFonts w:eastAsia="Times New Roman"/>
                <w:sz w:val="20"/>
                <w:szCs w:val="20"/>
              </w:rPr>
              <w:t> </w:t>
            </w:r>
          </w:p>
        </w:tc>
      </w:tr>
    </w:tbl>
    <w:p w14:paraId="3E325DD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9000"/>
      </w:tblGrid>
      <w:tr w:rsidR="00000000" w14:paraId="07C4EFD7" w14:textId="77777777">
        <w:trPr>
          <w:divId w:val="415980837"/>
          <w:tblCellSpacing w:w="0" w:type="dxa"/>
        </w:trPr>
        <w:tc>
          <w:tcPr>
            <w:tcW w:w="360" w:type="dxa"/>
            <w:hideMark/>
          </w:tcPr>
          <w:p w14:paraId="2D4773CD" w14:textId="77777777" w:rsidR="00000000" w:rsidRDefault="002F725F">
            <w:pPr>
              <w:rPr>
                <w:rFonts w:eastAsia="Times New Roman"/>
                <w:sz w:val="20"/>
                <w:szCs w:val="20"/>
              </w:rPr>
            </w:pPr>
            <w:r>
              <w:rPr>
                <w:rFonts w:eastAsia="Times New Roman"/>
                <w:sz w:val="20"/>
                <w:szCs w:val="20"/>
              </w:rPr>
              <w:t>*</w:t>
            </w:r>
          </w:p>
        </w:tc>
        <w:tc>
          <w:tcPr>
            <w:tcW w:w="0" w:type="auto"/>
            <w:hideMark/>
          </w:tcPr>
          <w:p w14:paraId="29323FC3" w14:textId="77777777" w:rsidR="00000000" w:rsidRDefault="002F725F">
            <w:pPr>
              <w:jc w:val="both"/>
              <w:rPr>
                <w:rFonts w:eastAsia="Times New Roman"/>
                <w:sz w:val="20"/>
                <w:szCs w:val="20"/>
              </w:rPr>
            </w:pPr>
            <w:r>
              <w:rPr>
                <w:rFonts w:eastAsia="Times New Roman"/>
                <w:sz w:val="20"/>
                <w:szCs w:val="20"/>
              </w:rPr>
              <w:t>Gives retroactive effect to the share consolidation in September 2024.</w:t>
            </w:r>
          </w:p>
        </w:tc>
      </w:tr>
    </w:tbl>
    <w:p w14:paraId="2931AFF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238A504" w14:textId="77777777" w:rsidR="00000000" w:rsidRDefault="002F725F">
      <w:pPr>
        <w:pStyle w:val="NormalWeb"/>
        <w:spacing w:before="0" w:beforeAutospacing="0" w:after="0" w:afterAutospacing="0"/>
        <w:jc w:val="center"/>
        <w:divId w:val="71858115"/>
        <w:rPr>
          <w:sz w:val="20"/>
          <w:szCs w:val="20"/>
        </w:rPr>
      </w:pPr>
      <w:r>
        <w:rPr>
          <w:sz w:val="20"/>
          <w:szCs w:val="20"/>
        </w:rPr>
        <w:t>10</w:t>
      </w:r>
      <w:r>
        <w:rPr>
          <w:sz w:val="20"/>
          <w:szCs w:val="20"/>
        </w:rPr>
        <w:t>0</w:t>
      </w:r>
    </w:p>
    <w:p w14:paraId="021F8830" w14:textId="77777777" w:rsidR="00000000" w:rsidRDefault="002F725F">
      <w:pPr>
        <w:pStyle w:val="NormalWeb"/>
        <w:spacing w:before="0" w:beforeAutospacing="0" w:after="0" w:afterAutospacing="0"/>
        <w:divId w:val="368259640"/>
        <w:rPr>
          <w:sz w:val="20"/>
          <w:szCs w:val="20"/>
        </w:rPr>
      </w:pPr>
      <w:r>
        <w:rPr>
          <w:sz w:val="20"/>
          <w:szCs w:val="20"/>
        </w:rPr>
        <w:t> </w:t>
      </w:r>
    </w:p>
    <w:p w14:paraId="0EB8452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E408C2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following table presents the Company’</w:t>
      </w:r>
      <w:r>
        <w:rPr>
          <w:sz w:val="20"/>
          <w:szCs w:val="20"/>
        </w:rPr>
        <w:t>s selected consolidated balance sheets data as of the dates indicated.</w:t>
      </w:r>
    </w:p>
    <w:p w14:paraId="1D4CC4F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5610"/>
        <w:gridCol w:w="50"/>
        <w:gridCol w:w="50"/>
        <w:gridCol w:w="1150"/>
        <w:gridCol w:w="50"/>
        <w:gridCol w:w="50"/>
        <w:gridCol w:w="50"/>
        <w:gridCol w:w="1150"/>
        <w:gridCol w:w="50"/>
        <w:gridCol w:w="50"/>
        <w:gridCol w:w="50"/>
        <w:gridCol w:w="1000"/>
        <w:gridCol w:w="50"/>
      </w:tblGrid>
      <w:tr w:rsidR="00000000" w14:paraId="320EAEE0" w14:textId="77777777">
        <w:trPr>
          <w:divId w:val="415980837"/>
        </w:trPr>
        <w:tc>
          <w:tcPr>
            <w:tcW w:w="0" w:type="auto"/>
            <w:vAlign w:val="bottom"/>
            <w:hideMark/>
          </w:tcPr>
          <w:p w14:paraId="252D6F62" w14:textId="77777777" w:rsidR="00000000" w:rsidRDefault="002F725F">
            <w:pPr>
              <w:jc w:val="center"/>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5B16BDCB" w14:textId="77777777" w:rsidR="00000000" w:rsidRDefault="002F725F">
            <w:pPr>
              <w:rPr>
                <w:rFonts w:eastAsia="Times New Roman"/>
                <w:b/>
                <w:bCs/>
                <w:sz w:val="20"/>
                <w:szCs w:val="20"/>
              </w:rPr>
            </w:pPr>
            <w:r>
              <w:rPr>
                <w:rFonts w:eastAsia="Times New Roman"/>
                <w:b/>
                <w:bCs/>
                <w:sz w:val="20"/>
                <w:szCs w:val="20"/>
              </w:rPr>
              <w:t> </w:t>
            </w:r>
          </w:p>
        </w:tc>
        <w:tc>
          <w:tcPr>
            <w:tcW w:w="0" w:type="auto"/>
            <w:gridSpan w:val="10"/>
            <w:tcBorders>
              <w:bottom w:val="single" w:sz="12" w:space="0" w:color="000000"/>
            </w:tcBorders>
            <w:vAlign w:val="bottom"/>
            <w:hideMark/>
          </w:tcPr>
          <w:p w14:paraId="127C019F" w14:textId="77777777" w:rsidR="00000000" w:rsidRDefault="002F725F">
            <w:pPr>
              <w:jc w:val="center"/>
              <w:rPr>
                <w:rFonts w:eastAsia="Times New Roman"/>
                <w:b/>
                <w:bCs/>
                <w:sz w:val="20"/>
                <w:szCs w:val="20"/>
              </w:rPr>
            </w:pPr>
            <w:r>
              <w:rPr>
                <w:rFonts w:eastAsia="Times New Roman"/>
                <w:b/>
                <w:bCs/>
                <w:sz w:val="20"/>
                <w:szCs w:val="20"/>
              </w:rPr>
              <w:t>As of March 31,</w:t>
            </w:r>
          </w:p>
        </w:tc>
        <w:tc>
          <w:tcPr>
            <w:tcW w:w="0" w:type="auto"/>
            <w:tcMar>
              <w:top w:w="0" w:type="dxa"/>
              <w:left w:w="0" w:type="dxa"/>
              <w:bottom w:w="30" w:type="dxa"/>
              <w:right w:w="0" w:type="dxa"/>
            </w:tcMar>
            <w:vAlign w:val="bottom"/>
            <w:hideMark/>
          </w:tcPr>
          <w:p w14:paraId="3A56E151" w14:textId="77777777" w:rsidR="00000000" w:rsidRDefault="002F725F">
            <w:pPr>
              <w:rPr>
                <w:rFonts w:eastAsia="Times New Roman"/>
                <w:b/>
                <w:bCs/>
                <w:sz w:val="20"/>
                <w:szCs w:val="20"/>
              </w:rPr>
            </w:pPr>
            <w:r>
              <w:rPr>
                <w:rFonts w:eastAsia="Times New Roman"/>
                <w:b/>
                <w:bCs/>
                <w:sz w:val="20"/>
                <w:szCs w:val="20"/>
              </w:rPr>
              <w:t> </w:t>
            </w:r>
          </w:p>
        </w:tc>
      </w:tr>
      <w:tr w:rsidR="00000000" w14:paraId="25591AE7" w14:textId="77777777">
        <w:trPr>
          <w:divId w:val="415980837"/>
        </w:trPr>
        <w:tc>
          <w:tcPr>
            <w:tcW w:w="0" w:type="auto"/>
            <w:vAlign w:val="bottom"/>
            <w:hideMark/>
          </w:tcPr>
          <w:p w14:paraId="7857A808" w14:textId="77777777" w:rsidR="00000000" w:rsidRDefault="002F725F">
            <w:pPr>
              <w:jc w:val="center"/>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55D620E2"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2B86030" w14:textId="77777777" w:rsidR="00000000" w:rsidRDefault="002F725F">
            <w:pPr>
              <w:jc w:val="center"/>
              <w:rPr>
                <w:rFonts w:eastAsia="Times New Roman"/>
                <w:b/>
                <w:bCs/>
                <w:sz w:val="20"/>
                <w:szCs w:val="20"/>
              </w:rPr>
            </w:pPr>
            <w:r>
              <w:rPr>
                <w:rFonts w:eastAsia="Times New Roman"/>
                <w:b/>
                <w:bCs/>
                <w:sz w:val="20"/>
                <w:szCs w:val="20"/>
              </w:rPr>
              <w:t>2024</w:t>
            </w:r>
          </w:p>
        </w:tc>
        <w:tc>
          <w:tcPr>
            <w:tcW w:w="0" w:type="auto"/>
            <w:tcMar>
              <w:top w:w="0" w:type="dxa"/>
              <w:left w:w="0" w:type="dxa"/>
              <w:bottom w:w="30" w:type="dxa"/>
              <w:right w:w="0" w:type="dxa"/>
            </w:tcMar>
            <w:vAlign w:val="bottom"/>
            <w:hideMark/>
          </w:tcPr>
          <w:p w14:paraId="464EBBFF"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558F0612" w14:textId="77777777" w:rsidR="00000000" w:rsidRDefault="002F725F">
            <w:pPr>
              <w:rPr>
                <w:rFonts w:eastAsia="Times New Roman"/>
                <w:b/>
                <w:bCs/>
                <w:sz w:val="20"/>
                <w:szCs w:val="20"/>
              </w:rPr>
            </w:pPr>
            <w:r>
              <w:rPr>
                <w:rFonts w:eastAsia="Times New Roman"/>
                <w:b/>
                <w:bCs/>
                <w:sz w:val="20"/>
                <w:szCs w:val="20"/>
              </w:rPr>
              <w:t> </w:t>
            </w:r>
          </w:p>
        </w:tc>
        <w:tc>
          <w:tcPr>
            <w:tcW w:w="0" w:type="auto"/>
            <w:gridSpan w:val="6"/>
            <w:tcBorders>
              <w:bottom w:val="single" w:sz="12" w:space="0" w:color="000000"/>
            </w:tcBorders>
            <w:vAlign w:val="bottom"/>
            <w:hideMark/>
          </w:tcPr>
          <w:p w14:paraId="6AE8B19C" w14:textId="77777777" w:rsidR="00000000" w:rsidRDefault="002F725F">
            <w:pPr>
              <w:jc w:val="center"/>
              <w:rPr>
                <w:rFonts w:eastAsia="Times New Roman"/>
                <w:b/>
                <w:bCs/>
                <w:sz w:val="20"/>
                <w:szCs w:val="20"/>
              </w:rPr>
            </w:pPr>
            <w:r>
              <w:rPr>
                <w:rFonts w:eastAsia="Times New Roman"/>
                <w:b/>
                <w:bCs/>
                <w:sz w:val="20"/>
                <w:szCs w:val="20"/>
              </w:rPr>
              <w:t>2025</w:t>
            </w:r>
          </w:p>
        </w:tc>
        <w:tc>
          <w:tcPr>
            <w:tcW w:w="0" w:type="auto"/>
            <w:tcMar>
              <w:top w:w="0" w:type="dxa"/>
              <w:left w:w="0" w:type="dxa"/>
              <w:bottom w:w="30" w:type="dxa"/>
              <w:right w:w="0" w:type="dxa"/>
            </w:tcMar>
            <w:vAlign w:val="bottom"/>
            <w:hideMark/>
          </w:tcPr>
          <w:p w14:paraId="7BF29C0A" w14:textId="77777777" w:rsidR="00000000" w:rsidRDefault="002F725F">
            <w:pPr>
              <w:rPr>
                <w:rFonts w:eastAsia="Times New Roman"/>
                <w:b/>
                <w:bCs/>
                <w:sz w:val="20"/>
                <w:szCs w:val="20"/>
              </w:rPr>
            </w:pPr>
            <w:r>
              <w:rPr>
                <w:rFonts w:eastAsia="Times New Roman"/>
                <w:b/>
                <w:bCs/>
                <w:sz w:val="20"/>
                <w:szCs w:val="20"/>
              </w:rPr>
              <w:t> </w:t>
            </w:r>
          </w:p>
        </w:tc>
      </w:tr>
      <w:tr w:rsidR="00000000" w14:paraId="5B46BA95" w14:textId="77777777">
        <w:trPr>
          <w:divId w:val="415980837"/>
        </w:trPr>
        <w:tc>
          <w:tcPr>
            <w:tcW w:w="0" w:type="auto"/>
            <w:vAlign w:val="bottom"/>
            <w:hideMark/>
          </w:tcPr>
          <w:p w14:paraId="6669DFB7" w14:textId="77777777" w:rsidR="00000000" w:rsidRDefault="002F725F">
            <w:pPr>
              <w:jc w:val="center"/>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06B85A7B"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6973E2D8" w14:textId="77777777" w:rsidR="00000000" w:rsidRDefault="002F725F">
            <w:pPr>
              <w:jc w:val="center"/>
              <w:rPr>
                <w:rFonts w:eastAsia="Times New Roman"/>
                <w:b/>
                <w:bCs/>
                <w:sz w:val="20"/>
                <w:szCs w:val="20"/>
              </w:rPr>
            </w:pPr>
            <w:r>
              <w:rPr>
                <w:rFonts w:eastAsia="Times New Roman"/>
                <w:b/>
                <w:bCs/>
                <w:sz w:val="20"/>
                <w:szCs w:val="20"/>
              </w:rPr>
              <w:t>RMB</w:t>
            </w:r>
          </w:p>
        </w:tc>
        <w:tc>
          <w:tcPr>
            <w:tcW w:w="0" w:type="auto"/>
            <w:tcMar>
              <w:top w:w="0" w:type="dxa"/>
              <w:left w:w="0" w:type="dxa"/>
              <w:bottom w:w="30" w:type="dxa"/>
              <w:right w:w="0" w:type="dxa"/>
            </w:tcMar>
            <w:vAlign w:val="bottom"/>
            <w:hideMark/>
          </w:tcPr>
          <w:p w14:paraId="1DD26139"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2AE878A3"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3368D025" w14:textId="77777777" w:rsidR="00000000" w:rsidRDefault="002F725F">
            <w:pPr>
              <w:jc w:val="center"/>
              <w:rPr>
                <w:rFonts w:eastAsia="Times New Roman"/>
                <w:b/>
                <w:bCs/>
                <w:sz w:val="20"/>
                <w:szCs w:val="20"/>
              </w:rPr>
            </w:pPr>
            <w:r>
              <w:rPr>
                <w:rFonts w:eastAsia="Times New Roman"/>
                <w:b/>
                <w:bCs/>
                <w:sz w:val="20"/>
                <w:szCs w:val="20"/>
              </w:rPr>
              <w:t>RMB</w:t>
            </w:r>
          </w:p>
        </w:tc>
        <w:tc>
          <w:tcPr>
            <w:tcW w:w="0" w:type="auto"/>
            <w:tcMar>
              <w:top w:w="0" w:type="dxa"/>
              <w:left w:w="0" w:type="dxa"/>
              <w:bottom w:w="30" w:type="dxa"/>
              <w:right w:w="0" w:type="dxa"/>
            </w:tcMar>
            <w:vAlign w:val="bottom"/>
            <w:hideMark/>
          </w:tcPr>
          <w:p w14:paraId="5705E77E"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188EB4A0"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35B42E86" w14:textId="77777777" w:rsidR="00000000" w:rsidRDefault="002F725F">
            <w:pPr>
              <w:jc w:val="center"/>
              <w:rPr>
                <w:rFonts w:eastAsia="Times New Roman"/>
                <w:b/>
                <w:bCs/>
                <w:sz w:val="20"/>
                <w:szCs w:val="20"/>
              </w:rPr>
            </w:pPr>
            <w:r>
              <w:rPr>
                <w:rFonts w:eastAsia="Times New Roman"/>
                <w:b/>
                <w:bCs/>
                <w:sz w:val="20"/>
                <w:szCs w:val="20"/>
              </w:rPr>
              <w:t>US$</w:t>
            </w:r>
          </w:p>
        </w:tc>
        <w:tc>
          <w:tcPr>
            <w:tcW w:w="0" w:type="auto"/>
            <w:tcMar>
              <w:top w:w="0" w:type="dxa"/>
              <w:left w:w="0" w:type="dxa"/>
              <w:bottom w:w="30" w:type="dxa"/>
              <w:right w:w="0" w:type="dxa"/>
            </w:tcMar>
            <w:vAlign w:val="bottom"/>
            <w:hideMark/>
          </w:tcPr>
          <w:p w14:paraId="5C69A0B2" w14:textId="77777777" w:rsidR="00000000" w:rsidRDefault="002F725F">
            <w:pPr>
              <w:rPr>
                <w:rFonts w:eastAsia="Times New Roman"/>
                <w:b/>
                <w:bCs/>
                <w:sz w:val="20"/>
                <w:szCs w:val="20"/>
              </w:rPr>
            </w:pPr>
            <w:r>
              <w:rPr>
                <w:rFonts w:eastAsia="Times New Roman"/>
                <w:b/>
                <w:bCs/>
                <w:sz w:val="20"/>
                <w:szCs w:val="20"/>
              </w:rPr>
              <w:t> </w:t>
            </w:r>
          </w:p>
        </w:tc>
      </w:tr>
      <w:tr w:rsidR="00000000" w14:paraId="77C6E15A" w14:textId="77777777">
        <w:trPr>
          <w:divId w:val="415980837"/>
        </w:trPr>
        <w:tc>
          <w:tcPr>
            <w:tcW w:w="0" w:type="auto"/>
            <w:vAlign w:val="bottom"/>
            <w:hideMark/>
          </w:tcPr>
          <w:p w14:paraId="4370D1E0" w14:textId="77777777" w:rsidR="00000000" w:rsidRDefault="002F725F">
            <w:pPr>
              <w:jc w:val="center"/>
              <w:rPr>
                <w:rFonts w:eastAsia="Times New Roman"/>
                <w:sz w:val="20"/>
                <w:szCs w:val="20"/>
              </w:rPr>
            </w:pPr>
            <w:r>
              <w:rPr>
                <w:rFonts w:eastAsia="Times New Roman"/>
                <w:sz w:val="20"/>
                <w:szCs w:val="20"/>
              </w:rPr>
              <w:t> </w:t>
            </w:r>
          </w:p>
        </w:tc>
        <w:tc>
          <w:tcPr>
            <w:tcW w:w="0" w:type="auto"/>
            <w:vAlign w:val="bottom"/>
            <w:hideMark/>
          </w:tcPr>
          <w:p w14:paraId="5A305FDB" w14:textId="77777777" w:rsidR="00000000" w:rsidRDefault="002F725F">
            <w:pPr>
              <w:rPr>
                <w:rFonts w:eastAsia="Times New Roman"/>
                <w:b/>
                <w:bCs/>
                <w:sz w:val="20"/>
                <w:szCs w:val="20"/>
              </w:rPr>
            </w:pPr>
            <w:r>
              <w:rPr>
                <w:rFonts w:eastAsia="Times New Roman"/>
                <w:b/>
                <w:bCs/>
                <w:sz w:val="20"/>
                <w:szCs w:val="20"/>
              </w:rPr>
              <w:t> </w:t>
            </w:r>
          </w:p>
        </w:tc>
        <w:tc>
          <w:tcPr>
            <w:tcW w:w="0" w:type="auto"/>
            <w:gridSpan w:val="10"/>
            <w:vAlign w:val="bottom"/>
            <w:hideMark/>
          </w:tcPr>
          <w:p w14:paraId="0CDA3A77" w14:textId="77777777" w:rsidR="00000000" w:rsidRDefault="002F725F">
            <w:pPr>
              <w:jc w:val="center"/>
              <w:rPr>
                <w:rFonts w:eastAsia="Times New Roman"/>
                <w:b/>
                <w:bCs/>
                <w:sz w:val="20"/>
                <w:szCs w:val="20"/>
              </w:rPr>
            </w:pPr>
            <w:r>
              <w:rPr>
                <w:rFonts w:eastAsia="Times New Roman"/>
                <w:b/>
                <w:bCs/>
                <w:sz w:val="20"/>
                <w:szCs w:val="20"/>
              </w:rPr>
              <w:t>(in thousands, except for share and per share data)</w:t>
            </w:r>
          </w:p>
        </w:tc>
        <w:tc>
          <w:tcPr>
            <w:tcW w:w="0" w:type="auto"/>
            <w:vAlign w:val="bottom"/>
            <w:hideMark/>
          </w:tcPr>
          <w:p w14:paraId="2B019BE8" w14:textId="77777777" w:rsidR="00000000" w:rsidRDefault="002F725F">
            <w:pPr>
              <w:rPr>
                <w:rFonts w:eastAsia="Times New Roman"/>
                <w:b/>
                <w:bCs/>
                <w:sz w:val="20"/>
                <w:szCs w:val="20"/>
              </w:rPr>
            </w:pPr>
            <w:r>
              <w:rPr>
                <w:rFonts w:eastAsia="Times New Roman"/>
                <w:b/>
                <w:bCs/>
                <w:sz w:val="20"/>
                <w:szCs w:val="20"/>
              </w:rPr>
              <w:t> </w:t>
            </w:r>
          </w:p>
        </w:tc>
      </w:tr>
      <w:tr w:rsidR="00000000" w14:paraId="5AF24E34" w14:textId="77777777">
        <w:trPr>
          <w:divId w:val="415980837"/>
        </w:trPr>
        <w:tc>
          <w:tcPr>
            <w:tcW w:w="0" w:type="auto"/>
            <w:vAlign w:val="bottom"/>
            <w:hideMark/>
          </w:tcPr>
          <w:p w14:paraId="23C0443D" w14:textId="77777777" w:rsidR="00000000" w:rsidRDefault="002F725F">
            <w:pPr>
              <w:rPr>
                <w:rFonts w:eastAsia="Times New Roman"/>
                <w:b/>
                <w:bCs/>
                <w:sz w:val="20"/>
                <w:szCs w:val="20"/>
              </w:rPr>
            </w:pPr>
            <w:r>
              <w:rPr>
                <w:rFonts w:eastAsia="Times New Roman"/>
                <w:b/>
                <w:bCs/>
                <w:sz w:val="20"/>
                <w:szCs w:val="20"/>
              </w:rPr>
              <w:t>Selected Consolidated Balance Sheets Data:</w:t>
            </w:r>
          </w:p>
        </w:tc>
        <w:tc>
          <w:tcPr>
            <w:tcW w:w="0" w:type="auto"/>
            <w:vAlign w:val="bottom"/>
            <w:hideMark/>
          </w:tcPr>
          <w:p w14:paraId="2206AC75"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7512C53D" w14:textId="77777777" w:rsidR="00000000" w:rsidRDefault="002F725F">
            <w:pPr>
              <w:jc w:val="right"/>
              <w:rPr>
                <w:rFonts w:eastAsia="Times New Roman"/>
                <w:sz w:val="20"/>
                <w:szCs w:val="20"/>
              </w:rPr>
            </w:pPr>
            <w:r>
              <w:rPr>
                <w:rFonts w:eastAsia="Times New Roman"/>
                <w:sz w:val="20"/>
                <w:szCs w:val="20"/>
              </w:rPr>
              <w:t> </w:t>
            </w:r>
          </w:p>
        </w:tc>
        <w:tc>
          <w:tcPr>
            <w:tcW w:w="0" w:type="auto"/>
            <w:vAlign w:val="bottom"/>
            <w:hideMark/>
          </w:tcPr>
          <w:p w14:paraId="6C25B2F6"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7D4F86AB"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6EEE3F56" w14:textId="77777777" w:rsidR="00000000" w:rsidRDefault="002F725F">
            <w:pPr>
              <w:jc w:val="right"/>
              <w:rPr>
                <w:rFonts w:eastAsia="Times New Roman"/>
                <w:sz w:val="20"/>
                <w:szCs w:val="20"/>
              </w:rPr>
            </w:pPr>
            <w:r>
              <w:rPr>
                <w:rFonts w:eastAsia="Times New Roman"/>
                <w:sz w:val="20"/>
                <w:szCs w:val="20"/>
              </w:rPr>
              <w:t> </w:t>
            </w:r>
          </w:p>
        </w:tc>
        <w:tc>
          <w:tcPr>
            <w:tcW w:w="0" w:type="auto"/>
            <w:vAlign w:val="bottom"/>
            <w:hideMark/>
          </w:tcPr>
          <w:p w14:paraId="4500B1C4"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46B078DB"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7B193C6D" w14:textId="77777777" w:rsidR="00000000" w:rsidRDefault="002F725F">
            <w:pPr>
              <w:jc w:val="right"/>
              <w:rPr>
                <w:rFonts w:eastAsia="Times New Roman"/>
                <w:sz w:val="20"/>
                <w:szCs w:val="20"/>
              </w:rPr>
            </w:pPr>
            <w:r>
              <w:rPr>
                <w:rFonts w:eastAsia="Times New Roman"/>
                <w:sz w:val="20"/>
                <w:szCs w:val="20"/>
              </w:rPr>
              <w:t> </w:t>
            </w:r>
          </w:p>
        </w:tc>
        <w:tc>
          <w:tcPr>
            <w:tcW w:w="0" w:type="auto"/>
            <w:vAlign w:val="bottom"/>
            <w:hideMark/>
          </w:tcPr>
          <w:p w14:paraId="12301DC2" w14:textId="77777777" w:rsidR="00000000" w:rsidRDefault="002F725F">
            <w:pPr>
              <w:rPr>
                <w:rFonts w:eastAsia="Times New Roman"/>
                <w:sz w:val="20"/>
                <w:szCs w:val="20"/>
              </w:rPr>
            </w:pPr>
            <w:r>
              <w:rPr>
                <w:rFonts w:eastAsia="Times New Roman"/>
                <w:sz w:val="20"/>
                <w:szCs w:val="20"/>
              </w:rPr>
              <w:t> </w:t>
            </w:r>
          </w:p>
        </w:tc>
      </w:tr>
      <w:tr w:rsidR="00000000" w14:paraId="34895932" w14:textId="77777777">
        <w:trPr>
          <w:divId w:val="415980837"/>
        </w:trPr>
        <w:tc>
          <w:tcPr>
            <w:tcW w:w="3200" w:type="pct"/>
            <w:shd w:val="clear" w:color="auto" w:fill="CCEEFF"/>
            <w:tcMar>
              <w:top w:w="0" w:type="dxa"/>
              <w:left w:w="200" w:type="dxa"/>
              <w:bottom w:w="0" w:type="dxa"/>
              <w:right w:w="0" w:type="dxa"/>
            </w:tcMar>
            <w:vAlign w:val="bottom"/>
            <w:hideMark/>
          </w:tcPr>
          <w:p w14:paraId="1CAEF99C" w14:textId="77777777" w:rsidR="00000000" w:rsidRDefault="002F725F">
            <w:pPr>
              <w:ind w:hanging="200"/>
              <w:rPr>
                <w:rFonts w:eastAsia="Times New Roman"/>
                <w:sz w:val="20"/>
                <w:szCs w:val="20"/>
              </w:rPr>
            </w:pPr>
            <w:r>
              <w:rPr>
                <w:rFonts w:eastAsia="Times New Roman"/>
                <w:sz w:val="20"/>
                <w:szCs w:val="20"/>
              </w:rPr>
              <w:t>Total current assets</w:t>
            </w:r>
          </w:p>
        </w:tc>
        <w:tc>
          <w:tcPr>
            <w:tcW w:w="50" w:type="pct"/>
            <w:shd w:val="clear" w:color="auto" w:fill="CCEEFF"/>
            <w:vAlign w:val="bottom"/>
            <w:hideMark/>
          </w:tcPr>
          <w:p w14:paraId="7FAA8B8B"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4CB84456"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CCEEFF"/>
            <w:vAlign w:val="bottom"/>
            <w:hideMark/>
          </w:tcPr>
          <w:p w14:paraId="5422865C" w14:textId="77777777" w:rsidR="00000000" w:rsidRDefault="002F725F">
            <w:pPr>
              <w:jc w:val="right"/>
              <w:rPr>
                <w:rFonts w:eastAsia="Times New Roman"/>
                <w:sz w:val="20"/>
                <w:szCs w:val="20"/>
              </w:rPr>
            </w:pPr>
            <w:r>
              <w:rPr>
                <w:rFonts w:eastAsia="Times New Roman"/>
                <w:sz w:val="20"/>
                <w:szCs w:val="20"/>
              </w:rPr>
              <w:t>903,167,952</w:t>
            </w:r>
          </w:p>
        </w:tc>
        <w:tc>
          <w:tcPr>
            <w:tcW w:w="50" w:type="pct"/>
            <w:shd w:val="clear" w:color="auto" w:fill="CCEEFF"/>
            <w:vAlign w:val="bottom"/>
            <w:hideMark/>
          </w:tcPr>
          <w:p w14:paraId="4B895F92"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7024504F"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3C29D299"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CCEEFF"/>
            <w:vAlign w:val="bottom"/>
            <w:hideMark/>
          </w:tcPr>
          <w:p w14:paraId="2B8100A4" w14:textId="77777777" w:rsidR="00000000" w:rsidRDefault="002F725F">
            <w:pPr>
              <w:jc w:val="right"/>
              <w:rPr>
                <w:rFonts w:eastAsia="Times New Roman"/>
                <w:sz w:val="20"/>
                <w:szCs w:val="20"/>
              </w:rPr>
            </w:pPr>
            <w:r>
              <w:rPr>
                <w:rFonts w:eastAsia="Times New Roman"/>
                <w:sz w:val="20"/>
                <w:szCs w:val="20"/>
              </w:rPr>
              <w:t>842,218,000</w:t>
            </w:r>
          </w:p>
        </w:tc>
        <w:tc>
          <w:tcPr>
            <w:tcW w:w="50" w:type="pct"/>
            <w:shd w:val="clear" w:color="auto" w:fill="CCEEFF"/>
            <w:vAlign w:val="bottom"/>
            <w:hideMark/>
          </w:tcPr>
          <w:p w14:paraId="0F024AE1"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65FF4F29"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0E8CC54B"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CCEEFF"/>
            <w:vAlign w:val="bottom"/>
            <w:hideMark/>
          </w:tcPr>
          <w:p w14:paraId="49798937" w14:textId="77777777" w:rsidR="00000000" w:rsidRDefault="002F725F">
            <w:pPr>
              <w:jc w:val="right"/>
              <w:rPr>
                <w:rFonts w:eastAsia="Times New Roman"/>
                <w:sz w:val="20"/>
                <w:szCs w:val="20"/>
              </w:rPr>
            </w:pPr>
            <w:r>
              <w:rPr>
                <w:rFonts w:eastAsia="Times New Roman"/>
                <w:sz w:val="20"/>
                <w:szCs w:val="20"/>
              </w:rPr>
              <w:t>117,329,971</w:t>
            </w:r>
          </w:p>
        </w:tc>
        <w:tc>
          <w:tcPr>
            <w:tcW w:w="50" w:type="pct"/>
            <w:shd w:val="clear" w:color="auto" w:fill="CCEEFF"/>
            <w:vAlign w:val="bottom"/>
            <w:hideMark/>
          </w:tcPr>
          <w:p w14:paraId="5691DAF2" w14:textId="77777777" w:rsidR="00000000" w:rsidRDefault="002F725F">
            <w:pPr>
              <w:rPr>
                <w:rFonts w:eastAsia="Times New Roman"/>
                <w:sz w:val="20"/>
                <w:szCs w:val="20"/>
              </w:rPr>
            </w:pPr>
            <w:r>
              <w:rPr>
                <w:rFonts w:eastAsia="Times New Roman"/>
                <w:sz w:val="20"/>
                <w:szCs w:val="20"/>
              </w:rPr>
              <w:t> </w:t>
            </w:r>
          </w:p>
        </w:tc>
      </w:tr>
      <w:tr w:rsidR="00000000" w14:paraId="4B11141D" w14:textId="77777777">
        <w:trPr>
          <w:divId w:val="415980837"/>
        </w:trPr>
        <w:tc>
          <w:tcPr>
            <w:tcW w:w="0" w:type="auto"/>
            <w:shd w:val="clear" w:color="auto" w:fill="FFFFFF"/>
            <w:tcMar>
              <w:top w:w="0" w:type="dxa"/>
              <w:left w:w="200" w:type="dxa"/>
              <w:bottom w:w="0" w:type="dxa"/>
              <w:right w:w="0" w:type="dxa"/>
            </w:tcMar>
            <w:vAlign w:val="bottom"/>
            <w:hideMark/>
          </w:tcPr>
          <w:p w14:paraId="142FA07E" w14:textId="77777777" w:rsidR="00000000" w:rsidRDefault="002F725F">
            <w:pPr>
              <w:ind w:hanging="200"/>
              <w:rPr>
                <w:rFonts w:eastAsia="Times New Roman"/>
                <w:sz w:val="20"/>
                <w:szCs w:val="20"/>
              </w:rPr>
            </w:pPr>
            <w:r>
              <w:rPr>
                <w:rFonts w:eastAsia="Times New Roman"/>
                <w:sz w:val="20"/>
                <w:szCs w:val="20"/>
              </w:rPr>
              <w:t>Total non-current assets</w:t>
            </w:r>
          </w:p>
        </w:tc>
        <w:tc>
          <w:tcPr>
            <w:tcW w:w="0" w:type="auto"/>
            <w:shd w:val="clear" w:color="auto" w:fill="FFFFFF"/>
            <w:vAlign w:val="bottom"/>
            <w:hideMark/>
          </w:tcPr>
          <w:p w14:paraId="022CC6A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ACD0BE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74F12C2" w14:textId="77777777" w:rsidR="00000000" w:rsidRDefault="002F725F">
            <w:pPr>
              <w:jc w:val="right"/>
              <w:rPr>
                <w:rFonts w:eastAsia="Times New Roman"/>
                <w:sz w:val="20"/>
                <w:szCs w:val="20"/>
              </w:rPr>
            </w:pPr>
            <w:r>
              <w:rPr>
                <w:rFonts w:eastAsia="Times New Roman"/>
                <w:sz w:val="20"/>
                <w:szCs w:val="20"/>
              </w:rPr>
              <w:t>609,859,404</w:t>
            </w:r>
          </w:p>
        </w:tc>
        <w:tc>
          <w:tcPr>
            <w:tcW w:w="0" w:type="auto"/>
            <w:shd w:val="clear" w:color="auto" w:fill="FFFFFF"/>
            <w:vAlign w:val="bottom"/>
            <w:hideMark/>
          </w:tcPr>
          <w:p w14:paraId="2F8F8BE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0F651E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4B15EA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38985BC" w14:textId="77777777" w:rsidR="00000000" w:rsidRDefault="002F725F">
            <w:pPr>
              <w:jc w:val="right"/>
              <w:rPr>
                <w:rFonts w:eastAsia="Times New Roman"/>
                <w:sz w:val="20"/>
                <w:szCs w:val="20"/>
              </w:rPr>
            </w:pPr>
            <w:r>
              <w:rPr>
                <w:rFonts w:eastAsia="Times New Roman"/>
                <w:sz w:val="20"/>
                <w:szCs w:val="20"/>
              </w:rPr>
              <w:t>525,445,211</w:t>
            </w:r>
          </w:p>
        </w:tc>
        <w:tc>
          <w:tcPr>
            <w:tcW w:w="0" w:type="auto"/>
            <w:shd w:val="clear" w:color="auto" w:fill="FFFFFF"/>
            <w:vAlign w:val="bottom"/>
            <w:hideMark/>
          </w:tcPr>
          <w:p w14:paraId="5DDC5F6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A43DD2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8884E5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031BD97" w14:textId="77777777" w:rsidR="00000000" w:rsidRDefault="002F725F">
            <w:pPr>
              <w:jc w:val="right"/>
              <w:rPr>
                <w:rFonts w:eastAsia="Times New Roman"/>
                <w:sz w:val="20"/>
                <w:szCs w:val="20"/>
              </w:rPr>
            </w:pPr>
            <w:r>
              <w:rPr>
                <w:rFonts w:eastAsia="Times New Roman"/>
                <w:sz w:val="20"/>
                <w:szCs w:val="20"/>
              </w:rPr>
              <w:t>73,200,135</w:t>
            </w:r>
          </w:p>
        </w:tc>
        <w:tc>
          <w:tcPr>
            <w:tcW w:w="0" w:type="auto"/>
            <w:shd w:val="clear" w:color="auto" w:fill="FFFFFF"/>
            <w:vAlign w:val="bottom"/>
            <w:hideMark/>
          </w:tcPr>
          <w:p w14:paraId="7F4311DC" w14:textId="77777777" w:rsidR="00000000" w:rsidRDefault="002F725F">
            <w:pPr>
              <w:rPr>
                <w:rFonts w:eastAsia="Times New Roman"/>
                <w:sz w:val="20"/>
                <w:szCs w:val="20"/>
              </w:rPr>
            </w:pPr>
            <w:r>
              <w:rPr>
                <w:rFonts w:eastAsia="Times New Roman"/>
                <w:sz w:val="20"/>
                <w:szCs w:val="20"/>
              </w:rPr>
              <w:t> </w:t>
            </w:r>
          </w:p>
        </w:tc>
      </w:tr>
      <w:tr w:rsidR="00000000" w14:paraId="0C04C904" w14:textId="77777777">
        <w:trPr>
          <w:divId w:val="415980837"/>
        </w:trPr>
        <w:tc>
          <w:tcPr>
            <w:tcW w:w="0" w:type="auto"/>
            <w:shd w:val="clear" w:color="auto" w:fill="CCEEFF"/>
            <w:tcMar>
              <w:top w:w="0" w:type="dxa"/>
              <w:left w:w="200" w:type="dxa"/>
              <w:bottom w:w="0" w:type="dxa"/>
              <w:right w:w="0" w:type="dxa"/>
            </w:tcMar>
            <w:vAlign w:val="bottom"/>
            <w:hideMark/>
          </w:tcPr>
          <w:p w14:paraId="693D8BA7" w14:textId="77777777" w:rsidR="00000000" w:rsidRDefault="002F725F">
            <w:pPr>
              <w:ind w:hanging="200"/>
              <w:rPr>
                <w:rFonts w:eastAsia="Times New Roman"/>
                <w:b/>
                <w:bCs/>
                <w:sz w:val="20"/>
                <w:szCs w:val="20"/>
              </w:rPr>
            </w:pPr>
            <w:r>
              <w:rPr>
                <w:rFonts w:eastAsia="Times New Roman"/>
                <w:b/>
                <w:bCs/>
                <w:sz w:val="20"/>
                <w:szCs w:val="20"/>
              </w:rPr>
              <w:t>Total assets</w:t>
            </w:r>
          </w:p>
        </w:tc>
        <w:tc>
          <w:tcPr>
            <w:tcW w:w="0" w:type="auto"/>
            <w:shd w:val="clear" w:color="auto" w:fill="CCEEFF"/>
            <w:vAlign w:val="bottom"/>
            <w:hideMark/>
          </w:tcPr>
          <w:p w14:paraId="79236DD1"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5F38D732"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22A48523" w14:textId="77777777" w:rsidR="00000000" w:rsidRDefault="002F725F">
            <w:pPr>
              <w:jc w:val="right"/>
              <w:rPr>
                <w:rFonts w:eastAsia="Times New Roman"/>
                <w:b/>
                <w:bCs/>
                <w:sz w:val="20"/>
                <w:szCs w:val="20"/>
              </w:rPr>
            </w:pPr>
            <w:r>
              <w:rPr>
                <w:rFonts w:eastAsia="Times New Roman"/>
                <w:b/>
                <w:bCs/>
                <w:sz w:val="20"/>
                <w:szCs w:val="20"/>
              </w:rPr>
              <w:t>1,513,027,356</w:t>
            </w:r>
          </w:p>
        </w:tc>
        <w:tc>
          <w:tcPr>
            <w:tcW w:w="0" w:type="auto"/>
            <w:shd w:val="clear" w:color="auto" w:fill="CCEEFF"/>
            <w:vAlign w:val="bottom"/>
            <w:hideMark/>
          </w:tcPr>
          <w:p w14:paraId="1C945FBE"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0329AF34"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713313B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F8730D0" w14:textId="77777777" w:rsidR="00000000" w:rsidRDefault="002F725F">
            <w:pPr>
              <w:jc w:val="right"/>
              <w:rPr>
                <w:rFonts w:eastAsia="Times New Roman"/>
                <w:b/>
                <w:bCs/>
                <w:sz w:val="20"/>
                <w:szCs w:val="20"/>
              </w:rPr>
            </w:pPr>
            <w:r>
              <w:rPr>
                <w:rFonts w:eastAsia="Times New Roman"/>
                <w:b/>
                <w:bCs/>
                <w:sz w:val="20"/>
                <w:szCs w:val="20"/>
              </w:rPr>
              <w:t>1,367,663,211</w:t>
            </w:r>
          </w:p>
        </w:tc>
        <w:tc>
          <w:tcPr>
            <w:tcW w:w="0" w:type="auto"/>
            <w:shd w:val="clear" w:color="auto" w:fill="CCEEFF"/>
            <w:vAlign w:val="bottom"/>
            <w:hideMark/>
          </w:tcPr>
          <w:p w14:paraId="10687F4C"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13E83106"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4DAD5F5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CCEEFF"/>
            <w:vAlign w:val="bottom"/>
            <w:hideMark/>
          </w:tcPr>
          <w:p w14:paraId="0F2E5961" w14:textId="77777777" w:rsidR="00000000" w:rsidRDefault="002F725F">
            <w:pPr>
              <w:jc w:val="right"/>
              <w:rPr>
                <w:rFonts w:eastAsia="Times New Roman"/>
                <w:b/>
                <w:bCs/>
                <w:sz w:val="20"/>
                <w:szCs w:val="20"/>
              </w:rPr>
            </w:pPr>
            <w:r>
              <w:rPr>
                <w:rFonts w:eastAsia="Times New Roman"/>
                <w:b/>
                <w:bCs/>
                <w:sz w:val="20"/>
                <w:szCs w:val="20"/>
              </w:rPr>
              <w:t>190,530,106</w:t>
            </w:r>
          </w:p>
        </w:tc>
        <w:tc>
          <w:tcPr>
            <w:tcW w:w="0" w:type="auto"/>
            <w:shd w:val="clear" w:color="auto" w:fill="CCEEFF"/>
            <w:vAlign w:val="bottom"/>
            <w:hideMark/>
          </w:tcPr>
          <w:p w14:paraId="0027A580" w14:textId="77777777" w:rsidR="00000000" w:rsidRDefault="002F725F">
            <w:pPr>
              <w:rPr>
                <w:rFonts w:eastAsia="Times New Roman"/>
                <w:b/>
                <w:bCs/>
                <w:sz w:val="20"/>
                <w:szCs w:val="20"/>
              </w:rPr>
            </w:pPr>
            <w:r>
              <w:rPr>
                <w:rFonts w:eastAsia="Times New Roman"/>
                <w:b/>
                <w:bCs/>
                <w:sz w:val="20"/>
                <w:szCs w:val="20"/>
              </w:rPr>
              <w:t> </w:t>
            </w:r>
          </w:p>
        </w:tc>
      </w:tr>
      <w:tr w:rsidR="00000000" w14:paraId="564C0ED5" w14:textId="77777777">
        <w:trPr>
          <w:divId w:val="415980837"/>
        </w:trPr>
        <w:tc>
          <w:tcPr>
            <w:tcW w:w="0" w:type="auto"/>
            <w:shd w:val="clear" w:color="auto" w:fill="FFFFFF"/>
            <w:tcMar>
              <w:top w:w="0" w:type="dxa"/>
              <w:left w:w="200" w:type="dxa"/>
              <w:bottom w:w="0" w:type="dxa"/>
              <w:right w:w="0" w:type="dxa"/>
            </w:tcMar>
            <w:vAlign w:val="bottom"/>
            <w:hideMark/>
          </w:tcPr>
          <w:p w14:paraId="2EA043B2" w14:textId="77777777" w:rsidR="00000000" w:rsidRDefault="002F725F">
            <w:pPr>
              <w:ind w:hanging="200"/>
              <w:rPr>
                <w:rFonts w:eastAsia="Times New Roman"/>
                <w:sz w:val="20"/>
                <w:szCs w:val="20"/>
              </w:rPr>
            </w:pPr>
            <w:r>
              <w:rPr>
                <w:rFonts w:eastAsia="Times New Roman"/>
                <w:sz w:val="20"/>
                <w:szCs w:val="20"/>
              </w:rPr>
              <w:t>Total current liabilities</w:t>
            </w:r>
          </w:p>
        </w:tc>
        <w:tc>
          <w:tcPr>
            <w:tcW w:w="0" w:type="auto"/>
            <w:shd w:val="clear" w:color="auto" w:fill="FFFFFF"/>
            <w:vAlign w:val="bottom"/>
            <w:hideMark/>
          </w:tcPr>
          <w:p w14:paraId="5551D01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EA88AB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2DE3870" w14:textId="77777777" w:rsidR="00000000" w:rsidRDefault="002F725F">
            <w:pPr>
              <w:jc w:val="right"/>
              <w:rPr>
                <w:rFonts w:eastAsia="Times New Roman"/>
                <w:sz w:val="20"/>
                <w:szCs w:val="20"/>
              </w:rPr>
            </w:pPr>
            <w:r>
              <w:rPr>
                <w:rFonts w:eastAsia="Times New Roman"/>
                <w:sz w:val="20"/>
                <w:szCs w:val="20"/>
              </w:rPr>
              <w:t>802,225,732</w:t>
            </w:r>
          </w:p>
        </w:tc>
        <w:tc>
          <w:tcPr>
            <w:tcW w:w="0" w:type="auto"/>
            <w:shd w:val="clear" w:color="auto" w:fill="FFFFFF"/>
            <w:vAlign w:val="bottom"/>
            <w:hideMark/>
          </w:tcPr>
          <w:p w14:paraId="0228161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6E4AF1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E1F23A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BA6F9DC" w14:textId="77777777" w:rsidR="00000000" w:rsidRDefault="002F725F">
            <w:pPr>
              <w:jc w:val="right"/>
              <w:rPr>
                <w:rFonts w:eastAsia="Times New Roman"/>
                <w:sz w:val="20"/>
                <w:szCs w:val="20"/>
              </w:rPr>
            </w:pPr>
            <w:r>
              <w:rPr>
                <w:rFonts w:eastAsia="Times New Roman"/>
                <w:sz w:val="20"/>
                <w:szCs w:val="20"/>
              </w:rPr>
              <w:t>824,752,522</w:t>
            </w:r>
          </w:p>
        </w:tc>
        <w:tc>
          <w:tcPr>
            <w:tcW w:w="0" w:type="auto"/>
            <w:shd w:val="clear" w:color="auto" w:fill="FFFFFF"/>
            <w:vAlign w:val="bottom"/>
            <w:hideMark/>
          </w:tcPr>
          <w:p w14:paraId="3FCC380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88D31F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BC3968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9723D77" w14:textId="77777777" w:rsidR="00000000" w:rsidRDefault="002F725F">
            <w:pPr>
              <w:jc w:val="right"/>
              <w:rPr>
                <w:rFonts w:eastAsia="Times New Roman"/>
                <w:sz w:val="20"/>
                <w:szCs w:val="20"/>
              </w:rPr>
            </w:pPr>
            <w:r>
              <w:rPr>
                <w:rFonts w:eastAsia="Times New Roman"/>
                <w:sz w:val="20"/>
                <w:szCs w:val="20"/>
              </w:rPr>
              <w:t>114,896,843</w:t>
            </w:r>
          </w:p>
        </w:tc>
        <w:tc>
          <w:tcPr>
            <w:tcW w:w="0" w:type="auto"/>
            <w:shd w:val="clear" w:color="auto" w:fill="FFFFFF"/>
            <w:vAlign w:val="bottom"/>
            <w:hideMark/>
          </w:tcPr>
          <w:p w14:paraId="4EACCD47" w14:textId="77777777" w:rsidR="00000000" w:rsidRDefault="002F725F">
            <w:pPr>
              <w:rPr>
                <w:rFonts w:eastAsia="Times New Roman"/>
                <w:sz w:val="20"/>
                <w:szCs w:val="20"/>
              </w:rPr>
            </w:pPr>
            <w:r>
              <w:rPr>
                <w:rFonts w:eastAsia="Times New Roman"/>
                <w:sz w:val="20"/>
                <w:szCs w:val="20"/>
              </w:rPr>
              <w:t> </w:t>
            </w:r>
          </w:p>
        </w:tc>
      </w:tr>
      <w:tr w:rsidR="00000000" w14:paraId="16E93540" w14:textId="77777777">
        <w:trPr>
          <w:divId w:val="415980837"/>
        </w:trPr>
        <w:tc>
          <w:tcPr>
            <w:tcW w:w="0" w:type="auto"/>
            <w:shd w:val="clear" w:color="auto" w:fill="CCEEFF"/>
            <w:tcMar>
              <w:top w:w="0" w:type="dxa"/>
              <w:left w:w="200" w:type="dxa"/>
              <w:bottom w:w="0" w:type="dxa"/>
              <w:right w:w="0" w:type="dxa"/>
            </w:tcMar>
            <w:vAlign w:val="bottom"/>
            <w:hideMark/>
          </w:tcPr>
          <w:p w14:paraId="3EE1ECC0" w14:textId="77777777" w:rsidR="00000000" w:rsidRDefault="002F725F">
            <w:pPr>
              <w:ind w:hanging="200"/>
              <w:rPr>
                <w:rFonts w:eastAsia="Times New Roman"/>
                <w:sz w:val="20"/>
                <w:szCs w:val="20"/>
              </w:rPr>
            </w:pPr>
            <w:r>
              <w:rPr>
                <w:rFonts w:eastAsia="Times New Roman"/>
                <w:sz w:val="20"/>
                <w:szCs w:val="20"/>
              </w:rPr>
              <w:t>Total non-current liabilities</w:t>
            </w:r>
          </w:p>
        </w:tc>
        <w:tc>
          <w:tcPr>
            <w:tcW w:w="0" w:type="auto"/>
            <w:shd w:val="clear" w:color="auto" w:fill="CCEEFF"/>
            <w:vAlign w:val="bottom"/>
            <w:hideMark/>
          </w:tcPr>
          <w:p w14:paraId="7C4466C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726CE4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6C39337" w14:textId="77777777" w:rsidR="00000000" w:rsidRDefault="002F725F">
            <w:pPr>
              <w:jc w:val="right"/>
              <w:rPr>
                <w:rFonts w:eastAsia="Times New Roman"/>
                <w:sz w:val="20"/>
                <w:szCs w:val="20"/>
              </w:rPr>
            </w:pPr>
            <w:r>
              <w:rPr>
                <w:rFonts w:eastAsia="Times New Roman"/>
                <w:sz w:val="20"/>
                <w:szCs w:val="20"/>
              </w:rPr>
              <w:t>125,595,322</w:t>
            </w:r>
          </w:p>
        </w:tc>
        <w:tc>
          <w:tcPr>
            <w:tcW w:w="0" w:type="auto"/>
            <w:shd w:val="clear" w:color="auto" w:fill="CCEEFF"/>
            <w:vAlign w:val="bottom"/>
            <w:hideMark/>
          </w:tcPr>
          <w:p w14:paraId="27F38BA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54099D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A5AE50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C12585F" w14:textId="77777777" w:rsidR="00000000" w:rsidRDefault="002F725F">
            <w:pPr>
              <w:jc w:val="right"/>
              <w:rPr>
                <w:rFonts w:eastAsia="Times New Roman"/>
                <w:sz w:val="20"/>
                <w:szCs w:val="20"/>
              </w:rPr>
            </w:pPr>
            <w:r>
              <w:rPr>
                <w:rFonts w:eastAsia="Times New Roman"/>
                <w:sz w:val="20"/>
                <w:szCs w:val="20"/>
              </w:rPr>
              <w:t>43,156,058</w:t>
            </w:r>
          </w:p>
        </w:tc>
        <w:tc>
          <w:tcPr>
            <w:tcW w:w="0" w:type="auto"/>
            <w:shd w:val="clear" w:color="auto" w:fill="CCEEFF"/>
            <w:vAlign w:val="bottom"/>
            <w:hideMark/>
          </w:tcPr>
          <w:p w14:paraId="16D5323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BF5469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BA124E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011B844" w14:textId="77777777" w:rsidR="00000000" w:rsidRDefault="002F725F">
            <w:pPr>
              <w:jc w:val="right"/>
              <w:rPr>
                <w:rFonts w:eastAsia="Times New Roman"/>
                <w:sz w:val="20"/>
                <w:szCs w:val="20"/>
              </w:rPr>
            </w:pPr>
            <w:r>
              <w:rPr>
                <w:rFonts w:eastAsia="Times New Roman"/>
                <w:sz w:val="20"/>
                <w:szCs w:val="20"/>
              </w:rPr>
              <w:t>6,012,100</w:t>
            </w:r>
          </w:p>
        </w:tc>
        <w:tc>
          <w:tcPr>
            <w:tcW w:w="0" w:type="auto"/>
            <w:shd w:val="clear" w:color="auto" w:fill="CCEEFF"/>
            <w:vAlign w:val="bottom"/>
            <w:hideMark/>
          </w:tcPr>
          <w:p w14:paraId="52D6D654" w14:textId="77777777" w:rsidR="00000000" w:rsidRDefault="002F725F">
            <w:pPr>
              <w:rPr>
                <w:rFonts w:eastAsia="Times New Roman"/>
                <w:sz w:val="20"/>
                <w:szCs w:val="20"/>
              </w:rPr>
            </w:pPr>
            <w:r>
              <w:rPr>
                <w:rFonts w:eastAsia="Times New Roman"/>
                <w:sz w:val="20"/>
                <w:szCs w:val="20"/>
              </w:rPr>
              <w:t> </w:t>
            </w:r>
          </w:p>
        </w:tc>
      </w:tr>
      <w:tr w:rsidR="00000000" w14:paraId="05E89CEF" w14:textId="77777777">
        <w:trPr>
          <w:divId w:val="415980837"/>
        </w:trPr>
        <w:tc>
          <w:tcPr>
            <w:tcW w:w="0" w:type="auto"/>
            <w:shd w:val="clear" w:color="auto" w:fill="FFFFFF"/>
            <w:tcMar>
              <w:top w:w="0" w:type="dxa"/>
              <w:left w:w="200" w:type="dxa"/>
              <w:bottom w:w="0" w:type="dxa"/>
              <w:right w:w="0" w:type="dxa"/>
            </w:tcMar>
            <w:vAlign w:val="bottom"/>
            <w:hideMark/>
          </w:tcPr>
          <w:p w14:paraId="0BAC9ED6" w14:textId="77777777" w:rsidR="00000000" w:rsidRDefault="002F725F">
            <w:pPr>
              <w:ind w:hanging="200"/>
              <w:rPr>
                <w:rFonts w:eastAsia="Times New Roman"/>
                <w:b/>
                <w:bCs/>
                <w:sz w:val="20"/>
                <w:szCs w:val="20"/>
              </w:rPr>
            </w:pPr>
            <w:r>
              <w:rPr>
                <w:rFonts w:eastAsia="Times New Roman"/>
                <w:b/>
                <w:bCs/>
                <w:sz w:val="20"/>
                <w:szCs w:val="20"/>
              </w:rPr>
              <w:t>Total liabilities</w:t>
            </w:r>
          </w:p>
        </w:tc>
        <w:tc>
          <w:tcPr>
            <w:tcW w:w="0" w:type="auto"/>
            <w:shd w:val="clear" w:color="auto" w:fill="FFFFFF"/>
            <w:vAlign w:val="bottom"/>
            <w:hideMark/>
          </w:tcPr>
          <w:p w14:paraId="78562F43"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1D600E09"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090729F1" w14:textId="77777777" w:rsidR="00000000" w:rsidRDefault="002F725F">
            <w:pPr>
              <w:jc w:val="right"/>
              <w:rPr>
                <w:rFonts w:eastAsia="Times New Roman"/>
                <w:b/>
                <w:bCs/>
                <w:sz w:val="20"/>
                <w:szCs w:val="20"/>
              </w:rPr>
            </w:pPr>
            <w:r>
              <w:rPr>
                <w:rFonts w:eastAsia="Times New Roman"/>
                <w:b/>
                <w:bCs/>
                <w:sz w:val="20"/>
                <w:szCs w:val="20"/>
              </w:rPr>
              <w:t>927,821,054</w:t>
            </w:r>
          </w:p>
        </w:tc>
        <w:tc>
          <w:tcPr>
            <w:tcW w:w="0" w:type="auto"/>
            <w:shd w:val="clear" w:color="auto" w:fill="FFFFFF"/>
            <w:vAlign w:val="bottom"/>
            <w:hideMark/>
          </w:tcPr>
          <w:p w14:paraId="72E0BEA4"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32FE8D58"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6A8134DE"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79D628EC" w14:textId="77777777" w:rsidR="00000000" w:rsidRDefault="002F725F">
            <w:pPr>
              <w:jc w:val="right"/>
              <w:rPr>
                <w:rFonts w:eastAsia="Times New Roman"/>
                <w:b/>
                <w:bCs/>
                <w:sz w:val="20"/>
                <w:szCs w:val="20"/>
              </w:rPr>
            </w:pPr>
            <w:r>
              <w:rPr>
                <w:rFonts w:eastAsia="Times New Roman"/>
                <w:b/>
                <w:bCs/>
                <w:sz w:val="20"/>
                <w:szCs w:val="20"/>
              </w:rPr>
              <w:t>867,908,580</w:t>
            </w:r>
          </w:p>
        </w:tc>
        <w:tc>
          <w:tcPr>
            <w:tcW w:w="0" w:type="auto"/>
            <w:shd w:val="clear" w:color="auto" w:fill="FFFFFF"/>
            <w:vAlign w:val="bottom"/>
            <w:hideMark/>
          </w:tcPr>
          <w:p w14:paraId="27ECE4BD"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460FFC01"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6E4387EE"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2FC29FEF" w14:textId="77777777" w:rsidR="00000000" w:rsidRDefault="002F725F">
            <w:pPr>
              <w:jc w:val="right"/>
              <w:rPr>
                <w:rFonts w:eastAsia="Times New Roman"/>
                <w:b/>
                <w:bCs/>
                <w:sz w:val="20"/>
                <w:szCs w:val="20"/>
              </w:rPr>
            </w:pPr>
            <w:r>
              <w:rPr>
                <w:rFonts w:eastAsia="Times New Roman"/>
                <w:b/>
                <w:bCs/>
                <w:sz w:val="20"/>
                <w:szCs w:val="20"/>
              </w:rPr>
              <w:t>120,908,943</w:t>
            </w:r>
          </w:p>
        </w:tc>
        <w:tc>
          <w:tcPr>
            <w:tcW w:w="0" w:type="auto"/>
            <w:shd w:val="clear" w:color="auto" w:fill="FFFFFF"/>
            <w:vAlign w:val="bottom"/>
            <w:hideMark/>
          </w:tcPr>
          <w:p w14:paraId="587E7202" w14:textId="77777777" w:rsidR="00000000" w:rsidRDefault="002F725F">
            <w:pPr>
              <w:rPr>
                <w:rFonts w:eastAsia="Times New Roman"/>
                <w:b/>
                <w:bCs/>
                <w:sz w:val="20"/>
                <w:szCs w:val="20"/>
              </w:rPr>
            </w:pPr>
            <w:r>
              <w:rPr>
                <w:rFonts w:eastAsia="Times New Roman"/>
                <w:b/>
                <w:bCs/>
                <w:sz w:val="20"/>
                <w:szCs w:val="20"/>
              </w:rPr>
              <w:t> </w:t>
            </w:r>
          </w:p>
        </w:tc>
      </w:tr>
      <w:tr w:rsidR="00000000" w14:paraId="1FC55065" w14:textId="77777777">
        <w:trPr>
          <w:divId w:val="415980837"/>
        </w:trPr>
        <w:tc>
          <w:tcPr>
            <w:tcW w:w="0" w:type="auto"/>
            <w:shd w:val="clear" w:color="auto" w:fill="CCEEFF"/>
            <w:tcMar>
              <w:top w:w="0" w:type="dxa"/>
              <w:left w:w="200" w:type="dxa"/>
              <w:bottom w:w="0" w:type="dxa"/>
              <w:right w:w="0" w:type="dxa"/>
            </w:tcMar>
            <w:vAlign w:val="bottom"/>
            <w:hideMark/>
          </w:tcPr>
          <w:p w14:paraId="47D92702" w14:textId="77777777" w:rsidR="00000000" w:rsidRDefault="002F725F">
            <w:pPr>
              <w:ind w:hanging="200"/>
              <w:rPr>
                <w:rFonts w:eastAsia="Times New Roman"/>
                <w:sz w:val="20"/>
                <w:szCs w:val="20"/>
              </w:rPr>
            </w:pPr>
            <w:r>
              <w:rPr>
                <w:rFonts w:eastAsia="Times New Roman"/>
                <w:sz w:val="20"/>
                <w:szCs w:val="20"/>
              </w:rPr>
              <w:t>Total shareholders’ equity</w:t>
            </w:r>
          </w:p>
        </w:tc>
        <w:tc>
          <w:tcPr>
            <w:tcW w:w="0" w:type="auto"/>
            <w:shd w:val="clear" w:color="auto" w:fill="CCEEFF"/>
            <w:vAlign w:val="bottom"/>
            <w:hideMark/>
          </w:tcPr>
          <w:p w14:paraId="70BA5BA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85C07E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DA77C09" w14:textId="77777777" w:rsidR="00000000" w:rsidRDefault="002F725F">
            <w:pPr>
              <w:jc w:val="right"/>
              <w:rPr>
                <w:rFonts w:eastAsia="Times New Roman"/>
                <w:sz w:val="20"/>
                <w:szCs w:val="20"/>
              </w:rPr>
            </w:pPr>
            <w:r>
              <w:rPr>
                <w:rFonts w:eastAsia="Times New Roman"/>
                <w:sz w:val="20"/>
                <w:szCs w:val="20"/>
              </w:rPr>
              <w:t>585,206,302</w:t>
            </w:r>
          </w:p>
        </w:tc>
        <w:tc>
          <w:tcPr>
            <w:tcW w:w="0" w:type="auto"/>
            <w:shd w:val="clear" w:color="auto" w:fill="CCEEFF"/>
            <w:vAlign w:val="bottom"/>
            <w:hideMark/>
          </w:tcPr>
          <w:p w14:paraId="5D4E46A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EFA39C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0878CD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B31FBA0" w14:textId="77777777" w:rsidR="00000000" w:rsidRDefault="002F725F">
            <w:pPr>
              <w:jc w:val="right"/>
              <w:rPr>
                <w:rFonts w:eastAsia="Times New Roman"/>
                <w:sz w:val="20"/>
                <w:szCs w:val="20"/>
              </w:rPr>
            </w:pPr>
            <w:r>
              <w:rPr>
                <w:rFonts w:eastAsia="Times New Roman"/>
                <w:sz w:val="20"/>
                <w:szCs w:val="20"/>
              </w:rPr>
              <w:t>499,754,631</w:t>
            </w:r>
          </w:p>
        </w:tc>
        <w:tc>
          <w:tcPr>
            <w:tcW w:w="0" w:type="auto"/>
            <w:shd w:val="clear" w:color="auto" w:fill="CCEEFF"/>
            <w:vAlign w:val="bottom"/>
            <w:hideMark/>
          </w:tcPr>
          <w:p w14:paraId="778F10D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685630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6346DB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462CAF9" w14:textId="77777777" w:rsidR="00000000" w:rsidRDefault="002F725F">
            <w:pPr>
              <w:jc w:val="right"/>
              <w:rPr>
                <w:rFonts w:eastAsia="Times New Roman"/>
                <w:sz w:val="20"/>
                <w:szCs w:val="20"/>
              </w:rPr>
            </w:pPr>
            <w:r>
              <w:rPr>
                <w:rFonts w:eastAsia="Times New Roman"/>
                <w:sz w:val="20"/>
                <w:szCs w:val="20"/>
              </w:rPr>
              <w:t>69,621,163</w:t>
            </w:r>
          </w:p>
        </w:tc>
        <w:tc>
          <w:tcPr>
            <w:tcW w:w="0" w:type="auto"/>
            <w:shd w:val="clear" w:color="auto" w:fill="CCEEFF"/>
            <w:vAlign w:val="bottom"/>
            <w:hideMark/>
          </w:tcPr>
          <w:p w14:paraId="7D1167BA" w14:textId="77777777" w:rsidR="00000000" w:rsidRDefault="002F725F">
            <w:pPr>
              <w:rPr>
                <w:rFonts w:eastAsia="Times New Roman"/>
                <w:sz w:val="20"/>
                <w:szCs w:val="20"/>
              </w:rPr>
            </w:pPr>
            <w:r>
              <w:rPr>
                <w:rFonts w:eastAsia="Times New Roman"/>
                <w:sz w:val="20"/>
                <w:szCs w:val="20"/>
              </w:rPr>
              <w:t> </w:t>
            </w:r>
          </w:p>
        </w:tc>
      </w:tr>
      <w:tr w:rsidR="00000000" w14:paraId="2614DF8B" w14:textId="77777777">
        <w:trPr>
          <w:divId w:val="415980837"/>
        </w:trPr>
        <w:tc>
          <w:tcPr>
            <w:tcW w:w="0" w:type="auto"/>
            <w:shd w:val="clear" w:color="auto" w:fill="FFFFFF"/>
            <w:tcMar>
              <w:top w:w="0" w:type="dxa"/>
              <w:left w:w="200" w:type="dxa"/>
              <w:bottom w:w="0" w:type="dxa"/>
              <w:right w:w="0" w:type="dxa"/>
            </w:tcMar>
            <w:vAlign w:val="bottom"/>
            <w:hideMark/>
          </w:tcPr>
          <w:p w14:paraId="6FA9F60D" w14:textId="77777777" w:rsidR="00000000" w:rsidRDefault="002F725F">
            <w:pPr>
              <w:ind w:hanging="200"/>
              <w:rPr>
                <w:rFonts w:eastAsia="Times New Roman"/>
                <w:b/>
                <w:bCs/>
                <w:sz w:val="20"/>
                <w:szCs w:val="20"/>
              </w:rPr>
            </w:pPr>
            <w:r>
              <w:rPr>
                <w:rFonts w:eastAsia="Times New Roman"/>
                <w:b/>
                <w:bCs/>
                <w:sz w:val="20"/>
                <w:szCs w:val="20"/>
              </w:rPr>
              <w:t>Total liabilities and shareholders’ equity</w:t>
            </w:r>
          </w:p>
        </w:tc>
        <w:tc>
          <w:tcPr>
            <w:tcW w:w="0" w:type="auto"/>
            <w:shd w:val="clear" w:color="auto" w:fill="FFFFFF"/>
            <w:vAlign w:val="bottom"/>
            <w:hideMark/>
          </w:tcPr>
          <w:p w14:paraId="665135E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548CB49B"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34F97D2B" w14:textId="77777777" w:rsidR="00000000" w:rsidRDefault="002F725F">
            <w:pPr>
              <w:jc w:val="right"/>
              <w:rPr>
                <w:rFonts w:eastAsia="Times New Roman"/>
                <w:b/>
                <w:bCs/>
                <w:sz w:val="20"/>
                <w:szCs w:val="20"/>
              </w:rPr>
            </w:pPr>
            <w:r>
              <w:rPr>
                <w:rFonts w:eastAsia="Times New Roman"/>
                <w:b/>
                <w:bCs/>
                <w:sz w:val="20"/>
                <w:szCs w:val="20"/>
              </w:rPr>
              <w:t>1,513,027,356</w:t>
            </w:r>
          </w:p>
        </w:tc>
        <w:tc>
          <w:tcPr>
            <w:tcW w:w="0" w:type="auto"/>
            <w:shd w:val="clear" w:color="auto" w:fill="FFFFFF"/>
            <w:vAlign w:val="bottom"/>
            <w:hideMark/>
          </w:tcPr>
          <w:p w14:paraId="6243B2CF"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5A2FA762"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713541ED"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232F0D72" w14:textId="77777777" w:rsidR="00000000" w:rsidRDefault="002F725F">
            <w:pPr>
              <w:jc w:val="right"/>
              <w:rPr>
                <w:rFonts w:eastAsia="Times New Roman"/>
                <w:b/>
                <w:bCs/>
                <w:sz w:val="20"/>
                <w:szCs w:val="20"/>
              </w:rPr>
            </w:pPr>
            <w:r>
              <w:rPr>
                <w:rFonts w:eastAsia="Times New Roman"/>
                <w:b/>
                <w:bCs/>
                <w:sz w:val="20"/>
                <w:szCs w:val="20"/>
              </w:rPr>
              <w:t>1,367,663,211</w:t>
            </w:r>
          </w:p>
        </w:tc>
        <w:tc>
          <w:tcPr>
            <w:tcW w:w="0" w:type="auto"/>
            <w:shd w:val="clear" w:color="auto" w:fill="FFFFFF"/>
            <w:vAlign w:val="bottom"/>
            <w:hideMark/>
          </w:tcPr>
          <w:p w14:paraId="5F239B10"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7400AE0B"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5921D827" w14:textId="77777777" w:rsidR="00000000" w:rsidRDefault="002F725F">
            <w:pPr>
              <w:rPr>
                <w:rFonts w:eastAsia="Times New Roman"/>
                <w:b/>
                <w:bCs/>
                <w:sz w:val="20"/>
                <w:szCs w:val="20"/>
              </w:rPr>
            </w:pPr>
            <w:r>
              <w:rPr>
                <w:rFonts w:eastAsia="Times New Roman"/>
                <w:b/>
                <w:bCs/>
                <w:sz w:val="20"/>
                <w:szCs w:val="20"/>
              </w:rPr>
              <w:t> </w:t>
            </w:r>
          </w:p>
        </w:tc>
        <w:tc>
          <w:tcPr>
            <w:tcW w:w="0" w:type="auto"/>
            <w:shd w:val="clear" w:color="auto" w:fill="FFFFFF"/>
            <w:vAlign w:val="bottom"/>
            <w:hideMark/>
          </w:tcPr>
          <w:p w14:paraId="026E2943" w14:textId="77777777" w:rsidR="00000000" w:rsidRDefault="002F725F">
            <w:pPr>
              <w:jc w:val="right"/>
              <w:rPr>
                <w:rFonts w:eastAsia="Times New Roman"/>
                <w:b/>
                <w:bCs/>
                <w:sz w:val="20"/>
                <w:szCs w:val="20"/>
              </w:rPr>
            </w:pPr>
            <w:r>
              <w:rPr>
                <w:rFonts w:eastAsia="Times New Roman"/>
                <w:b/>
                <w:bCs/>
                <w:sz w:val="20"/>
                <w:szCs w:val="20"/>
              </w:rPr>
              <w:t>190,530,106</w:t>
            </w:r>
          </w:p>
        </w:tc>
        <w:tc>
          <w:tcPr>
            <w:tcW w:w="0" w:type="auto"/>
            <w:shd w:val="clear" w:color="auto" w:fill="FFFFFF"/>
            <w:vAlign w:val="bottom"/>
            <w:hideMark/>
          </w:tcPr>
          <w:p w14:paraId="5731A1B1" w14:textId="77777777" w:rsidR="00000000" w:rsidRDefault="002F725F">
            <w:pPr>
              <w:rPr>
                <w:rFonts w:eastAsia="Times New Roman"/>
                <w:b/>
                <w:bCs/>
                <w:sz w:val="20"/>
                <w:szCs w:val="20"/>
              </w:rPr>
            </w:pPr>
            <w:r>
              <w:rPr>
                <w:rFonts w:eastAsia="Times New Roman"/>
                <w:b/>
                <w:bCs/>
                <w:sz w:val="20"/>
                <w:szCs w:val="20"/>
              </w:rPr>
              <w:t> </w:t>
            </w:r>
          </w:p>
        </w:tc>
      </w:tr>
    </w:tbl>
    <w:p w14:paraId="09D0929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19576F1" w14:textId="77777777" w:rsidR="00000000" w:rsidRDefault="002F725F">
      <w:pPr>
        <w:pStyle w:val="NormalWeb"/>
        <w:spacing w:before="0" w:beforeAutospacing="0" w:after="0" w:afterAutospacing="0"/>
        <w:jc w:val="both"/>
        <w:divId w:val="415980837"/>
        <w:rPr>
          <w:sz w:val="20"/>
          <w:szCs w:val="20"/>
        </w:rPr>
      </w:pPr>
      <w:r>
        <w:rPr>
          <w:i/>
          <w:iCs/>
          <w:sz w:val="20"/>
          <w:szCs w:val="20"/>
        </w:rPr>
        <w:t>Net Book Value per Company Share</w:t>
      </w:r>
    </w:p>
    <w:p w14:paraId="7E00B03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B756F2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Company’s net book </w:t>
      </w:r>
      <w:r>
        <w:rPr>
          <w:sz w:val="20"/>
          <w:szCs w:val="20"/>
        </w:rPr>
        <w:t>value per Share as of March 31, 2025 was approximately US$3.35 based on 20,766,531 Shares outstanding as of that date.</w:t>
      </w:r>
    </w:p>
    <w:p w14:paraId="6335C2C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07DE1CD" w14:textId="77777777" w:rsidR="00000000" w:rsidRDefault="002F725F">
      <w:pPr>
        <w:pStyle w:val="NormalWeb"/>
        <w:spacing w:before="0" w:beforeAutospacing="0" w:after="0" w:afterAutospacing="0"/>
        <w:jc w:val="center"/>
        <w:divId w:val="648479194"/>
        <w:rPr>
          <w:sz w:val="20"/>
          <w:szCs w:val="20"/>
        </w:rPr>
      </w:pPr>
      <w:r>
        <w:rPr>
          <w:sz w:val="20"/>
          <w:szCs w:val="20"/>
        </w:rPr>
        <w:t>10</w:t>
      </w:r>
      <w:r>
        <w:rPr>
          <w:sz w:val="20"/>
          <w:szCs w:val="20"/>
        </w:rPr>
        <w:t>1</w:t>
      </w:r>
    </w:p>
    <w:p w14:paraId="184C2DF9" w14:textId="77777777" w:rsidR="00000000" w:rsidRDefault="002F725F">
      <w:pPr>
        <w:pStyle w:val="NormalWeb"/>
        <w:spacing w:before="0" w:beforeAutospacing="0" w:after="0" w:afterAutospacing="0"/>
        <w:divId w:val="446586407"/>
        <w:rPr>
          <w:sz w:val="20"/>
          <w:szCs w:val="20"/>
        </w:rPr>
      </w:pPr>
      <w:r>
        <w:rPr>
          <w:sz w:val="20"/>
          <w:szCs w:val="20"/>
        </w:rPr>
        <w:t> </w:t>
      </w:r>
    </w:p>
    <w:p w14:paraId="3D8C5B49"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C96D157" w14:textId="77777777" w:rsidR="00000000" w:rsidRDefault="002F725F">
      <w:pPr>
        <w:pStyle w:val="NormalWeb"/>
        <w:spacing w:before="0" w:beforeAutospacing="0" w:after="0" w:afterAutospacing="0"/>
        <w:jc w:val="center"/>
        <w:divId w:val="415980837"/>
        <w:rPr>
          <w:sz w:val="20"/>
          <w:szCs w:val="20"/>
        </w:rPr>
      </w:pPr>
      <w:bookmarkStart w:id="29" w:name="gfpea028961701ex99-a1.htmk_010"/>
      <w:bookmarkEnd w:id="29"/>
      <w:r>
        <w:rPr>
          <w:b/>
          <w:bCs/>
          <w:sz w:val="20"/>
          <w:szCs w:val="20"/>
        </w:rPr>
        <w:t>TRANSACTIONS IN THE SHARES AND WARRANTS</w:t>
      </w:r>
    </w:p>
    <w:p w14:paraId="50E9DDEE"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36F3DFCF" w14:textId="77777777" w:rsidR="00000000" w:rsidRDefault="002F725F">
      <w:pPr>
        <w:pStyle w:val="NormalWeb"/>
        <w:spacing w:before="0" w:beforeAutospacing="0" w:after="0" w:afterAutospacing="0"/>
        <w:jc w:val="both"/>
        <w:divId w:val="415980837"/>
        <w:rPr>
          <w:sz w:val="20"/>
          <w:szCs w:val="20"/>
        </w:rPr>
      </w:pPr>
      <w:r>
        <w:rPr>
          <w:b/>
          <w:bCs/>
          <w:sz w:val="20"/>
          <w:szCs w:val="20"/>
        </w:rPr>
        <w:t xml:space="preserve">Purchases by the Company </w:t>
      </w:r>
    </w:p>
    <w:p w14:paraId="44DDD4B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D35C25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There was no purchase of any </w:t>
      </w:r>
      <w:r>
        <w:rPr>
          <w:sz w:val="20"/>
          <w:szCs w:val="20"/>
        </w:rPr>
        <w:t>Shares or Company Warrants by the Company during the past two years.</w:t>
      </w:r>
    </w:p>
    <w:p w14:paraId="626CC83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248B1B5" w14:textId="77777777" w:rsidR="00000000" w:rsidRDefault="002F725F">
      <w:pPr>
        <w:pStyle w:val="NormalWeb"/>
        <w:spacing w:before="0" w:beforeAutospacing="0" w:after="0" w:afterAutospacing="0"/>
        <w:jc w:val="both"/>
        <w:divId w:val="415980837"/>
        <w:rPr>
          <w:sz w:val="20"/>
          <w:szCs w:val="20"/>
        </w:rPr>
      </w:pPr>
      <w:r>
        <w:rPr>
          <w:b/>
          <w:bCs/>
          <w:sz w:val="20"/>
          <w:szCs w:val="20"/>
        </w:rPr>
        <w:t>Purchases by the Buyer Filing Persons</w:t>
      </w:r>
    </w:p>
    <w:p w14:paraId="39D61F2E"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 </w:t>
      </w:r>
    </w:p>
    <w:p w14:paraId="66770AEB" w14:textId="77777777" w:rsidR="00000000" w:rsidRDefault="002F725F">
      <w:pPr>
        <w:pStyle w:val="NormalWeb"/>
        <w:spacing w:before="0" w:beforeAutospacing="0" w:after="0" w:afterAutospacing="0"/>
        <w:ind w:firstLine="720"/>
        <w:jc w:val="both"/>
        <w:divId w:val="415980837"/>
        <w:rPr>
          <w:sz w:val="20"/>
          <w:szCs w:val="20"/>
        </w:rPr>
      </w:pPr>
      <w:r>
        <w:rPr>
          <w:sz w:val="20"/>
          <w:szCs w:val="20"/>
          <w:shd w:val="clear" w:color="auto" w:fill="FFFFFF"/>
        </w:rPr>
        <w:t>The following table shows the Shares and Company Warrants acquired by the Buyer Filing Persons during the past two years:</w:t>
      </w:r>
    </w:p>
    <w:p w14:paraId="7FEAB6B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2961"/>
        <w:gridCol w:w="50"/>
        <w:gridCol w:w="2596"/>
        <w:gridCol w:w="50"/>
        <w:gridCol w:w="356"/>
        <w:gridCol w:w="900"/>
        <w:gridCol w:w="152"/>
        <w:gridCol w:w="50"/>
        <w:gridCol w:w="356"/>
        <w:gridCol w:w="547"/>
        <w:gridCol w:w="152"/>
        <w:gridCol w:w="50"/>
        <w:gridCol w:w="356"/>
        <w:gridCol w:w="632"/>
        <w:gridCol w:w="152"/>
      </w:tblGrid>
      <w:tr w:rsidR="00000000" w14:paraId="7796EE8C" w14:textId="77777777">
        <w:trPr>
          <w:divId w:val="415980837"/>
        </w:trPr>
        <w:tc>
          <w:tcPr>
            <w:tcW w:w="0" w:type="auto"/>
            <w:tcBorders>
              <w:bottom w:val="single" w:sz="12" w:space="0" w:color="000000"/>
            </w:tcBorders>
            <w:vAlign w:val="bottom"/>
            <w:hideMark/>
          </w:tcPr>
          <w:p w14:paraId="6A710A35" w14:textId="77777777" w:rsidR="00000000" w:rsidRDefault="002F725F">
            <w:pPr>
              <w:rPr>
                <w:rFonts w:eastAsia="Times New Roman"/>
                <w:b/>
                <w:bCs/>
                <w:sz w:val="20"/>
                <w:szCs w:val="20"/>
              </w:rPr>
            </w:pPr>
            <w:r>
              <w:rPr>
                <w:rFonts w:eastAsia="Times New Roman"/>
                <w:b/>
                <w:bCs/>
                <w:sz w:val="20"/>
                <w:szCs w:val="20"/>
              </w:rPr>
              <w:t>Purchaser</w:t>
            </w:r>
          </w:p>
        </w:tc>
        <w:tc>
          <w:tcPr>
            <w:tcW w:w="0" w:type="auto"/>
            <w:tcMar>
              <w:top w:w="0" w:type="dxa"/>
              <w:left w:w="0" w:type="dxa"/>
              <w:bottom w:w="30" w:type="dxa"/>
              <w:right w:w="0" w:type="dxa"/>
            </w:tcMar>
            <w:vAlign w:val="bottom"/>
            <w:hideMark/>
          </w:tcPr>
          <w:p w14:paraId="0DA19136" w14:textId="77777777" w:rsidR="00000000" w:rsidRDefault="002F725F">
            <w:pPr>
              <w:rPr>
                <w:rFonts w:eastAsia="Times New Roman"/>
                <w:b/>
                <w:bCs/>
                <w:sz w:val="20"/>
                <w:szCs w:val="20"/>
              </w:rPr>
            </w:pPr>
            <w:r>
              <w:rPr>
                <w:rFonts w:eastAsia="Times New Roman"/>
                <w:b/>
                <w:bCs/>
                <w:sz w:val="20"/>
                <w:szCs w:val="20"/>
              </w:rPr>
              <w:t> </w:t>
            </w:r>
          </w:p>
        </w:tc>
        <w:tc>
          <w:tcPr>
            <w:tcW w:w="0" w:type="auto"/>
            <w:tcBorders>
              <w:bottom w:val="single" w:sz="12" w:space="0" w:color="000000"/>
            </w:tcBorders>
            <w:vAlign w:val="bottom"/>
            <w:hideMark/>
          </w:tcPr>
          <w:p w14:paraId="0A4C850F" w14:textId="77777777" w:rsidR="00000000" w:rsidRDefault="002F725F">
            <w:pPr>
              <w:jc w:val="center"/>
              <w:rPr>
                <w:rFonts w:eastAsia="Times New Roman"/>
                <w:b/>
                <w:bCs/>
                <w:sz w:val="20"/>
                <w:szCs w:val="20"/>
              </w:rPr>
            </w:pPr>
            <w:r>
              <w:rPr>
                <w:rFonts w:eastAsia="Times New Roman"/>
                <w:b/>
                <w:bCs/>
                <w:sz w:val="20"/>
                <w:szCs w:val="20"/>
              </w:rPr>
              <w:t>Period</w:t>
            </w:r>
          </w:p>
        </w:tc>
        <w:tc>
          <w:tcPr>
            <w:tcW w:w="0" w:type="auto"/>
            <w:tcMar>
              <w:top w:w="0" w:type="dxa"/>
              <w:left w:w="0" w:type="dxa"/>
              <w:bottom w:w="30" w:type="dxa"/>
              <w:right w:w="0" w:type="dxa"/>
            </w:tcMar>
            <w:vAlign w:val="bottom"/>
            <w:hideMark/>
          </w:tcPr>
          <w:p w14:paraId="34994C05"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78061ECD" w14:textId="77777777" w:rsidR="00000000" w:rsidRDefault="002F725F">
            <w:pPr>
              <w:jc w:val="center"/>
              <w:rPr>
                <w:rFonts w:eastAsia="Times New Roman"/>
                <w:b/>
                <w:bCs/>
                <w:sz w:val="20"/>
                <w:szCs w:val="20"/>
              </w:rPr>
            </w:pPr>
            <w:r>
              <w:rPr>
                <w:rFonts w:eastAsia="Times New Roman"/>
                <w:b/>
                <w:bCs/>
                <w:sz w:val="20"/>
                <w:szCs w:val="20"/>
              </w:rPr>
              <w:t>Total Number of Shares Purchased</w:t>
            </w:r>
          </w:p>
        </w:tc>
        <w:tc>
          <w:tcPr>
            <w:tcW w:w="0" w:type="auto"/>
            <w:tcMar>
              <w:top w:w="0" w:type="dxa"/>
              <w:left w:w="0" w:type="dxa"/>
              <w:bottom w:w="80" w:type="dxa"/>
              <w:right w:w="0" w:type="dxa"/>
            </w:tcMar>
            <w:hideMark/>
          </w:tcPr>
          <w:p w14:paraId="1DD88726" w14:textId="77777777" w:rsidR="00000000" w:rsidRDefault="002F725F">
            <w:pPr>
              <w:rPr>
                <w:rFonts w:eastAsia="Times New Roman"/>
                <w:b/>
                <w:bCs/>
                <w:sz w:val="20"/>
                <w:szCs w:val="20"/>
              </w:rPr>
            </w:pPr>
            <w:r>
              <w:rPr>
                <w:rFonts w:eastAsia="Times New Roman"/>
                <w:b/>
                <w:bCs/>
                <w:sz w:val="20"/>
                <w:szCs w:val="20"/>
                <w:vertAlign w:val="superscript"/>
              </w:rPr>
              <w:t> </w:t>
            </w:r>
          </w:p>
        </w:tc>
        <w:tc>
          <w:tcPr>
            <w:tcW w:w="0" w:type="auto"/>
            <w:tcMar>
              <w:top w:w="0" w:type="dxa"/>
              <w:left w:w="0" w:type="dxa"/>
              <w:bottom w:w="30" w:type="dxa"/>
              <w:right w:w="0" w:type="dxa"/>
            </w:tcMar>
            <w:vAlign w:val="bottom"/>
            <w:hideMark/>
          </w:tcPr>
          <w:p w14:paraId="16C58D35"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33C6D9E9" w14:textId="77777777" w:rsidR="00000000" w:rsidRDefault="002F725F">
            <w:pPr>
              <w:jc w:val="center"/>
              <w:rPr>
                <w:rFonts w:eastAsia="Times New Roman"/>
                <w:b/>
                <w:bCs/>
                <w:sz w:val="20"/>
                <w:szCs w:val="20"/>
              </w:rPr>
            </w:pPr>
            <w:r>
              <w:rPr>
                <w:rFonts w:eastAsia="Times New Roman"/>
                <w:b/>
                <w:bCs/>
                <w:sz w:val="20"/>
                <w:szCs w:val="20"/>
              </w:rPr>
              <w:t>Range of Prices Paid per Share</w:t>
            </w:r>
          </w:p>
        </w:tc>
        <w:tc>
          <w:tcPr>
            <w:tcW w:w="0" w:type="auto"/>
            <w:tcMar>
              <w:top w:w="0" w:type="dxa"/>
              <w:left w:w="0" w:type="dxa"/>
              <w:bottom w:w="80" w:type="dxa"/>
              <w:right w:w="0" w:type="dxa"/>
            </w:tcMar>
            <w:vAlign w:val="bottom"/>
            <w:hideMark/>
          </w:tcPr>
          <w:p w14:paraId="6EA28733" w14:textId="77777777" w:rsidR="00000000" w:rsidRDefault="002F725F">
            <w:pPr>
              <w:rPr>
                <w:rFonts w:eastAsia="Times New Roman"/>
                <w:b/>
                <w:bCs/>
                <w:sz w:val="20"/>
                <w:szCs w:val="20"/>
              </w:rPr>
            </w:pPr>
            <w:r>
              <w:rPr>
                <w:rFonts w:eastAsia="Times New Roman"/>
                <w:b/>
                <w:bCs/>
                <w:sz w:val="20"/>
                <w:szCs w:val="20"/>
                <w:vertAlign w:val="superscript"/>
              </w:rPr>
              <w:t> </w:t>
            </w:r>
          </w:p>
        </w:tc>
        <w:tc>
          <w:tcPr>
            <w:tcW w:w="0" w:type="auto"/>
            <w:tcMar>
              <w:top w:w="0" w:type="dxa"/>
              <w:left w:w="0" w:type="dxa"/>
              <w:bottom w:w="30" w:type="dxa"/>
              <w:right w:w="0" w:type="dxa"/>
            </w:tcMar>
            <w:vAlign w:val="bottom"/>
            <w:hideMark/>
          </w:tcPr>
          <w:p w14:paraId="6C299B46"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1336AE10" w14:textId="77777777" w:rsidR="00000000" w:rsidRDefault="002F725F">
            <w:pPr>
              <w:jc w:val="center"/>
              <w:rPr>
                <w:rFonts w:eastAsia="Times New Roman"/>
                <w:b/>
                <w:bCs/>
                <w:sz w:val="20"/>
                <w:szCs w:val="20"/>
              </w:rPr>
            </w:pPr>
            <w:r>
              <w:rPr>
                <w:rFonts w:eastAsia="Times New Roman"/>
                <w:b/>
                <w:bCs/>
                <w:sz w:val="20"/>
                <w:szCs w:val="20"/>
              </w:rPr>
              <w:t>Average Price Paid per Share</w:t>
            </w:r>
          </w:p>
        </w:tc>
        <w:tc>
          <w:tcPr>
            <w:tcW w:w="0" w:type="auto"/>
            <w:tcMar>
              <w:top w:w="0" w:type="dxa"/>
              <w:left w:w="0" w:type="dxa"/>
              <w:bottom w:w="80" w:type="dxa"/>
              <w:right w:w="0" w:type="dxa"/>
            </w:tcMar>
            <w:vAlign w:val="bottom"/>
            <w:hideMark/>
          </w:tcPr>
          <w:p w14:paraId="33C0695D" w14:textId="77777777" w:rsidR="00000000" w:rsidRDefault="002F725F">
            <w:pPr>
              <w:rPr>
                <w:rFonts w:eastAsia="Times New Roman"/>
                <w:b/>
                <w:bCs/>
                <w:sz w:val="20"/>
                <w:szCs w:val="20"/>
              </w:rPr>
            </w:pPr>
            <w:r>
              <w:rPr>
                <w:rFonts w:eastAsia="Times New Roman"/>
                <w:b/>
                <w:bCs/>
                <w:sz w:val="20"/>
                <w:szCs w:val="20"/>
                <w:vertAlign w:val="superscript"/>
              </w:rPr>
              <w:t> </w:t>
            </w:r>
          </w:p>
        </w:tc>
      </w:tr>
      <w:tr w:rsidR="00000000" w14:paraId="0A4C77CA" w14:textId="77777777">
        <w:trPr>
          <w:divId w:val="415980837"/>
        </w:trPr>
        <w:tc>
          <w:tcPr>
            <w:tcW w:w="1650" w:type="pct"/>
            <w:shd w:val="clear" w:color="auto" w:fill="CCEEFF"/>
            <w:vAlign w:val="bottom"/>
            <w:hideMark/>
          </w:tcPr>
          <w:p w14:paraId="744A61EC" w14:textId="77777777" w:rsidR="00000000" w:rsidRDefault="002F725F">
            <w:pPr>
              <w:rPr>
                <w:rFonts w:eastAsia="Times New Roman"/>
                <w:sz w:val="20"/>
                <w:szCs w:val="20"/>
              </w:rPr>
            </w:pPr>
            <w:r>
              <w:rPr>
                <w:rFonts w:eastAsia="Times New Roman"/>
                <w:sz w:val="20"/>
                <w:szCs w:val="20"/>
              </w:rPr>
              <w:t>Crystal Peak Investment Inc.</w:t>
            </w:r>
          </w:p>
        </w:tc>
        <w:tc>
          <w:tcPr>
            <w:tcW w:w="50" w:type="pct"/>
            <w:shd w:val="clear" w:color="auto" w:fill="CCEEFF"/>
            <w:vAlign w:val="bottom"/>
            <w:hideMark/>
          </w:tcPr>
          <w:p w14:paraId="649B9EAE" w14:textId="77777777" w:rsidR="00000000" w:rsidRDefault="002F725F">
            <w:pPr>
              <w:rPr>
                <w:rFonts w:eastAsia="Times New Roman"/>
                <w:sz w:val="20"/>
                <w:szCs w:val="20"/>
              </w:rPr>
            </w:pPr>
            <w:r>
              <w:rPr>
                <w:rFonts w:eastAsia="Times New Roman"/>
                <w:sz w:val="20"/>
                <w:szCs w:val="20"/>
              </w:rPr>
              <w:t> </w:t>
            </w:r>
          </w:p>
        </w:tc>
        <w:tc>
          <w:tcPr>
            <w:tcW w:w="1500" w:type="pct"/>
            <w:shd w:val="clear" w:color="auto" w:fill="CCEEFF"/>
            <w:vAlign w:val="bottom"/>
            <w:hideMark/>
          </w:tcPr>
          <w:p w14:paraId="41237478" w14:textId="77777777" w:rsidR="00000000" w:rsidRDefault="002F725F">
            <w:pPr>
              <w:jc w:val="center"/>
              <w:rPr>
                <w:rFonts w:eastAsia="Times New Roman"/>
                <w:sz w:val="20"/>
                <w:szCs w:val="20"/>
              </w:rPr>
            </w:pPr>
            <w:r>
              <w:rPr>
                <w:rFonts w:eastAsia="Times New Roman"/>
                <w:sz w:val="20"/>
                <w:szCs w:val="20"/>
              </w:rPr>
              <w:t>Third Quarter 2025</w:t>
            </w:r>
          </w:p>
        </w:tc>
        <w:tc>
          <w:tcPr>
            <w:tcW w:w="50" w:type="pct"/>
            <w:shd w:val="clear" w:color="auto" w:fill="CCEEFF"/>
            <w:vAlign w:val="bottom"/>
            <w:hideMark/>
          </w:tcPr>
          <w:p w14:paraId="0837F1B8"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6540D651" w14:textId="77777777" w:rsidR="00000000" w:rsidRDefault="002F725F">
            <w:pPr>
              <w:rPr>
                <w:rFonts w:eastAsia="Times New Roman"/>
                <w:sz w:val="20"/>
                <w:szCs w:val="20"/>
              </w:rPr>
            </w:pPr>
            <w:r>
              <w:rPr>
                <w:rFonts w:eastAsia="Times New Roman"/>
                <w:sz w:val="20"/>
                <w:szCs w:val="20"/>
              </w:rPr>
              <w:t>US$</w:t>
            </w:r>
          </w:p>
        </w:tc>
        <w:tc>
          <w:tcPr>
            <w:tcW w:w="450" w:type="pct"/>
            <w:shd w:val="clear" w:color="auto" w:fill="CCEEFF"/>
            <w:vAlign w:val="bottom"/>
            <w:hideMark/>
          </w:tcPr>
          <w:p w14:paraId="036ABD4B" w14:textId="77777777" w:rsidR="00000000" w:rsidRDefault="002F725F">
            <w:pPr>
              <w:jc w:val="right"/>
              <w:rPr>
                <w:rFonts w:eastAsia="Times New Roman"/>
                <w:sz w:val="20"/>
                <w:szCs w:val="20"/>
              </w:rPr>
            </w:pPr>
            <w:r>
              <w:rPr>
                <w:rFonts w:eastAsia="Times New Roman"/>
                <w:sz w:val="20"/>
                <w:szCs w:val="20"/>
              </w:rPr>
              <w:t>16,987,542</w:t>
            </w:r>
          </w:p>
        </w:tc>
        <w:tc>
          <w:tcPr>
            <w:tcW w:w="50" w:type="pct"/>
            <w:shd w:val="clear" w:color="auto" w:fill="CCEEFF"/>
            <w:tcMar>
              <w:top w:w="0" w:type="dxa"/>
              <w:left w:w="0" w:type="dxa"/>
              <w:bottom w:w="80" w:type="dxa"/>
              <w:right w:w="0" w:type="dxa"/>
            </w:tcMar>
            <w:hideMark/>
          </w:tcPr>
          <w:p w14:paraId="30EC8DE2" w14:textId="77777777" w:rsidR="00000000" w:rsidRDefault="002F725F">
            <w:pPr>
              <w:rPr>
                <w:rFonts w:eastAsia="Times New Roman"/>
                <w:sz w:val="20"/>
                <w:szCs w:val="20"/>
              </w:rPr>
            </w:pPr>
            <w:r>
              <w:rPr>
                <w:rFonts w:eastAsia="Times New Roman"/>
                <w:sz w:val="20"/>
                <w:szCs w:val="20"/>
                <w:vertAlign w:val="superscript"/>
              </w:rPr>
              <w:t>(1)</w:t>
            </w:r>
          </w:p>
        </w:tc>
        <w:tc>
          <w:tcPr>
            <w:tcW w:w="50" w:type="pct"/>
            <w:shd w:val="clear" w:color="auto" w:fill="CCEEFF"/>
            <w:vAlign w:val="bottom"/>
            <w:hideMark/>
          </w:tcPr>
          <w:p w14:paraId="7E0BF44F"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2BA87968" w14:textId="77777777" w:rsidR="00000000" w:rsidRDefault="002F725F">
            <w:pPr>
              <w:rPr>
                <w:rFonts w:eastAsia="Times New Roman"/>
                <w:sz w:val="20"/>
                <w:szCs w:val="20"/>
              </w:rPr>
            </w:pPr>
            <w:r>
              <w:rPr>
                <w:rFonts w:eastAsia="Times New Roman"/>
                <w:sz w:val="20"/>
                <w:szCs w:val="20"/>
              </w:rPr>
              <w:t>US$</w:t>
            </w:r>
          </w:p>
        </w:tc>
        <w:tc>
          <w:tcPr>
            <w:tcW w:w="450" w:type="pct"/>
            <w:shd w:val="clear" w:color="auto" w:fill="CCEEFF"/>
            <w:vAlign w:val="bottom"/>
            <w:hideMark/>
          </w:tcPr>
          <w:p w14:paraId="79464440" w14:textId="77777777" w:rsidR="00000000" w:rsidRDefault="002F725F">
            <w:pPr>
              <w:jc w:val="right"/>
              <w:rPr>
                <w:rFonts w:eastAsia="Times New Roman"/>
                <w:sz w:val="20"/>
                <w:szCs w:val="20"/>
              </w:rPr>
            </w:pPr>
            <w:r>
              <w:rPr>
                <w:rFonts w:eastAsia="Times New Roman"/>
                <w:sz w:val="20"/>
                <w:szCs w:val="20"/>
              </w:rPr>
              <w:t>0.883</w:t>
            </w:r>
          </w:p>
        </w:tc>
        <w:tc>
          <w:tcPr>
            <w:tcW w:w="50" w:type="pct"/>
            <w:shd w:val="clear" w:color="auto" w:fill="CCEEFF"/>
            <w:tcMar>
              <w:top w:w="0" w:type="dxa"/>
              <w:left w:w="0" w:type="dxa"/>
              <w:bottom w:w="80" w:type="dxa"/>
              <w:right w:w="0" w:type="dxa"/>
            </w:tcMar>
            <w:vAlign w:val="bottom"/>
            <w:hideMark/>
          </w:tcPr>
          <w:p w14:paraId="17B5314E" w14:textId="77777777" w:rsidR="00000000" w:rsidRDefault="002F725F">
            <w:pPr>
              <w:rPr>
                <w:rFonts w:eastAsia="Times New Roman"/>
                <w:sz w:val="20"/>
                <w:szCs w:val="20"/>
              </w:rPr>
            </w:pPr>
            <w:r>
              <w:rPr>
                <w:rFonts w:eastAsia="Times New Roman"/>
                <w:sz w:val="20"/>
                <w:szCs w:val="20"/>
                <w:vertAlign w:val="superscript"/>
              </w:rPr>
              <w:t>(1)</w:t>
            </w:r>
          </w:p>
        </w:tc>
        <w:tc>
          <w:tcPr>
            <w:tcW w:w="50" w:type="pct"/>
            <w:shd w:val="clear" w:color="auto" w:fill="CCEEFF"/>
            <w:vAlign w:val="bottom"/>
            <w:hideMark/>
          </w:tcPr>
          <w:p w14:paraId="1D314019" w14:textId="77777777" w:rsidR="00000000" w:rsidRDefault="002F725F">
            <w:pPr>
              <w:rPr>
                <w:rFonts w:eastAsia="Times New Roman"/>
                <w:sz w:val="20"/>
                <w:szCs w:val="20"/>
              </w:rPr>
            </w:pPr>
            <w:r>
              <w:rPr>
                <w:rFonts w:eastAsia="Times New Roman"/>
                <w:sz w:val="20"/>
                <w:szCs w:val="20"/>
              </w:rPr>
              <w:t> </w:t>
            </w:r>
          </w:p>
        </w:tc>
        <w:tc>
          <w:tcPr>
            <w:tcW w:w="50" w:type="pct"/>
            <w:shd w:val="clear" w:color="auto" w:fill="CCEEFF"/>
            <w:vAlign w:val="bottom"/>
            <w:hideMark/>
          </w:tcPr>
          <w:p w14:paraId="0574D2DB" w14:textId="77777777" w:rsidR="00000000" w:rsidRDefault="002F725F">
            <w:pPr>
              <w:rPr>
                <w:rFonts w:eastAsia="Times New Roman"/>
                <w:sz w:val="20"/>
                <w:szCs w:val="20"/>
              </w:rPr>
            </w:pPr>
            <w:r>
              <w:rPr>
                <w:rFonts w:eastAsia="Times New Roman"/>
                <w:sz w:val="20"/>
                <w:szCs w:val="20"/>
              </w:rPr>
              <w:t>US$</w:t>
            </w:r>
          </w:p>
        </w:tc>
        <w:tc>
          <w:tcPr>
            <w:tcW w:w="450" w:type="pct"/>
            <w:shd w:val="clear" w:color="auto" w:fill="CCEEFF"/>
            <w:vAlign w:val="bottom"/>
            <w:hideMark/>
          </w:tcPr>
          <w:p w14:paraId="6DC9D1E1" w14:textId="77777777" w:rsidR="00000000" w:rsidRDefault="002F725F">
            <w:pPr>
              <w:jc w:val="right"/>
              <w:rPr>
                <w:rFonts w:eastAsia="Times New Roman"/>
                <w:sz w:val="20"/>
                <w:szCs w:val="20"/>
              </w:rPr>
            </w:pPr>
            <w:r>
              <w:rPr>
                <w:rFonts w:eastAsia="Times New Roman"/>
                <w:sz w:val="20"/>
                <w:szCs w:val="20"/>
              </w:rPr>
              <w:t>0.883</w:t>
            </w:r>
          </w:p>
        </w:tc>
        <w:tc>
          <w:tcPr>
            <w:tcW w:w="50" w:type="pct"/>
            <w:shd w:val="clear" w:color="auto" w:fill="CCEEFF"/>
            <w:tcMar>
              <w:top w:w="0" w:type="dxa"/>
              <w:left w:w="0" w:type="dxa"/>
              <w:bottom w:w="80" w:type="dxa"/>
              <w:right w:w="0" w:type="dxa"/>
            </w:tcMar>
            <w:vAlign w:val="bottom"/>
            <w:hideMark/>
          </w:tcPr>
          <w:p w14:paraId="72859906" w14:textId="77777777" w:rsidR="00000000" w:rsidRDefault="002F725F">
            <w:pPr>
              <w:rPr>
                <w:rFonts w:eastAsia="Times New Roman"/>
                <w:sz w:val="20"/>
                <w:szCs w:val="20"/>
              </w:rPr>
            </w:pPr>
            <w:r>
              <w:rPr>
                <w:rFonts w:eastAsia="Times New Roman"/>
                <w:sz w:val="20"/>
                <w:szCs w:val="20"/>
                <w:vertAlign w:val="superscript"/>
              </w:rPr>
              <w:t>(1)</w:t>
            </w:r>
          </w:p>
        </w:tc>
      </w:tr>
      <w:tr w:rsidR="00000000" w14:paraId="6E240227" w14:textId="77777777">
        <w:trPr>
          <w:divId w:val="415980837"/>
        </w:trPr>
        <w:tc>
          <w:tcPr>
            <w:tcW w:w="0" w:type="auto"/>
            <w:shd w:val="clear" w:color="auto" w:fill="FFFFFF"/>
            <w:vAlign w:val="bottom"/>
            <w:hideMark/>
          </w:tcPr>
          <w:p w14:paraId="329C368F" w14:textId="77777777" w:rsidR="00000000" w:rsidRDefault="002F725F">
            <w:pPr>
              <w:rPr>
                <w:rFonts w:eastAsia="Times New Roman"/>
                <w:sz w:val="20"/>
                <w:szCs w:val="20"/>
              </w:rPr>
            </w:pPr>
            <w:r>
              <w:rPr>
                <w:rFonts w:eastAsia="Times New Roman"/>
                <w:sz w:val="20"/>
                <w:szCs w:val="20"/>
              </w:rPr>
              <w:t>Crystal Peak Investment Inc.</w:t>
            </w:r>
          </w:p>
        </w:tc>
        <w:tc>
          <w:tcPr>
            <w:tcW w:w="0" w:type="auto"/>
            <w:shd w:val="clear" w:color="auto" w:fill="FFFFFF"/>
            <w:vAlign w:val="bottom"/>
            <w:hideMark/>
          </w:tcPr>
          <w:p w14:paraId="2DE5CBF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3CD94AC" w14:textId="77777777" w:rsidR="00000000" w:rsidRDefault="002F725F">
            <w:pPr>
              <w:jc w:val="center"/>
              <w:rPr>
                <w:rFonts w:eastAsia="Times New Roman"/>
                <w:sz w:val="20"/>
                <w:szCs w:val="20"/>
              </w:rPr>
            </w:pPr>
            <w:r>
              <w:rPr>
                <w:rFonts w:eastAsia="Times New Roman"/>
                <w:sz w:val="20"/>
                <w:szCs w:val="20"/>
              </w:rPr>
              <w:t>Third Quarter 2025</w:t>
            </w:r>
          </w:p>
        </w:tc>
        <w:tc>
          <w:tcPr>
            <w:tcW w:w="0" w:type="auto"/>
            <w:shd w:val="clear" w:color="auto" w:fill="FFFFFF"/>
            <w:vAlign w:val="bottom"/>
            <w:hideMark/>
          </w:tcPr>
          <w:p w14:paraId="60CD663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2D67297" w14:textId="77777777" w:rsidR="00000000" w:rsidRDefault="002F725F">
            <w:pPr>
              <w:rPr>
                <w:rFonts w:eastAsia="Times New Roman"/>
                <w:sz w:val="20"/>
                <w:szCs w:val="20"/>
              </w:rPr>
            </w:pPr>
            <w:r>
              <w:rPr>
                <w:rFonts w:eastAsia="Times New Roman"/>
                <w:sz w:val="20"/>
                <w:szCs w:val="20"/>
              </w:rPr>
              <w:t>US$</w:t>
            </w:r>
          </w:p>
        </w:tc>
        <w:tc>
          <w:tcPr>
            <w:tcW w:w="0" w:type="auto"/>
            <w:shd w:val="clear" w:color="auto" w:fill="FFFFFF"/>
            <w:vAlign w:val="bottom"/>
            <w:hideMark/>
          </w:tcPr>
          <w:p w14:paraId="37F6F04F" w14:textId="77777777" w:rsidR="00000000" w:rsidRDefault="002F725F">
            <w:pPr>
              <w:jc w:val="right"/>
              <w:rPr>
                <w:rFonts w:eastAsia="Times New Roman"/>
                <w:sz w:val="20"/>
                <w:szCs w:val="20"/>
              </w:rPr>
            </w:pPr>
            <w:r>
              <w:rPr>
                <w:rFonts w:eastAsia="Times New Roman"/>
                <w:sz w:val="20"/>
                <w:szCs w:val="20"/>
              </w:rPr>
              <w:t>4,033,790</w:t>
            </w:r>
          </w:p>
        </w:tc>
        <w:tc>
          <w:tcPr>
            <w:tcW w:w="0" w:type="auto"/>
            <w:shd w:val="clear" w:color="auto" w:fill="FFFFFF"/>
            <w:tcMar>
              <w:top w:w="0" w:type="dxa"/>
              <w:left w:w="0" w:type="dxa"/>
              <w:bottom w:w="80" w:type="dxa"/>
              <w:right w:w="0" w:type="dxa"/>
            </w:tcMar>
            <w:hideMark/>
          </w:tcPr>
          <w:p w14:paraId="176DDE4B" w14:textId="77777777" w:rsidR="00000000" w:rsidRDefault="002F725F">
            <w:pPr>
              <w:rPr>
                <w:rFonts w:eastAsia="Times New Roman"/>
                <w:sz w:val="20"/>
                <w:szCs w:val="20"/>
              </w:rPr>
            </w:pPr>
            <w:r>
              <w:rPr>
                <w:rFonts w:eastAsia="Times New Roman"/>
                <w:sz w:val="20"/>
                <w:szCs w:val="20"/>
                <w:vertAlign w:val="superscript"/>
              </w:rPr>
              <w:t>(2)</w:t>
            </w:r>
          </w:p>
        </w:tc>
        <w:tc>
          <w:tcPr>
            <w:tcW w:w="0" w:type="auto"/>
            <w:shd w:val="clear" w:color="auto" w:fill="FFFFFF"/>
            <w:vAlign w:val="bottom"/>
            <w:hideMark/>
          </w:tcPr>
          <w:p w14:paraId="6CF5A3A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6955282" w14:textId="77777777" w:rsidR="00000000" w:rsidRDefault="002F725F">
            <w:pPr>
              <w:rPr>
                <w:rFonts w:eastAsia="Times New Roman"/>
                <w:sz w:val="20"/>
                <w:szCs w:val="20"/>
              </w:rPr>
            </w:pPr>
            <w:r>
              <w:rPr>
                <w:rFonts w:eastAsia="Times New Roman"/>
                <w:sz w:val="20"/>
                <w:szCs w:val="20"/>
              </w:rPr>
              <w:t>US$</w:t>
            </w:r>
          </w:p>
        </w:tc>
        <w:tc>
          <w:tcPr>
            <w:tcW w:w="0" w:type="auto"/>
            <w:shd w:val="clear" w:color="auto" w:fill="FFFFFF"/>
            <w:vAlign w:val="bottom"/>
            <w:hideMark/>
          </w:tcPr>
          <w:p w14:paraId="498B084A" w14:textId="77777777" w:rsidR="00000000" w:rsidRDefault="002F725F">
            <w:pPr>
              <w:jc w:val="right"/>
              <w:rPr>
                <w:rFonts w:eastAsia="Times New Roman"/>
                <w:sz w:val="20"/>
                <w:szCs w:val="20"/>
              </w:rPr>
            </w:pPr>
            <w:r>
              <w:rPr>
                <w:rFonts w:eastAsia="Times New Roman"/>
                <w:sz w:val="20"/>
                <w:szCs w:val="20"/>
              </w:rPr>
              <w:t>1.079</w:t>
            </w:r>
          </w:p>
        </w:tc>
        <w:tc>
          <w:tcPr>
            <w:tcW w:w="0" w:type="auto"/>
            <w:shd w:val="clear" w:color="auto" w:fill="FFFFFF"/>
            <w:tcMar>
              <w:top w:w="0" w:type="dxa"/>
              <w:left w:w="0" w:type="dxa"/>
              <w:bottom w:w="80" w:type="dxa"/>
              <w:right w:w="0" w:type="dxa"/>
            </w:tcMar>
            <w:vAlign w:val="bottom"/>
            <w:hideMark/>
          </w:tcPr>
          <w:p w14:paraId="75C9C829" w14:textId="77777777" w:rsidR="00000000" w:rsidRDefault="002F725F">
            <w:pPr>
              <w:rPr>
                <w:rFonts w:eastAsia="Times New Roman"/>
                <w:sz w:val="20"/>
                <w:szCs w:val="20"/>
              </w:rPr>
            </w:pPr>
            <w:r>
              <w:rPr>
                <w:rFonts w:eastAsia="Times New Roman"/>
                <w:sz w:val="20"/>
                <w:szCs w:val="20"/>
                <w:vertAlign w:val="superscript"/>
              </w:rPr>
              <w:t>(2)</w:t>
            </w:r>
          </w:p>
        </w:tc>
        <w:tc>
          <w:tcPr>
            <w:tcW w:w="0" w:type="auto"/>
            <w:shd w:val="clear" w:color="auto" w:fill="FFFFFF"/>
            <w:vAlign w:val="bottom"/>
            <w:hideMark/>
          </w:tcPr>
          <w:p w14:paraId="5910BF7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28DE15D" w14:textId="77777777" w:rsidR="00000000" w:rsidRDefault="002F725F">
            <w:pPr>
              <w:rPr>
                <w:rFonts w:eastAsia="Times New Roman"/>
                <w:sz w:val="20"/>
                <w:szCs w:val="20"/>
              </w:rPr>
            </w:pPr>
            <w:r>
              <w:rPr>
                <w:rFonts w:eastAsia="Times New Roman"/>
                <w:sz w:val="20"/>
                <w:szCs w:val="20"/>
              </w:rPr>
              <w:t>US$</w:t>
            </w:r>
          </w:p>
        </w:tc>
        <w:tc>
          <w:tcPr>
            <w:tcW w:w="0" w:type="auto"/>
            <w:shd w:val="clear" w:color="auto" w:fill="FFFFFF"/>
            <w:vAlign w:val="bottom"/>
            <w:hideMark/>
          </w:tcPr>
          <w:p w14:paraId="480BA246" w14:textId="77777777" w:rsidR="00000000" w:rsidRDefault="002F725F">
            <w:pPr>
              <w:jc w:val="right"/>
              <w:rPr>
                <w:rFonts w:eastAsia="Times New Roman"/>
                <w:sz w:val="20"/>
                <w:szCs w:val="20"/>
              </w:rPr>
            </w:pPr>
            <w:r>
              <w:rPr>
                <w:rFonts w:eastAsia="Times New Roman"/>
                <w:sz w:val="20"/>
                <w:szCs w:val="20"/>
              </w:rPr>
              <w:t>1.079</w:t>
            </w:r>
          </w:p>
        </w:tc>
        <w:tc>
          <w:tcPr>
            <w:tcW w:w="0" w:type="auto"/>
            <w:shd w:val="clear" w:color="auto" w:fill="FFFFFF"/>
            <w:tcMar>
              <w:top w:w="0" w:type="dxa"/>
              <w:left w:w="0" w:type="dxa"/>
              <w:bottom w:w="80" w:type="dxa"/>
              <w:right w:w="0" w:type="dxa"/>
            </w:tcMar>
            <w:vAlign w:val="bottom"/>
            <w:hideMark/>
          </w:tcPr>
          <w:p w14:paraId="015D2A14" w14:textId="77777777" w:rsidR="00000000" w:rsidRDefault="002F725F">
            <w:pPr>
              <w:rPr>
                <w:rFonts w:eastAsia="Times New Roman"/>
                <w:sz w:val="20"/>
                <w:szCs w:val="20"/>
              </w:rPr>
            </w:pPr>
            <w:r>
              <w:rPr>
                <w:rFonts w:eastAsia="Times New Roman"/>
                <w:sz w:val="20"/>
                <w:szCs w:val="20"/>
                <w:vertAlign w:val="superscript"/>
              </w:rPr>
              <w:t>(2)</w:t>
            </w:r>
          </w:p>
        </w:tc>
      </w:tr>
      <w:tr w:rsidR="00000000" w14:paraId="795EE2D2" w14:textId="77777777">
        <w:trPr>
          <w:divId w:val="415980837"/>
        </w:trPr>
        <w:tc>
          <w:tcPr>
            <w:tcW w:w="0" w:type="auto"/>
            <w:shd w:val="clear" w:color="auto" w:fill="CCEEFF"/>
            <w:hideMark/>
          </w:tcPr>
          <w:p w14:paraId="7673778B" w14:textId="77777777" w:rsidR="00000000" w:rsidRDefault="002F725F">
            <w:pPr>
              <w:rPr>
                <w:rFonts w:eastAsia="Times New Roman"/>
                <w:sz w:val="20"/>
                <w:szCs w:val="20"/>
              </w:rPr>
            </w:pPr>
            <w:r>
              <w:rPr>
                <w:rFonts w:eastAsia="Times New Roman"/>
                <w:sz w:val="20"/>
                <w:szCs w:val="20"/>
              </w:rPr>
              <w:t>Oceanpine Capital Inc.</w:t>
            </w:r>
          </w:p>
        </w:tc>
        <w:tc>
          <w:tcPr>
            <w:tcW w:w="0" w:type="auto"/>
            <w:shd w:val="clear" w:color="auto" w:fill="CCEEFF"/>
            <w:vAlign w:val="bottom"/>
            <w:hideMark/>
          </w:tcPr>
          <w:p w14:paraId="46BE121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04C913A4" w14:textId="77777777" w:rsidR="00000000" w:rsidRDefault="002F725F">
            <w:pPr>
              <w:jc w:val="center"/>
              <w:rPr>
                <w:rFonts w:eastAsia="Times New Roman"/>
                <w:sz w:val="20"/>
                <w:szCs w:val="20"/>
              </w:rPr>
            </w:pPr>
            <w:r>
              <w:rPr>
                <w:rFonts w:eastAsia="Times New Roman"/>
                <w:sz w:val="20"/>
                <w:szCs w:val="20"/>
              </w:rPr>
              <w:t>Fourth Quarter 2023</w:t>
            </w:r>
          </w:p>
        </w:tc>
        <w:tc>
          <w:tcPr>
            <w:tcW w:w="0" w:type="auto"/>
            <w:shd w:val="clear" w:color="auto" w:fill="CCEEFF"/>
            <w:vAlign w:val="bottom"/>
            <w:hideMark/>
          </w:tcPr>
          <w:p w14:paraId="310323C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080D279" w14:textId="77777777" w:rsidR="00000000" w:rsidRDefault="002F725F">
            <w:pPr>
              <w:rPr>
                <w:rFonts w:eastAsia="Times New Roman"/>
                <w:sz w:val="20"/>
                <w:szCs w:val="20"/>
              </w:rPr>
            </w:pPr>
            <w:r>
              <w:rPr>
                <w:rFonts w:eastAsia="Times New Roman"/>
                <w:sz w:val="20"/>
                <w:szCs w:val="20"/>
              </w:rPr>
              <w:t>US$</w:t>
            </w:r>
          </w:p>
        </w:tc>
        <w:tc>
          <w:tcPr>
            <w:tcW w:w="0" w:type="auto"/>
            <w:shd w:val="clear" w:color="auto" w:fill="CCEEFF"/>
            <w:vAlign w:val="bottom"/>
            <w:hideMark/>
          </w:tcPr>
          <w:p w14:paraId="491760D8" w14:textId="77777777" w:rsidR="00000000" w:rsidRDefault="002F725F">
            <w:pPr>
              <w:jc w:val="right"/>
              <w:rPr>
                <w:rFonts w:eastAsia="Times New Roman"/>
                <w:sz w:val="20"/>
                <w:szCs w:val="20"/>
              </w:rPr>
            </w:pPr>
            <w:r>
              <w:rPr>
                <w:rFonts w:eastAsia="Times New Roman"/>
                <w:sz w:val="20"/>
                <w:szCs w:val="20"/>
              </w:rPr>
              <w:t>52,200</w:t>
            </w:r>
          </w:p>
        </w:tc>
        <w:tc>
          <w:tcPr>
            <w:tcW w:w="0" w:type="auto"/>
            <w:shd w:val="clear" w:color="auto" w:fill="CCEEFF"/>
            <w:tcMar>
              <w:top w:w="0" w:type="dxa"/>
              <w:left w:w="0" w:type="dxa"/>
              <w:bottom w:w="80" w:type="dxa"/>
              <w:right w:w="0" w:type="dxa"/>
            </w:tcMar>
            <w:hideMark/>
          </w:tcPr>
          <w:p w14:paraId="20EB2619" w14:textId="77777777" w:rsidR="00000000" w:rsidRDefault="002F725F">
            <w:pPr>
              <w:rPr>
                <w:rFonts w:eastAsia="Times New Roman"/>
                <w:sz w:val="20"/>
                <w:szCs w:val="20"/>
              </w:rPr>
            </w:pPr>
            <w:r>
              <w:rPr>
                <w:rFonts w:eastAsia="Times New Roman"/>
                <w:sz w:val="20"/>
                <w:szCs w:val="20"/>
                <w:vertAlign w:val="superscript"/>
              </w:rPr>
              <w:t>(3)</w:t>
            </w:r>
          </w:p>
        </w:tc>
        <w:tc>
          <w:tcPr>
            <w:tcW w:w="0" w:type="auto"/>
            <w:shd w:val="clear" w:color="auto" w:fill="CCEEFF"/>
            <w:vAlign w:val="bottom"/>
            <w:hideMark/>
          </w:tcPr>
          <w:p w14:paraId="7821489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FEA11C9" w14:textId="77777777" w:rsidR="00000000" w:rsidRDefault="002F725F">
            <w:pPr>
              <w:rPr>
                <w:rFonts w:eastAsia="Times New Roman"/>
                <w:sz w:val="20"/>
                <w:szCs w:val="20"/>
              </w:rPr>
            </w:pPr>
            <w:r>
              <w:rPr>
                <w:rFonts w:eastAsia="Times New Roman"/>
                <w:sz w:val="20"/>
                <w:szCs w:val="20"/>
              </w:rPr>
              <w:t>US$</w:t>
            </w:r>
          </w:p>
        </w:tc>
        <w:tc>
          <w:tcPr>
            <w:tcW w:w="0" w:type="auto"/>
            <w:shd w:val="clear" w:color="auto" w:fill="CCEEFF"/>
            <w:vAlign w:val="bottom"/>
            <w:hideMark/>
          </w:tcPr>
          <w:p w14:paraId="41B91287" w14:textId="77777777" w:rsidR="00000000" w:rsidRDefault="002F725F">
            <w:pPr>
              <w:jc w:val="right"/>
              <w:rPr>
                <w:rFonts w:eastAsia="Times New Roman"/>
                <w:sz w:val="20"/>
                <w:szCs w:val="20"/>
              </w:rPr>
            </w:pPr>
            <w:r>
              <w:rPr>
                <w:rFonts w:eastAsia="Times New Roman"/>
                <w:sz w:val="20"/>
                <w:szCs w:val="20"/>
              </w:rPr>
              <w:t>4.94-5.95</w:t>
            </w:r>
          </w:p>
        </w:tc>
        <w:tc>
          <w:tcPr>
            <w:tcW w:w="0" w:type="auto"/>
            <w:shd w:val="clear" w:color="auto" w:fill="CCEEFF"/>
            <w:tcMar>
              <w:top w:w="0" w:type="dxa"/>
              <w:left w:w="0" w:type="dxa"/>
              <w:bottom w:w="80" w:type="dxa"/>
              <w:right w:w="0" w:type="dxa"/>
            </w:tcMar>
            <w:vAlign w:val="bottom"/>
            <w:hideMark/>
          </w:tcPr>
          <w:p w14:paraId="74089BF5" w14:textId="77777777" w:rsidR="00000000" w:rsidRDefault="002F725F">
            <w:pPr>
              <w:rPr>
                <w:rFonts w:eastAsia="Times New Roman"/>
                <w:sz w:val="20"/>
                <w:szCs w:val="20"/>
              </w:rPr>
            </w:pPr>
            <w:r>
              <w:rPr>
                <w:rFonts w:eastAsia="Times New Roman"/>
                <w:sz w:val="20"/>
                <w:szCs w:val="20"/>
                <w:vertAlign w:val="superscript"/>
              </w:rPr>
              <w:t>(3)</w:t>
            </w:r>
          </w:p>
        </w:tc>
        <w:tc>
          <w:tcPr>
            <w:tcW w:w="0" w:type="auto"/>
            <w:shd w:val="clear" w:color="auto" w:fill="CCEEFF"/>
            <w:vAlign w:val="bottom"/>
            <w:hideMark/>
          </w:tcPr>
          <w:p w14:paraId="0953FAD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5CA04A8" w14:textId="77777777" w:rsidR="00000000" w:rsidRDefault="002F725F">
            <w:pPr>
              <w:rPr>
                <w:rFonts w:eastAsia="Times New Roman"/>
                <w:sz w:val="20"/>
                <w:szCs w:val="20"/>
              </w:rPr>
            </w:pPr>
            <w:r>
              <w:rPr>
                <w:rFonts w:eastAsia="Times New Roman"/>
                <w:sz w:val="20"/>
                <w:szCs w:val="20"/>
              </w:rPr>
              <w:t>US$</w:t>
            </w:r>
          </w:p>
        </w:tc>
        <w:tc>
          <w:tcPr>
            <w:tcW w:w="0" w:type="auto"/>
            <w:shd w:val="clear" w:color="auto" w:fill="CCEEFF"/>
            <w:vAlign w:val="bottom"/>
            <w:hideMark/>
          </w:tcPr>
          <w:p w14:paraId="62218DFA" w14:textId="77777777" w:rsidR="00000000" w:rsidRDefault="002F725F">
            <w:pPr>
              <w:jc w:val="right"/>
              <w:rPr>
                <w:rFonts w:eastAsia="Times New Roman"/>
                <w:sz w:val="20"/>
                <w:szCs w:val="20"/>
              </w:rPr>
            </w:pPr>
            <w:r>
              <w:rPr>
                <w:rFonts w:eastAsia="Times New Roman"/>
                <w:sz w:val="20"/>
                <w:szCs w:val="20"/>
              </w:rPr>
              <w:t>5.61</w:t>
            </w:r>
          </w:p>
        </w:tc>
        <w:tc>
          <w:tcPr>
            <w:tcW w:w="0" w:type="auto"/>
            <w:shd w:val="clear" w:color="auto" w:fill="CCEEFF"/>
            <w:tcMar>
              <w:top w:w="0" w:type="dxa"/>
              <w:left w:w="0" w:type="dxa"/>
              <w:bottom w:w="80" w:type="dxa"/>
              <w:right w:w="0" w:type="dxa"/>
            </w:tcMar>
            <w:vAlign w:val="bottom"/>
            <w:hideMark/>
          </w:tcPr>
          <w:p w14:paraId="3C508DDB" w14:textId="77777777" w:rsidR="00000000" w:rsidRDefault="002F725F">
            <w:pPr>
              <w:rPr>
                <w:rFonts w:eastAsia="Times New Roman"/>
                <w:sz w:val="20"/>
                <w:szCs w:val="20"/>
              </w:rPr>
            </w:pPr>
            <w:r>
              <w:rPr>
                <w:rFonts w:eastAsia="Times New Roman"/>
                <w:sz w:val="20"/>
                <w:szCs w:val="20"/>
                <w:vertAlign w:val="superscript"/>
              </w:rPr>
              <w:t>(3)</w:t>
            </w:r>
          </w:p>
        </w:tc>
      </w:tr>
    </w:tbl>
    <w:p w14:paraId="4830917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9000"/>
      </w:tblGrid>
      <w:tr w:rsidR="00000000" w14:paraId="17868F1E" w14:textId="77777777">
        <w:trPr>
          <w:divId w:val="415980837"/>
          <w:tblCellSpacing w:w="0" w:type="dxa"/>
        </w:trPr>
        <w:tc>
          <w:tcPr>
            <w:tcW w:w="360" w:type="dxa"/>
            <w:hideMark/>
          </w:tcPr>
          <w:p w14:paraId="0A487F56" w14:textId="77777777" w:rsidR="00000000" w:rsidRDefault="002F725F">
            <w:pPr>
              <w:rPr>
                <w:rFonts w:eastAsia="Times New Roman"/>
                <w:sz w:val="20"/>
                <w:szCs w:val="20"/>
              </w:rPr>
            </w:pPr>
            <w:r>
              <w:rPr>
                <w:rFonts w:eastAsia="Times New Roman"/>
                <w:sz w:val="20"/>
                <w:szCs w:val="20"/>
              </w:rPr>
              <w:t>(1)</w:t>
            </w:r>
          </w:p>
        </w:tc>
        <w:tc>
          <w:tcPr>
            <w:tcW w:w="0" w:type="auto"/>
            <w:hideMark/>
          </w:tcPr>
          <w:p w14:paraId="1A49AD35" w14:textId="77777777" w:rsidR="00000000" w:rsidRDefault="002F725F">
            <w:pPr>
              <w:jc w:val="both"/>
              <w:rPr>
                <w:rFonts w:eastAsia="Times New Roman"/>
                <w:sz w:val="20"/>
                <w:szCs w:val="20"/>
              </w:rPr>
            </w:pPr>
            <w:r>
              <w:rPr>
                <w:rFonts w:eastAsia="Times New Roman"/>
                <w:sz w:val="20"/>
                <w:szCs w:val="20"/>
                <w:shd w:val="clear" w:color="auto" w:fill="FFFFFF"/>
              </w:rPr>
              <w:t xml:space="preserve">On </w:t>
            </w:r>
            <w:r>
              <w:rPr>
                <w:rFonts w:eastAsia="Times New Roman"/>
                <w:sz w:val="20"/>
                <w:szCs w:val="20"/>
                <w:shd w:val="clear" w:color="auto" w:fill="FFFFFF"/>
              </w:rPr>
              <w:t xml:space="preserve">July 8, 2025, the Company entered into a Share and Warrant Purchase Agreement (the “Purchase Agreement”) with </w:t>
            </w:r>
            <w:r>
              <w:rPr>
                <w:rFonts w:eastAsia="Times New Roman"/>
                <w:sz w:val="20"/>
                <w:szCs w:val="20"/>
              </w:rPr>
              <w:t>Crystal Peak Investment Inc.</w:t>
            </w:r>
            <w:r>
              <w:rPr>
                <w:rFonts w:eastAsia="Times New Roman"/>
                <w:sz w:val="20"/>
                <w:szCs w:val="20"/>
                <w:shd w:val="clear" w:color="auto" w:fill="FFFFFF"/>
              </w:rPr>
              <w:t xml:space="preserve">, pursuant to which </w:t>
            </w:r>
            <w:r>
              <w:rPr>
                <w:rFonts w:eastAsia="Times New Roman"/>
                <w:sz w:val="20"/>
                <w:szCs w:val="20"/>
              </w:rPr>
              <w:t xml:space="preserve">Crystal Peak Investment Inc. </w:t>
            </w:r>
            <w:r>
              <w:rPr>
                <w:rFonts w:eastAsia="Times New Roman"/>
                <w:sz w:val="20"/>
                <w:szCs w:val="20"/>
                <w:shd w:val="clear" w:color="auto" w:fill="FFFFFF"/>
              </w:rPr>
              <w:t>purchased 16,987,542 Shares at a purchase price of US$0.883 per Share</w:t>
            </w:r>
            <w:r>
              <w:rPr>
                <w:rFonts w:eastAsia="Times New Roman"/>
                <w:sz w:val="20"/>
                <w:szCs w:val="20"/>
                <w:shd w:val="clear" w:color="auto" w:fill="FFFFFF"/>
              </w:rPr>
              <w:t xml:space="preserve"> in a private placement transaction. </w:t>
            </w:r>
          </w:p>
        </w:tc>
      </w:tr>
    </w:tbl>
    <w:p w14:paraId="202D229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9000"/>
      </w:tblGrid>
      <w:tr w:rsidR="00000000" w14:paraId="105A5EFA" w14:textId="77777777">
        <w:trPr>
          <w:divId w:val="415980837"/>
          <w:tblCellSpacing w:w="0" w:type="dxa"/>
        </w:trPr>
        <w:tc>
          <w:tcPr>
            <w:tcW w:w="360" w:type="dxa"/>
            <w:hideMark/>
          </w:tcPr>
          <w:p w14:paraId="7E954A54" w14:textId="77777777" w:rsidR="00000000" w:rsidRDefault="002F725F">
            <w:pPr>
              <w:rPr>
                <w:rFonts w:eastAsia="Times New Roman"/>
                <w:sz w:val="20"/>
                <w:szCs w:val="20"/>
              </w:rPr>
            </w:pPr>
            <w:r>
              <w:rPr>
                <w:rFonts w:eastAsia="Times New Roman"/>
                <w:sz w:val="20"/>
                <w:szCs w:val="20"/>
              </w:rPr>
              <w:t>(2)</w:t>
            </w:r>
          </w:p>
        </w:tc>
        <w:tc>
          <w:tcPr>
            <w:tcW w:w="0" w:type="auto"/>
            <w:hideMark/>
          </w:tcPr>
          <w:p w14:paraId="4051774B" w14:textId="77777777" w:rsidR="00000000" w:rsidRDefault="002F725F">
            <w:pPr>
              <w:jc w:val="both"/>
              <w:rPr>
                <w:rFonts w:eastAsia="Times New Roman"/>
                <w:sz w:val="20"/>
                <w:szCs w:val="20"/>
              </w:rPr>
            </w:pPr>
            <w:r>
              <w:rPr>
                <w:rFonts w:eastAsia="Times New Roman"/>
                <w:sz w:val="20"/>
                <w:szCs w:val="20"/>
                <w:shd w:val="clear" w:color="auto" w:fill="FFFFFF"/>
              </w:rPr>
              <w:t xml:space="preserve">Pursuant </w:t>
            </w:r>
            <w:r>
              <w:rPr>
                <w:rFonts w:eastAsia="Times New Roman"/>
                <w:sz w:val="20"/>
                <w:szCs w:val="20"/>
                <w:shd w:val="clear" w:color="auto" w:fill="FFFFFF"/>
              </w:rPr>
              <w:t xml:space="preserve">to the Purchase Agreement and as additional consideration for the investment, the Company also issued 16,987,542 warrants (the “Warrants”) to </w:t>
            </w:r>
            <w:r>
              <w:rPr>
                <w:rFonts w:eastAsia="Times New Roman"/>
                <w:sz w:val="20"/>
                <w:szCs w:val="20"/>
              </w:rPr>
              <w:t xml:space="preserve">Crystal Peak Investment Inc. </w:t>
            </w:r>
            <w:r>
              <w:rPr>
                <w:rFonts w:eastAsia="Times New Roman"/>
                <w:sz w:val="20"/>
                <w:szCs w:val="20"/>
                <w:shd w:val="clear" w:color="auto" w:fill="FFFFFF"/>
              </w:rPr>
              <w:t>Each Warrant shall entitle the holder thereof to purchase one Share, at an exercise p</w:t>
            </w:r>
            <w:r>
              <w:rPr>
                <w:rFonts w:eastAsia="Times New Roman"/>
                <w:sz w:val="20"/>
                <w:szCs w:val="20"/>
                <w:shd w:val="clear" w:color="auto" w:fill="FFFFFF"/>
              </w:rPr>
              <w:t xml:space="preserve">rice of US$1.079. On July 11, 2025, </w:t>
            </w:r>
            <w:r>
              <w:rPr>
                <w:rFonts w:eastAsia="Times New Roman"/>
                <w:sz w:val="20"/>
                <w:szCs w:val="20"/>
              </w:rPr>
              <w:t xml:space="preserve">Crystal Peak Investment Inc. </w:t>
            </w:r>
            <w:r>
              <w:rPr>
                <w:rFonts w:eastAsia="Times New Roman"/>
                <w:sz w:val="20"/>
                <w:szCs w:val="20"/>
                <w:shd w:val="clear" w:color="auto" w:fill="FFFFFF"/>
              </w:rPr>
              <w:t>fully exercised 16,987,542 Warrants on a cashless basis for 4,033,790 Shares.</w:t>
            </w:r>
          </w:p>
        </w:tc>
      </w:tr>
    </w:tbl>
    <w:p w14:paraId="75FA516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9000"/>
      </w:tblGrid>
      <w:tr w:rsidR="00000000" w14:paraId="22EBC000" w14:textId="77777777">
        <w:trPr>
          <w:divId w:val="415980837"/>
          <w:tblCellSpacing w:w="0" w:type="dxa"/>
        </w:trPr>
        <w:tc>
          <w:tcPr>
            <w:tcW w:w="360" w:type="dxa"/>
            <w:hideMark/>
          </w:tcPr>
          <w:p w14:paraId="1F126358" w14:textId="77777777" w:rsidR="00000000" w:rsidRDefault="002F725F">
            <w:pPr>
              <w:rPr>
                <w:rFonts w:eastAsia="Times New Roman"/>
                <w:sz w:val="20"/>
                <w:szCs w:val="20"/>
              </w:rPr>
            </w:pPr>
            <w:r>
              <w:rPr>
                <w:rFonts w:eastAsia="Times New Roman"/>
                <w:sz w:val="20"/>
                <w:szCs w:val="20"/>
              </w:rPr>
              <w:t>(3)</w:t>
            </w:r>
          </w:p>
        </w:tc>
        <w:tc>
          <w:tcPr>
            <w:tcW w:w="0" w:type="auto"/>
            <w:hideMark/>
          </w:tcPr>
          <w:p w14:paraId="1F79E8FC" w14:textId="77777777" w:rsidR="00000000" w:rsidRDefault="002F725F">
            <w:pPr>
              <w:jc w:val="both"/>
              <w:rPr>
                <w:rFonts w:eastAsia="Times New Roman"/>
                <w:sz w:val="20"/>
                <w:szCs w:val="20"/>
              </w:rPr>
            </w:pPr>
            <w:r>
              <w:rPr>
                <w:rFonts w:eastAsia="Times New Roman"/>
                <w:sz w:val="20"/>
                <w:szCs w:val="20"/>
                <w:shd w:val="clear" w:color="auto" w:fill="FFFFFF"/>
              </w:rPr>
              <w:t>After giving effect to the 1-for-10 reverse stock split in October 2024 by the Company.</w:t>
            </w:r>
          </w:p>
        </w:tc>
      </w:tr>
    </w:tbl>
    <w:p w14:paraId="4931792C" w14:textId="77777777" w:rsidR="00000000" w:rsidRDefault="002F725F">
      <w:pPr>
        <w:pStyle w:val="NormalWeb"/>
        <w:spacing w:before="0" w:beforeAutospacing="0" w:after="0" w:afterAutospacing="0"/>
        <w:divId w:val="415980837"/>
        <w:rPr>
          <w:sz w:val="20"/>
          <w:szCs w:val="20"/>
        </w:rPr>
      </w:pPr>
      <w:r>
        <w:rPr>
          <w:sz w:val="20"/>
          <w:szCs w:val="20"/>
        </w:rPr>
        <w:t> </w:t>
      </w:r>
    </w:p>
    <w:p w14:paraId="0A02572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Except as descr</w:t>
      </w:r>
      <w:r>
        <w:rPr>
          <w:sz w:val="20"/>
          <w:szCs w:val="20"/>
        </w:rPr>
        <w:t>ibed above, no member of the Buyer Filing Persons nor any of their respective affiliates has purchased any Shares or Company Warrants at any time within the past two years.</w:t>
      </w:r>
    </w:p>
    <w:p w14:paraId="16D6B95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6919C65" w14:textId="77777777" w:rsidR="00000000" w:rsidRDefault="002F725F">
      <w:pPr>
        <w:pStyle w:val="NormalWeb"/>
        <w:spacing w:before="0" w:beforeAutospacing="0" w:after="0" w:afterAutospacing="0"/>
        <w:jc w:val="center"/>
        <w:divId w:val="1666857359"/>
        <w:rPr>
          <w:sz w:val="20"/>
          <w:szCs w:val="20"/>
        </w:rPr>
      </w:pPr>
      <w:r>
        <w:rPr>
          <w:sz w:val="20"/>
          <w:szCs w:val="20"/>
        </w:rPr>
        <w:t>10</w:t>
      </w:r>
      <w:r>
        <w:rPr>
          <w:sz w:val="20"/>
          <w:szCs w:val="20"/>
        </w:rPr>
        <w:t>2</w:t>
      </w:r>
    </w:p>
    <w:p w14:paraId="5B299B57" w14:textId="77777777" w:rsidR="00000000" w:rsidRDefault="002F725F">
      <w:pPr>
        <w:pStyle w:val="NormalWeb"/>
        <w:spacing w:before="0" w:beforeAutospacing="0" w:after="0" w:afterAutospacing="0"/>
        <w:divId w:val="1069307275"/>
        <w:rPr>
          <w:sz w:val="20"/>
          <w:szCs w:val="20"/>
        </w:rPr>
      </w:pPr>
      <w:r>
        <w:rPr>
          <w:sz w:val="20"/>
          <w:szCs w:val="20"/>
        </w:rPr>
        <w:t> </w:t>
      </w:r>
    </w:p>
    <w:p w14:paraId="663951D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0057AE6" w14:textId="77777777" w:rsidR="00000000" w:rsidRDefault="002F725F">
      <w:pPr>
        <w:pStyle w:val="NormalWeb"/>
        <w:spacing w:before="0" w:beforeAutospacing="0" w:after="0" w:afterAutospacing="0"/>
        <w:jc w:val="both"/>
        <w:divId w:val="415980837"/>
        <w:rPr>
          <w:sz w:val="20"/>
          <w:szCs w:val="20"/>
        </w:rPr>
      </w:pPr>
      <w:r>
        <w:rPr>
          <w:b/>
          <w:bCs/>
          <w:sz w:val="20"/>
          <w:szCs w:val="20"/>
        </w:rPr>
        <w:t>Prior Public Offerings</w:t>
      </w:r>
    </w:p>
    <w:p w14:paraId="2D48A292"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6918CC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On September 29, 2022, the Company entered into </w:t>
      </w:r>
      <w:r>
        <w:rPr>
          <w:sz w:val="20"/>
          <w:szCs w:val="20"/>
        </w:rPr>
        <w:t>a business combination agreement with, among others, Summit Healthcare Acquisition Corp. (“SPAC”). As a result of and upon consummation of the transactions contemplated by the business combination agreement (the “Business Combination”), the holders of shar</w:t>
      </w:r>
      <w:r>
        <w:rPr>
          <w:sz w:val="20"/>
          <w:szCs w:val="20"/>
        </w:rPr>
        <w:t>es and/or warrants of SPAC has become the holders of Shares and/or Company Warrants. The Business Combination was consummated on March 16, 2023. On March 17, 2023, the Shares and Company Warrants commenced trading on NASDAQ, under the symbols “YS” and “YSB</w:t>
      </w:r>
      <w:r>
        <w:rPr>
          <w:sz w:val="20"/>
          <w:szCs w:val="20"/>
        </w:rPr>
        <w:t>PW,” respectively. In connection with the change of the Company’s legal name to LakeShore Biopharma Co., Ltd, Shares and Company Warrants began trading under the symbols “LSB” and “LSBPW,” respectively, effective from May 28, 2024. The Share and Company Wa</w:t>
      </w:r>
      <w:r>
        <w:rPr>
          <w:sz w:val="20"/>
          <w:szCs w:val="20"/>
        </w:rPr>
        <w:t xml:space="preserve">rrants were delisted from NASDAQ on September 22, 2025. Upon the delisting of the Shares and Company Warrants from NASDAQ, the Shares and Company Warrants became listed for quotation on OTC Pink under the symbols “LSBCF” and “LSBWF.” </w:t>
      </w:r>
    </w:p>
    <w:p w14:paraId="28D2DB6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C36E25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On April 12, 2023, the Company filed a registration statement on Form F-1 (File Number: 333-271221) relating to the offer and sale by the selling securityholders of up to 2,413,076 Shares of the Company, after giving effect to the share consolidation of th</w:t>
      </w:r>
      <w:r>
        <w:rPr>
          <w:sz w:val="20"/>
          <w:szCs w:val="20"/>
        </w:rPr>
        <w:t>e Company completed in September 2024. The registration statement was subsequently amended and declared effective by the SEC on January 25, 2024.</w:t>
      </w:r>
    </w:p>
    <w:p w14:paraId="2096161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8DA858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Except as described above, the Company has not made any underwritten public offering of its securities durin</w:t>
      </w:r>
      <w:r>
        <w:rPr>
          <w:sz w:val="20"/>
          <w:szCs w:val="20"/>
        </w:rPr>
        <w:t>g the past three years.</w:t>
      </w:r>
    </w:p>
    <w:p w14:paraId="3241CB6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125518A" w14:textId="77777777" w:rsidR="00000000" w:rsidRDefault="002F725F">
      <w:pPr>
        <w:pStyle w:val="NormalWeb"/>
        <w:spacing w:before="0" w:beforeAutospacing="0" w:after="0" w:afterAutospacing="0"/>
        <w:jc w:val="both"/>
        <w:divId w:val="415980837"/>
        <w:rPr>
          <w:sz w:val="20"/>
          <w:szCs w:val="20"/>
        </w:rPr>
      </w:pPr>
      <w:r>
        <w:rPr>
          <w:b/>
          <w:bCs/>
          <w:sz w:val="20"/>
          <w:szCs w:val="20"/>
        </w:rPr>
        <w:t>Transactions in Prior 60 Days</w:t>
      </w:r>
    </w:p>
    <w:p w14:paraId="2FB5DF2B"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 </w:t>
      </w:r>
    </w:p>
    <w:p w14:paraId="6F3F4BC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Other than the Merger Agreement and agreements entered into in connection therewith including the Support Agreement, the Interim Investors Agreement, the Equity Commitment Letter and the Limited Gua</w:t>
      </w:r>
      <w:r>
        <w:rPr>
          <w:sz w:val="20"/>
          <w:szCs w:val="20"/>
        </w:rPr>
        <w:t>rantee, and as disclosed above, there have been no transactions in the Shares or Company Warrants during the past 60 days by the Company, any of the Company’s officers or directors, the Buyer Filing Persons or any other person with respect to which disclos</w:t>
      </w:r>
      <w:r>
        <w:rPr>
          <w:sz w:val="20"/>
          <w:szCs w:val="20"/>
        </w:rPr>
        <w:t>ure is provided in Annex E or any associate or majority-owned subsidiary of the foregoing.</w:t>
      </w:r>
    </w:p>
    <w:p w14:paraId="6A4A5B31" w14:textId="77777777" w:rsidR="00000000" w:rsidRDefault="002F725F">
      <w:pPr>
        <w:pStyle w:val="NormalWeb"/>
        <w:spacing w:before="0" w:beforeAutospacing="0" w:after="0" w:afterAutospacing="0"/>
        <w:ind w:firstLine="800"/>
        <w:jc w:val="both"/>
        <w:divId w:val="415980837"/>
        <w:rPr>
          <w:sz w:val="20"/>
          <w:szCs w:val="20"/>
        </w:rPr>
      </w:pPr>
      <w:r>
        <w:rPr>
          <w:sz w:val="20"/>
          <w:szCs w:val="20"/>
        </w:rPr>
        <w:t> </w:t>
      </w:r>
    </w:p>
    <w:p w14:paraId="4199619C" w14:textId="77777777" w:rsidR="00000000" w:rsidRDefault="002F725F">
      <w:pPr>
        <w:pStyle w:val="NormalWeb"/>
        <w:spacing w:before="0" w:beforeAutospacing="0" w:after="0" w:afterAutospacing="0"/>
        <w:jc w:val="center"/>
        <w:divId w:val="1642536273"/>
        <w:rPr>
          <w:sz w:val="20"/>
          <w:szCs w:val="20"/>
        </w:rPr>
      </w:pPr>
      <w:r>
        <w:rPr>
          <w:sz w:val="20"/>
          <w:szCs w:val="20"/>
        </w:rPr>
        <w:t>10</w:t>
      </w:r>
      <w:r>
        <w:rPr>
          <w:sz w:val="20"/>
          <w:szCs w:val="20"/>
        </w:rPr>
        <w:t>3</w:t>
      </w:r>
    </w:p>
    <w:p w14:paraId="34426C59" w14:textId="77777777" w:rsidR="00000000" w:rsidRDefault="002F725F">
      <w:pPr>
        <w:pStyle w:val="NormalWeb"/>
        <w:spacing w:before="0" w:beforeAutospacing="0" w:after="0" w:afterAutospacing="0"/>
        <w:divId w:val="1276600626"/>
        <w:rPr>
          <w:sz w:val="20"/>
          <w:szCs w:val="20"/>
        </w:rPr>
      </w:pPr>
      <w:r>
        <w:rPr>
          <w:sz w:val="20"/>
          <w:szCs w:val="20"/>
        </w:rPr>
        <w:t> </w:t>
      </w:r>
    </w:p>
    <w:p w14:paraId="73436187"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7B017804" w14:textId="77777777" w:rsidR="00000000" w:rsidRDefault="002F725F">
      <w:pPr>
        <w:pStyle w:val="NormalWeb"/>
        <w:spacing w:before="0" w:beforeAutospacing="0" w:after="0" w:afterAutospacing="0"/>
        <w:jc w:val="center"/>
        <w:divId w:val="415980837"/>
        <w:rPr>
          <w:sz w:val="20"/>
          <w:szCs w:val="20"/>
        </w:rPr>
      </w:pPr>
      <w:bookmarkStart w:id="30" w:name="gfpea028961701ex99-a1.htmk_011"/>
      <w:bookmarkEnd w:id="30"/>
      <w:r>
        <w:rPr>
          <w:b/>
          <w:bCs/>
          <w:sz w:val="20"/>
          <w:szCs w:val="20"/>
        </w:rPr>
        <w:t>SECURITY OWNERSHIP OF CERTAIN BENEFICIAL OWNERS</w:t>
      </w:r>
    </w:p>
    <w:p w14:paraId="02663AF3" w14:textId="77777777" w:rsidR="00000000" w:rsidRDefault="002F725F">
      <w:pPr>
        <w:pStyle w:val="NormalWeb"/>
        <w:spacing w:before="0" w:beforeAutospacing="0" w:after="0" w:afterAutospacing="0"/>
        <w:jc w:val="center"/>
        <w:divId w:val="415980837"/>
        <w:rPr>
          <w:sz w:val="20"/>
          <w:szCs w:val="20"/>
        </w:rPr>
      </w:pPr>
      <w:r>
        <w:rPr>
          <w:b/>
          <w:bCs/>
          <w:sz w:val="20"/>
          <w:szCs w:val="20"/>
        </w:rPr>
        <w:t xml:space="preserve">AND MANAGEMENT OF THE COMPANY </w:t>
      </w:r>
    </w:p>
    <w:p w14:paraId="26F03BBE"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930BC18" w14:textId="77777777" w:rsidR="00000000" w:rsidRDefault="002F725F">
      <w:pPr>
        <w:pStyle w:val="NormalWeb"/>
        <w:spacing w:before="0" w:beforeAutospacing="0" w:after="0" w:afterAutospacing="0"/>
        <w:ind w:firstLine="720"/>
        <w:divId w:val="415980837"/>
        <w:rPr>
          <w:sz w:val="20"/>
          <w:szCs w:val="20"/>
        </w:rPr>
      </w:pPr>
      <w:r>
        <w:rPr>
          <w:sz w:val="20"/>
          <w:szCs w:val="20"/>
        </w:rPr>
        <w:t xml:space="preserve">The following table sets forth information with respect to the beneficial </w:t>
      </w:r>
      <w:r>
        <w:rPr>
          <w:sz w:val="20"/>
          <w:szCs w:val="20"/>
        </w:rPr>
        <w:t>ownership of the Shares as of the date of this proxy statement, by:</w:t>
      </w:r>
    </w:p>
    <w:p w14:paraId="0DACCDEC" w14:textId="77777777" w:rsidR="00000000" w:rsidRDefault="002F725F">
      <w:pPr>
        <w:pStyle w:val="NormalWeb"/>
        <w:spacing w:before="0" w:beforeAutospacing="0" w:after="0" w:afterAutospacing="0"/>
        <w:ind w:firstLine="72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B33E117" w14:textId="77777777">
        <w:trPr>
          <w:divId w:val="415980837"/>
          <w:tblCellSpacing w:w="0" w:type="dxa"/>
        </w:trPr>
        <w:tc>
          <w:tcPr>
            <w:tcW w:w="720" w:type="dxa"/>
            <w:hideMark/>
          </w:tcPr>
          <w:p w14:paraId="39648B1C" w14:textId="77777777" w:rsidR="00000000" w:rsidRDefault="002F725F">
            <w:pPr>
              <w:rPr>
                <w:sz w:val="20"/>
                <w:szCs w:val="20"/>
              </w:rPr>
            </w:pPr>
          </w:p>
        </w:tc>
        <w:tc>
          <w:tcPr>
            <w:tcW w:w="360" w:type="dxa"/>
            <w:hideMark/>
          </w:tcPr>
          <w:p w14:paraId="613989BC" w14:textId="77777777" w:rsidR="00000000" w:rsidRDefault="002F725F">
            <w:pPr>
              <w:rPr>
                <w:rFonts w:eastAsia="Times New Roman"/>
                <w:sz w:val="20"/>
                <w:szCs w:val="20"/>
              </w:rPr>
            </w:pPr>
            <w:r>
              <w:rPr>
                <w:rFonts w:eastAsia="Times New Roman"/>
                <w:sz w:val="20"/>
                <w:szCs w:val="20"/>
              </w:rPr>
              <w:t>●</w:t>
            </w:r>
          </w:p>
        </w:tc>
        <w:tc>
          <w:tcPr>
            <w:tcW w:w="0" w:type="auto"/>
            <w:hideMark/>
          </w:tcPr>
          <w:p w14:paraId="7765E5F5" w14:textId="77777777" w:rsidR="00000000" w:rsidRDefault="002F725F">
            <w:pPr>
              <w:jc w:val="both"/>
              <w:rPr>
                <w:rFonts w:eastAsia="Times New Roman"/>
                <w:sz w:val="20"/>
                <w:szCs w:val="20"/>
              </w:rPr>
            </w:pPr>
            <w:r>
              <w:rPr>
                <w:rFonts w:eastAsia="Times New Roman"/>
                <w:sz w:val="20"/>
                <w:szCs w:val="20"/>
              </w:rPr>
              <w:t>each of the Company’s directors and executive officers;</w:t>
            </w:r>
          </w:p>
        </w:tc>
      </w:tr>
    </w:tbl>
    <w:p w14:paraId="304EF737"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60405F6" w14:textId="77777777">
        <w:trPr>
          <w:divId w:val="415980837"/>
          <w:tblCellSpacing w:w="0" w:type="dxa"/>
        </w:trPr>
        <w:tc>
          <w:tcPr>
            <w:tcW w:w="720" w:type="dxa"/>
            <w:hideMark/>
          </w:tcPr>
          <w:p w14:paraId="606EB3DF" w14:textId="77777777" w:rsidR="00000000" w:rsidRDefault="002F725F">
            <w:pPr>
              <w:rPr>
                <w:sz w:val="20"/>
                <w:szCs w:val="20"/>
              </w:rPr>
            </w:pPr>
          </w:p>
        </w:tc>
        <w:tc>
          <w:tcPr>
            <w:tcW w:w="360" w:type="dxa"/>
            <w:hideMark/>
          </w:tcPr>
          <w:p w14:paraId="11F76960" w14:textId="77777777" w:rsidR="00000000" w:rsidRDefault="002F725F">
            <w:pPr>
              <w:rPr>
                <w:rFonts w:eastAsia="Times New Roman"/>
                <w:sz w:val="20"/>
                <w:szCs w:val="20"/>
              </w:rPr>
            </w:pPr>
            <w:r>
              <w:rPr>
                <w:rFonts w:eastAsia="Times New Roman"/>
                <w:sz w:val="20"/>
                <w:szCs w:val="20"/>
              </w:rPr>
              <w:t>●</w:t>
            </w:r>
          </w:p>
        </w:tc>
        <w:tc>
          <w:tcPr>
            <w:tcW w:w="0" w:type="auto"/>
            <w:hideMark/>
          </w:tcPr>
          <w:p w14:paraId="5B9248E9" w14:textId="77777777" w:rsidR="00000000" w:rsidRDefault="002F725F">
            <w:pPr>
              <w:jc w:val="both"/>
              <w:rPr>
                <w:rFonts w:eastAsia="Times New Roman"/>
                <w:sz w:val="20"/>
                <w:szCs w:val="20"/>
              </w:rPr>
            </w:pPr>
            <w:r>
              <w:rPr>
                <w:rFonts w:eastAsia="Times New Roman"/>
                <w:sz w:val="20"/>
                <w:szCs w:val="20"/>
              </w:rPr>
              <w:t>the Company’s directors and executive officers as a group;</w:t>
            </w:r>
          </w:p>
        </w:tc>
      </w:tr>
    </w:tbl>
    <w:p w14:paraId="336576C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0C1D012" w14:textId="77777777">
        <w:trPr>
          <w:divId w:val="415980837"/>
          <w:tblCellSpacing w:w="0" w:type="dxa"/>
        </w:trPr>
        <w:tc>
          <w:tcPr>
            <w:tcW w:w="720" w:type="dxa"/>
            <w:hideMark/>
          </w:tcPr>
          <w:p w14:paraId="5689690F" w14:textId="77777777" w:rsidR="00000000" w:rsidRDefault="002F725F">
            <w:pPr>
              <w:rPr>
                <w:sz w:val="20"/>
                <w:szCs w:val="20"/>
              </w:rPr>
            </w:pPr>
          </w:p>
        </w:tc>
        <w:tc>
          <w:tcPr>
            <w:tcW w:w="360" w:type="dxa"/>
            <w:hideMark/>
          </w:tcPr>
          <w:p w14:paraId="70903EF6" w14:textId="77777777" w:rsidR="00000000" w:rsidRDefault="002F725F">
            <w:pPr>
              <w:rPr>
                <w:rFonts w:eastAsia="Times New Roman"/>
                <w:sz w:val="20"/>
                <w:szCs w:val="20"/>
              </w:rPr>
            </w:pPr>
            <w:r>
              <w:rPr>
                <w:rFonts w:eastAsia="Times New Roman"/>
                <w:sz w:val="20"/>
                <w:szCs w:val="20"/>
              </w:rPr>
              <w:t>●</w:t>
            </w:r>
          </w:p>
        </w:tc>
        <w:tc>
          <w:tcPr>
            <w:tcW w:w="0" w:type="auto"/>
            <w:hideMark/>
          </w:tcPr>
          <w:p w14:paraId="68CC4D63" w14:textId="77777777" w:rsidR="00000000" w:rsidRDefault="002F725F">
            <w:pPr>
              <w:jc w:val="both"/>
              <w:rPr>
                <w:rFonts w:eastAsia="Times New Roman"/>
                <w:sz w:val="20"/>
                <w:szCs w:val="20"/>
              </w:rPr>
            </w:pPr>
            <w:r>
              <w:rPr>
                <w:rFonts w:eastAsia="Times New Roman"/>
                <w:sz w:val="20"/>
                <w:szCs w:val="20"/>
              </w:rPr>
              <w:t>each person known to the Company to beneficially own more than 5.0% of the total issued and outstanding Shares; and</w:t>
            </w:r>
          </w:p>
        </w:tc>
      </w:tr>
    </w:tbl>
    <w:p w14:paraId="2657F4BE"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329F4E9" w14:textId="77777777">
        <w:trPr>
          <w:divId w:val="415980837"/>
          <w:tblCellSpacing w:w="0" w:type="dxa"/>
        </w:trPr>
        <w:tc>
          <w:tcPr>
            <w:tcW w:w="720" w:type="dxa"/>
            <w:hideMark/>
          </w:tcPr>
          <w:p w14:paraId="1754EB54" w14:textId="77777777" w:rsidR="00000000" w:rsidRDefault="002F725F">
            <w:pPr>
              <w:rPr>
                <w:sz w:val="20"/>
                <w:szCs w:val="20"/>
              </w:rPr>
            </w:pPr>
          </w:p>
        </w:tc>
        <w:tc>
          <w:tcPr>
            <w:tcW w:w="360" w:type="dxa"/>
            <w:hideMark/>
          </w:tcPr>
          <w:p w14:paraId="2FD4AD60" w14:textId="77777777" w:rsidR="00000000" w:rsidRDefault="002F725F">
            <w:pPr>
              <w:rPr>
                <w:rFonts w:eastAsia="Times New Roman"/>
                <w:sz w:val="20"/>
                <w:szCs w:val="20"/>
              </w:rPr>
            </w:pPr>
            <w:r>
              <w:rPr>
                <w:rFonts w:eastAsia="Times New Roman"/>
                <w:sz w:val="20"/>
                <w:szCs w:val="20"/>
              </w:rPr>
              <w:t>●</w:t>
            </w:r>
          </w:p>
        </w:tc>
        <w:tc>
          <w:tcPr>
            <w:tcW w:w="0" w:type="auto"/>
            <w:hideMark/>
          </w:tcPr>
          <w:p w14:paraId="0D0C1262" w14:textId="77777777" w:rsidR="00000000" w:rsidRDefault="002F725F">
            <w:pPr>
              <w:jc w:val="both"/>
              <w:rPr>
                <w:rFonts w:eastAsia="Times New Roman"/>
                <w:sz w:val="20"/>
                <w:szCs w:val="20"/>
              </w:rPr>
            </w:pPr>
            <w:r>
              <w:rPr>
                <w:rFonts w:eastAsia="Times New Roman"/>
                <w:sz w:val="20"/>
                <w:szCs w:val="20"/>
              </w:rPr>
              <w:t>each filing person and its directors and executive officers, as applicable.</w:t>
            </w:r>
          </w:p>
        </w:tc>
      </w:tr>
    </w:tbl>
    <w:p w14:paraId="1BA54C6D" w14:textId="77777777" w:rsidR="00000000" w:rsidRDefault="002F725F">
      <w:pPr>
        <w:pStyle w:val="NormalWeb"/>
        <w:spacing w:before="0" w:beforeAutospacing="0" w:after="0" w:afterAutospacing="0"/>
        <w:divId w:val="415980837"/>
        <w:rPr>
          <w:sz w:val="20"/>
          <w:szCs w:val="20"/>
        </w:rPr>
      </w:pPr>
      <w:r>
        <w:rPr>
          <w:sz w:val="20"/>
          <w:szCs w:val="20"/>
        </w:rPr>
        <w:t>  </w:t>
      </w:r>
    </w:p>
    <w:p w14:paraId="2F71AF27" w14:textId="77777777" w:rsidR="00000000" w:rsidRDefault="002F725F">
      <w:pPr>
        <w:pStyle w:val="NormalWeb"/>
        <w:spacing w:before="0" w:beforeAutospacing="0" w:after="0" w:afterAutospacing="0"/>
        <w:ind w:firstLine="720"/>
        <w:divId w:val="415980837"/>
        <w:rPr>
          <w:sz w:val="20"/>
          <w:szCs w:val="20"/>
        </w:rPr>
      </w:pPr>
      <w:r>
        <w:rPr>
          <w:sz w:val="20"/>
          <w:szCs w:val="20"/>
        </w:rPr>
        <w:t>The calculations in the table below are based on 41,21</w:t>
      </w:r>
      <w:r>
        <w:rPr>
          <w:sz w:val="20"/>
          <w:szCs w:val="20"/>
        </w:rPr>
        <w:t>2,693 Shares outstanding as of May 8, 2026.</w:t>
      </w:r>
    </w:p>
    <w:p w14:paraId="37593A2E" w14:textId="77777777" w:rsidR="00000000" w:rsidRDefault="002F725F">
      <w:pPr>
        <w:pStyle w:val="NormalWeb"/>
        <w:spacing w:before="0" w:beforeAutospacing="0" w:after="0" w:afterAutospacing="0"/>
        <w:ind w:firstLine="720"/>
        <w:divId w:val="415980837"/>
        <w:rPr>
          <w:sz w:val="20"/>
          <w:szCs w:val="20"/>
        </w:rPr>
      </w:pPr>
      <w:r>
        <w:rPr>
          <w:sz w:val="20"/>
          <w:szCs w:val="20"/>
        </w:rPr>
        <w:t> </w:t>
      </w:r>
    </w:p>
    <w:p w14:paraId="7519D21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Beneficial ownership is determined in accordance with the rules and regulations of the SEC. In computing the number of Shares beneficially owned by a person and the percentage ownership of that person, we have </w:t>
      </w:r>
      <w:r>
        <w:rPr>
          <w:sz w:val="20"/>
          <w:szCs w:val="20"/>
        </w:rPr>
        <w:t>included Shares that the person has the right to acquire within 60 days, including through the exercise of any option, warrant or other right or the conversion of any other security. These Shares, however, are not included in the computation of the percent</w:t>
      </w:r>
      <w:r>
        <w:rPr>
          <w:sz w:val="20"/>
          <w:szCs w:val="20"/>
        </w:rPr>
        <w:t>age ownership of any other person.</w:t>
      </w:r>
    </w:p>
    <w:p w14:paraId="7A9D703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7106"/>
        <w:gridCol w:w="86"/>
        <w:gridCol w:w="86"/>
        <w:gridCol w:w="901"/>
        <w:gridCol w:w="86"/>
        <w:gridCol w:w="86"/>
        <w:gridCol w:w="87"/>
        <w:gridCol w:w="835"/>
        <w:gridCol w:w="87"/>
      </w:tblGrid>
      <w:tr w:rsidR="00000000" w14:paraId="044E8803" w14:textId="77777777">
        <w:trPr>
          <w:divId w:val="415980837"/>
        </w:trPr>
        <w:tc>
          <w:tcPr>
            <w:tcW w:w="0" w:type="auto"/>
            <w:vAlign w:val="bottom"/>
            <w:hideMark/>
          </w:tcPr>
          <w:p w14:paraId="04E66F68" w14:textId="77777777" w:rsidR="00000000" w:rsidRDefault="002F725F">
            <w:pPr>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174CADA5" w14:textId="77777777" w:rsidR="00000000" w:rsidRDefault="002F725F">
            <w:pPr>
              <w:rPr>
                <w:rFonts w:eastAsia="Times New Roman"/>
                <w:b/>
                <w:bCs/>
                <w:sz w:val="20"/>
                <w:szCs w:val="20"/>
              </w:rPr>
            </w:pPr>
            <w:r>
              <w:rPr>
                <w:rFonts w:eastAsia="Times New Roman"/>
                <w:b/>
                <w:bCs/>
                <w:sz w:val="20"/>
                <w:szCs w:val="20"/>
              </w:rPr>
              <w:t> </w:t>
            </w:r>
          </w:p>
        </w:tc>
        <w:tc>
          <w:tcPr>
            <w:tcW w:w="0" w:type="auto"/>
            <w:gridSpan w:val="6"/>
            <w:tcBorders>
              <w:bottom w:val="single" w:sz="12" w:space="0" w:color="000000"/>
            </w:tcBorders>
            <w:vAlign w:val="bottom"/>
            <w:hideMark/>
          </w:tcPr>
          <w:p w14:paraId="73AE43A4" w14:textId="77777777" w:rsidR="00000000" w:rsidRDefault="002F725F">
            <w:pPr>
              <w:jc w:val="center"/>
              <w:rPr>
                <w:rFonts w:eastAsia="Times New Roman"/>
                <w:b/>
                <w:bCs/>
                <w:sz w:val="20"/>
                <w:szCs w:val="20"/>
              </w:rPr>
            </w:pPr>
            <w:r>
              <w:rPr>
                <w:rFonts w:eastAsia="Times New Roman"/>
                <w:b/>
                <w:bCs/>
                <w:sz w:val="20"/>
                <w:szCs w:val="20"/>
              </w:rPr>
              <w:t>Ordinary Shares</w:t>
            </w:r>
            <w:r>
              <w:rPr>
                <w:rFonts w:eastAsia="Times New Roman"/>
                <w:b/>
                <w:bCs/>
                <w:sz w:val="20"/>
                <w:szCs w:val="20"/>
              </w:rPr>
              <w:br/>
              <w:t>Beneficially Owned</w:t>
            </w:r>
          </w:p>
        </w:tc>
        <w:tc>
          <w:tcPr>
            <w:tcW w:w="0" w:type="auto"/>
            <w:tcMar>
              <w:top w:w="0" w:type="dxa"/>
              <w:left w:w="0" w:type="dxa"/>
              <w:bottom w:w="30" w:type="dxa"/>
              <w:right w:w="0" w:type="dxa"/>
            </w:tcMar>
            <w:vAlign w:val="bottom"/>
            <w:hideMark/>
          </w:tcPr>
          <w:p w14:paraId="7F65ED53" w14:textId="77777777" w:rsidR="00000000" w:rsidRDefault="002F725F">
            <w:pPr>
              <w:rPr>
                <w:rFonts w:eastAsia="Times New Roman"/>
                <w:b/>
                <w:bCs/>
                <w:sz w:val="20"/>
                <w:szCs w:val="20"/>
              </w:rPr>
            </w:pPr>
            <w:r>
              <w:rPr>
                <w:rFonts w:eastAsia="Times New Roman"/>
                <w:b/>
                <w:bCs/>
                <w:sz w:val="20"/>
                <w:szCs w:val="20"/>
              </w:rPr>
              <w:t> </w:t>
            </w:r>
          </w:p>
        </w:tc>
      </w:tr>
      <w:tr w:rsidR="00000000" w14:paraId="481CD35D" w14:textId="77777777">
        <w:trPr>
          <w:divId w:val="415980837"/>
        </w:trPr>
        <w:tc>
          <w:tcPr>
            <w:tcW w:w="0" w:type="auto"/>
            <w:vAlign w:val="bottom"/>
            <w:hideMark/>
          </w:tcPr>
          <w:p w14:paraId="53C47C22" w14:textId="77777777" w:rsidR="00000000" w:rsidRDefault="002F725F">
            <w:pPr>
              <w:rPr>
                <w:rFonts w:eastAsia="Times New Roman"/>
                <w:sz w:val="20"/>
                <w:szCs w:val="20"/>
              </w:rPr>
            </w:pPr>
            <w:r>
              <w:rPr>
                <w:rFonts w:eastAsia="Times New Roman"/>
                <w:sz w:val="20"/>
                <w:szCs w:val="20"/>
              </w:rPr>
              <w:t> </w:t>
            </w:r>
          </w:p>
        </w:tc>
        <w:tc>
          <w:tcPr>
            <w:tcW w:w="0" w:type="auto"/>
            <w:tcMar>
              <w:top w:w="0" w:type="dxa"/>
              <w:left w:w="0" w:type="dxa"/>
              <w:bottom w:w="30" w:type="dxa"/>
              <w:right w:w="0" w:type="dxa"/>
            </w:tcMar>
            <w:vAlign w:val="bottom"/>
            <w:hideMark/>
          </w:tcPr>
          <w:p w14:paraId="33DB022A"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73EEC89E" w14:textId="77777777" w:rsidR="00000000" w:rsidRDefault="002F725F">
            <w:pPr>
              <w:jc w:val="center"/>
              <w:rPr>
                <w:rFonts w:eastAsia="Times New Roman"/>
                <w:b/>
                <w:bCs/>
                <w:sz w:val="20"/>
                <w:szCs w:val="20"/>
              </w:rPr>
            </w:pPr>
            <w:r>
              <w:rPr>
                <w:rFonts w:eastAsia="Times New Roman"/>
                <w:b/>
                <w:bCs/>
                <w:sz w:val="20"/>
                <w:szCs w:val="20"/>
              </w:rPr>
              <w:t>Number</w:t>
            </w:r>
          </w:p>
        </w:tc>
        <w:tc>
          <w:tcPr>
            <w:tcW w:w="0" w:type="auto"/>
            <w:tcMar>
              <w:top w:w="0" w:type="dxa"/>
              <w:left w:w="0" w:type="dxa"/>
              <w:bottom w:w="30" w:type="dxa"/>
              <w:right w:w="0" w:type="dxa"/>
            </w:tcMar>
            <w:vAlign w:val="bottom"/>
            <w:hideMark/>
          </w:tcPr>
          <w:p w14:paraId="2A933A8E" w14:textId="77777777" w:rsidR="00000000" w:rsidRDefault="002F725F">
            <w:pPr>
              <w:rPr>
                <w:rFonts w:eastAsia="Times New Roman"/>
                <w:b/>
                <w:bCs/>
                <w:sz w:val="20"/>
                <w:szCs w:val="20"/>
              </w:rPr>
            </w:pPr>
            <w:r>
              <w:rPr>
                <w:rFonts w:eastAsia="Times New Roman"/>
                <w:b/>
                <w:bCs/>
                <w:sz w:val="20"/>
                <w:szCs w:val="20"/>
              </w:rPr>
              <w:t> </w:t>
            </w:r>
          </w:p>
        </w:tc>
        <w:tc>
          <w:tcPr>
            <w:tcW w:w="0" w:type="auto"/>
            <w:tcMar>
              <w:top w:w="0" w:type="dxa"/>
              <w:left w:w="0" w:type="dxa"/>
              <w:bottom w:w="30" w:type="dxa"/>
              <w:right w:w="0" w:type="dxa"/>
            </w:tcMar>
            <w:vAlign w:val="bottom"/>
            <w:hideMark/>
          </w:tcPr>
          <w:p w14:paraId="6D3A1574" w14:textId="77777777" w:rsidR="00000000" w:rsidRDefault="002F725F">
            <w:pPr>
              <w:rPr>
                <w:rFonts w:eastAsia="Times New Roman"/>
                <w:b/>
                <w:bCs/>
                <w:sz w:val="20"/>
                <w:szCs w:val="20"/>
              </w:rPr>
            </w:pPr>
            <w:r>
              <w:rPr>
                <w:rFonts w:eastAsia="Times New Roman"/>
                <w:b/>
                <w:bCs/>
                <w:sz w:val="20"/>
                <w:szCs w:val="20"/>
              </w:rPr>
              <w:t> </w:t>
            </w:r>
          </w:p>
        </w:tc>
        <w:tc>
          <w:tcPr>
            <w:tcW w:w="0" w:type="auto"/>
            <w:gridSpan w:val="2"/>
            <w:tcBorders>
              <w:bottom w:val="single" w:sz="12" w:space="0" w:color="000000"/>
            </w:tcBorders>
            <w:vAlign w:val="bottom"/>
            <w:hideMark/>
          </w:tcPr>
          <w:p w14:paraId="6855E1FF" w14:textId="77777777" w:rsidR="00000000" w:rsidRDefault="002F725F">
            <w:pPr>
              <w:jc w:val="center"/>
              <w:rPr>
                <w:rFonts w:eastAsia="Times New Roman"/>
                <w:b/>
                <w:bCs/>
                <w:sz w:val="20"/>
                <w:szCs w:val="20"/>
              </w:rPr>
            </w:pPr>
            <w:r>
              <w:rPr>
                <w:rFonts w:eastAsia="Times New Roman"/>
                <w:b/>
                <w:bCs/>
                <w:sz w:val="20"/>
                <w:szCs w:val="20"/>
              </w:rPr>
              <w:t>%</w:t>
            </w:r>
            <w:r>
              <w:rPr>
                <w:rFonts w:eastAsia="Times New Roman"/>
                <w:b/>
                <w:bCs/>
                <w:sz w:val="20"/>
                <w:szCs w:val="20"/>
                <w:vertAlign w:val="superscript"/>
              </w:rPr>
              <w:t>(1)</w:t>
            </w:r>
          </w:p>
        </w:tc>
        <w:tc>
          <w:tcPr>
            <w:tcW w:w="0" w:type="auto"/>
            <w:tcMar>
              <w:top w:w="0" w:type="dxa"/>
              <w:left w:w="0" w:type="dxa"/>
              <w:bottom w:w="30" w:type="dxa"/>
              <w:right w:w="0" w:type="dxa"/>
            </w:tcMar>
            <w:vAlign w:val="bottom"/>
            <w:hideMark/>
          </w:tcPr>
          <w:p w14:paraId="41CBF257" w14:textId="77777777" w:rsidR="00000000" w:rsidRDefault="002F725F">
            <w:pPr>
              <w:rPr>
                <w:rFonts w:eastAsia="Times New Roman"/>
                <w:b/>
                <w:bCs/>
                <w:sz w:val="20"/>
                <w:szCs w:val="20"/>
              </w:rPr>
            </w:pPr>
            <w:r>
              <w:rPr>
                <w:rFonts w:eastAsia="Times New Roman"/>
                <w:b/>
                <w:bCs/>
                <w:sz w:val="20"/>
                <w:szCs w:val="20"/>
              </w:rPr>
              <w:t> </w:t>
            </w:r>
          </w:p>
        </w:tc>
      </w:tr>
      <w:tr w:rsidR="00000000" w14:paraId="5B65B38D" w14:textId="77777777">
        <w:trPr>
          <w:divId w:val="415980837"/>
        </w:trPr>
        <w:tc>
          <w:tcPr>
            <w:tcW w:w="0" w:type="auto"/>
            <w:vAlign w:val="bottom"/>
            <w:hideMark/>
          </w:tcPr>
          <w:p w14:paraId="14E575DF" w14:textId="77777777" w:rsidR="00000000" w:rsidRDefault="002F725F">
            <w:pPr>
              <w:rPr>
                <w:rFonts w:eastAsia="Times New Roman"/>
                <w:b/>
                <w:bCs/>
                <w:sz w:val="20"/>
                <w:szCs w:val="20"/>
              </w:rPr>
            </w:pPr>
            <w:r>
              <w:rPr>
                <w:rFonts w:eastAsia="Times New Roman"/>
                <w:b/>
                <w:bCs/>
                <w:sz w:val="20"/>
                <w:szCs w:val="20"/>
              </w:rPr>
              <w:t>Directors and Executive Officers</w:t>
            </w:r>
          </w:p>
        </w:tc>
        <w:tc>
          <w:tcPr>
            <w:tcW w:w="0" w:type="auto"/>
            <w:vAlign w:val="bottom"/>
            <w:hideMark/>
          </w:tcPr>
          <w:p w14:paraId="41E7B2BF"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70C10ED8" w14:textId="77777777" w:rsidR="00000000" w:rsidRDefault="002F725F">
            <w:pPr>
              <w:jc w:val="right"/>
              <w:rPr>
                <w:rFonts w:eastAsia="Times New Roman"/>
                <w:sz w:val="20"/>
                <w:szCs w:val="20"/>
              </w:rPr>
            </w:pPr>
            <w:r>
              <w:rPr>
                <w:rFonts w:eastAsia="Times New Roman"/>
                <w:sz w:val="20"/>
                <w:szCs w:val="20"/>
              </w:rPr>
              <w:t> </w:t>
            </w:r>
          </w:p>
        </w:tc>
        <w:tc>
          <w:tcPr>
            <w:tcW w:w="0" w:type="auto"/>
            <w:vAlign w:val="bottom"/>
            <w:hideMark/>
          </w:tcPr>
          <w:p w14:paraId="39635CEB" w14:textId="77777777" w:rsidR="00000000" w:rsidRDefault="002F725F">
            <w:pPr>
              <w:rPr>
                <w:rFonts w:eastAsia="Times New Roman"/>
                <w:sz w:val="20"/>
                <w:szCs w:val="20"/>
              </w:rPr>
            </w:pPr>
            <w:r>
              <w:rPr>
                <w:rFonts w:eastAsia="Times New Roman"/>
                <w:sz w:val="20"/>
                <w:szCs w:val="20"/>
              </w:rPr>
              <w:t> </w:t>
            </w:r>
          </w:p>
        </w:tc>
        <w:tc>
          <w:tcPr>
            <w:tcW w:w="0" w:type="auto"/>
            <w:vAlign w:val="bottom"/>
            <w:hideMark/>
          </w:tcPr>
          <w:p w14:paraId="33F0854E" w14:textId="77777777" w:rsidR="00000000" w:rsidRDefault="002F725F">
            <w:pPr>
              <w:rPr>
                <w:rFonts w:eastAsia="Times New Roman"/>
                <w:sz w:val="20"/>
                <w:szCs w:val="20"/>
              </w:rPr>
            </w:pPr>
            <w:r>
              <w:rPr>
                <w:rFonts w:eastAsia="Times New Roman"/>
                <w:sz w:val="20"/>
                <w:szCs w:val="20"/>
              </w:rPr>
              <w:t> </w:t>
            </w:r>
          </w:p>
        </w:tc>
        <w:tc>
          <w:tcPr>
            <w:tcW w:w="0" w:type="auto"/>
            <w:gridSpan w:val="2"/>
            <w:vAlign w:val="bottom"/>
            <w:hideMark/>
          </w:tcPr>
          <w:p w14:paraId="2D36C453" w14:textId="77777777" w:rsidR="00000000" w:rsidRDefault="002F725F">
            <w:pPr>
              <w:jc w:val="right"/>
              <w:rPr>
                <w:rFonts w:eastAsia="Times New Roman"/>
                <w:sz w:val="20"/>
                <w:szCs w:val="20"/>
              </w:rPr>
            </w:pPr>
            <w:r>
              <w:rPr>
                <w:rFonts w:eastAsia="Times New Roman"/>
                <w:sz w:val="20"/>
                <w:szCs w:val="20"/>
              </w:rPr>
              <w:t> </w:t>
            </w:r>
          </w:p>
        </w:tc>
        <w:tc>
          <w:tcPr>
            <w:tcW w:w="0" w:type="auto"/>
            <w:vAlign w:val="bottom"/>
            <w:hideMark/>
          </w:tcPr>
          <w:p w14:paraId="29166677" w14:textId="77777777" w:rsidR="00000000" w:rsidRDefault="002F725F">
            <w:pPr>
              <w:rPr>
                <w:rFonts w:eastAsia="Times New Roman"/>
                <w:sz w:val="20"/>
                <w:szCs w:val="20"/>
              </w:rPr>
            </w:pPr>
            <w:r>
              <w:rPr>
                <w:rFonts w:eastAsia="Times New Roman"/>
                <w:sz w:val="20"/>
                <w:szCs w:val="20"/>
              </w:rPr>
              <w:t> </w:t>
            </w:r>
          </w:p>
        </w:tc>
      </w:tr>
      <w:tr w:rsidR="00000000" w14:paraId="15246578" w14:textId="77777777">
        <w:trPr>
          <w:divId w:val="415980837"/>
        </w:trPr>
        <w:tc>
          <w:tcPr>
            <w:tcW w:w="0" w:type="auto"/>
            <w:shd w:val="clear" w:color="auto" w:fill="CCEEFF"/>
            <w:vAlign w:val="bottom"/>
            <w:hideMark/>
          </w:tcPr>
          <w:p w14:paraId="67A61DA2" w14:textId="77777777" w:rsidR="00000000" w:rsidRDefault="002F725F">
            <w:pPr>
              <w:rPr>
                <w:rFonts w:eastAsia="Times New Roman"/>
                <w:sz w:val="20"/>
                <w:szCs w:val="20"/>
              </w:rPr>
            </w:pPr>
            <w:r>
              <w:rPr>
                <w:rFonts w:eastAsia="Times New Roman"/>
                <w:sz w:val="20"/>
                <w:szCs w:val="20"/>
              </w:rPr>
              <w:t>Yue (Pierson) Pan</w:t>
            </w:r>
          </w:p>
        </w:tc>
        <w:tc>
          <w:tcPr>
            <w:tcW w:w="0" w:type="auto"/>
            <w:shd w:val="clear" w:color="auto" w:fill="CCEEFF"/>
            <w:vAlign w:val="bottom"/>
            <w:hideMark/>
          </w:tcPr>
          <w:p w14:paraId="6ACBC1E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5DA333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EEB109B"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5AE8E56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3B6354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026C4D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A5AB3CB"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24B02912" w14:textId="77777777" w:rsidR="00000000" w:rsidRDefault="002F725F">
            <w:pPr>
              <w:rPr>
                <w:rFonts w:eastAsia="Times New Roman"/>
                <w:sz w:val="20"/>
                <w:szCs w:val="20"/>
              </w:rPr>
            </w:pPr>
            <w:r>
              <w:rPr>
                <w:rFonts w:eastAsia="Times New Roman"/>
                <w:sz w:val="20"/>
                <w:szCs w:val="20"/>
              </w:rPr>
              <w:t> </w:t>
            </w:r>
          </w:p>
        </w:tc>
      </w:tr>
      <w:tr w:rsidR="00000000" w14:paraId="7686F6CB" w14:textId="77777777">
        <w:trPr>
          <w:divId w:val="415980837"/>
        </w:trPr>
        <w:tc>
          <w:tcPr>
            <w:tcW w:w="3800" w:type="pct"/>
            <w:shd w:val="clear" w:color="auto" w:fill="FFFFFF"/>
            <w:vAlign w:val="bottom"/>
            <w:hideMark/>
          </w:tcPr>
          <w:p w14:paraId="30555C79" w14:textId="77777777" w:rsidR="00000000" w:rsidRDefault="002F725F">
            <w:pPr>
              <w:rPr>
                <w:rFonts w:eastAsia="Times New Roman"/>
                <w:sz w:val="20"/>
                <w:szCs w:val="20"/>
              </w:rPr>
            </w:pPr>
            <w:r>
              <w:rPr>
                <w:rFonts w:eastAsia="Times New Roman"/>
                <w:sz w:val="20"/>
                <w:szCs w:val="20"/>
              </w:rPr>
              <w:t>Xu Wang</w:t>
            </w:r>
          </w:p>
        </w:tc>
        <w:tc>
          <w:tcPr>
            <w:tcW w:w="50" w:type="pct"/>
            <w:shd w:val="clear" w:color="auto" w:fill="FFFFFF"/>
            <w:vAlign w:val="bottom"/>
            <w:hideMark/>
          </w:tcPr>
          <w:p w14:paraId="55C96A6B"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2B046A42"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FFFFFF"/>
            <w:vAlign w:val="bottom"/>
            <w:hideMark/>
          </w:tcPr>
          <w:p w14:paraId="636D2238" w14:textId="77777777" w:rsidR="00000000" w:rsidRDefault="002F725F">
            <w:pPr>
              <w:jc w:val="right"/>
              <w:rPr>
                <w:rFonts w:eastAsia="Times New Roman"/>
                <w:sz w:val="20"/>
                <w:szCs w:val="20"/>
              </w:rPr>
            </w:pPr>
            <w:r>
              <w:rPr>
                <w:rFonts w:eastAsia="Times New Roman"/>
                <w:sz w:val="20"/>
                <w:szCs w:val="20"/>
              </w:rPr>
              <w:t>101,732</w:t>
            </w:r>
          </w:p>
        </w:tc>
        <w:tc>
          <w:tcPr>
            <w:tcW w:w="50" w:type="pct"/>
            <w:shd w:val="clear" w:color="auto" w:fill="FFFFFF"/>
            <w:vAlign w:val="bottom"/>
            <w:hideMark/>
          </w:tcPr>
          <w:p w14:paraId="6CC699AE"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1A02922A" w14:textId="77777777" w:rsidR="00000000" w:rsidRDefault="002F725F">
            <w:pPr>
              <w:rPr>
                <w:rFonts w:eastAsia="Times New Roman"/>
                <w:sz w:val="20"/>
                <w:szCs w:val="20"/>
              </w:rPr>
            </w:pPr>
            <w:r>
              <w:rPr>
                <w:rFonts w:eastAsia="Times New Roman"/>
                <w:sz w:val="20"/>
                <w:szCs w:val="20"/>
              </w:rPr>
              <w:t> </w:t>
            </w:r>
          </w:p>
        </w:tc>
        <w:tc>
          <w:tcPr>
            <w:tcW w:w="50" w:type="pct"/>
            <w:shd w:val="clear" w:color="auto" w:fill="FFFFFF"/>
            <w:vAlign w:val="bottom"/>
            <w:hideMark/>
          </w:tcPr>
          <w:p w14:paraId="6FAE02BD" w14:textId="77777777" w:rsidR="00000000" w:rsidRDefault="002F725F">
            <w:pPr>
              <w:rPr>
                <w:rFonts w:eastAsia="Times New Roman"/>
                <w:sz w:val="20"/>
                <w:szCs w:val="20"/>
              </w:rPr>
            </w:pPr>
            <w:r>
              <w:rPr>
                <w:rFonts w:eastAsia="Times New Roman"/>
                <w:sz w:val="20"/>
                <w:szCs w:val="20"/>
              </w:rPr>
              <w:t> </w:t>
            </w:r>
          </w:p>
        </w:tc>
        <w:tc>
          <w:tcPr>
            <w:tcW w:w="450" w:type="pct"/>
            <w:shd w:val="clear" w:color="auto" w:fill="FFFFFF"/>
            <w:vAlign w:val="bottom"/>
            <w:hideMark/>
          </w:tcPr>
          <w:p w14:paraId="01ABF052" w14:textId="77777777" w:rsidR="00000000" w:rsidRDefault="002F725F">
            <w:pPr>
              <w:jc w:val="right"/>
              <w:rPr>
                <w:rFonts w:eastAsia="Times New Roman"/>
                <w:sz w:val="20"/>
                <w:szCs w:val="20"/>
              </w:rPr>
            </w:pPr>
            <w:r>
              <w:rPr>
                <w:rFonts w:eastAsia="Times New Roman"/>
                <w:sz w:val="20"/>
                <w:szCs w:val="20"/>
              </w:rPr>
              <w:t>0.2</w:t>
            </w:r>
          </w:p>
        </w:tc>
        <w:tc>
          <w:tcPr>
            <w:tcW w:w="50" w:type="pct"/>
            <w:shd w:val="clear" w:color="auto" w:fill="FFFFFF"/>
            <w:vAlign w:val="bottom"/>
            <w:hideMark/>
          </w:tcPr>
          <w:p w14:paraId="3C2F1D61" w14:textId="77777777" w:rsidR="00000000" w:rsidRDefault="002F725F">
            <w:pPr>
              <w:rPr>
                <w:rFonts w:eastAsia="Times New Roman"/>
                <w:sz w:val="20"/>
                <w:szCs w:val="20"/>
              </w:rPr>
            </w:pPr>
            <w:r>
              <w:rPr>
                <w:rFonts w:eastAsia="Times New Roman"/>
                <w:sz w:val="20"/>
                <w:szCs w:val="20"/>
              </w:rPr>
              <w:t> </w:t>
            </w:r>
          </w:p>
        </w:tc>
      </w:tr>
      <w:tr w:rsidR="00000000" w14:paraId="6A38E8D0" w14:textId="77777777">
        <w:trPr>
          <w:divId w:val="415980837"/>
        </w:trPr>
        <w:tc>
          <w:tcPr>
            <w:tcW w:w="0" w:type="auto"/>
            <w:shd w:val="clear" w:color="auto" w:fill="CCEEFF"/>
            <w:vAlign w:val="bottom"/>
            <w:hideMark/>
          </w:tcPr>
          <w:p w14:paraId="32B6B173" w14:textId="77777777" w:rsidR="00000000" w:rsidRDefault="002F725F">
            <w:pPr>
              <w:rPr>
                <w:rFonts w:eastAsia="Times New Roman"/>
                <w:sz w:val="20"/>
                <w:szCs w:val="20"/>
              </w:rPr>
            </w:pPr>
            <w:r>
              <w:rPr>
                <w:rFonts w:eastAsia="Times New Roman"/>
                <w:sz w:val="20"/>
                <w:szCs w:val="20"/>
              </w:rPr>
              <w:t>Rui (Rachel) Yu</w:t>
            </w:r>
          </w:p>
        </w:tc>
        <w:tc>
          <w:tcPr>
            <w:tcW w:w="0" w:type="auto"/>
            <w:shd w:val="clear" w:color="auto" w:fill="CCEEFF"/>
            <w:vAlign w:val="bottom"/>
            <w:hideMark/>
          </w:tcPr>
          <w:p w14:paraId="25C24B3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9CD416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253930B" w14:textId="77777777" w:rsidR="00000000" w:rsidRDefault="002F725F">
            <w:pPr>
              <w:jc w:val="right"/>
              <w:rPr>
                <w:rFonts w:eastAsia="Times New Roman"/>
                <w:sz w:val="20"/>
                <w:szCs w:val="20"/>
              </w:rPr>
            </w:pPr>
            <w:r>
              <w:rPr>
                <w:rFonts w:eastAsia="Times New Roman"/>
                <w:sz w:val="20"/>
                <w:szCs w:val="20"/>
              </w:rPr>
              <w:t>101,732</w:t>
            </w:r>
          </w:p>
        </w:tc>
        <w:tc>
          <w:tcPr>
            <w:tcW w:w="0" w:type="auto"/>
            <w:shd w:val="clear" w:color="auto" w:fill="CCEEFF"/>
            <w:vAlign w:val="bottom"/>
            <w:hideMark/>
          </w:tcPr>
          <w:p w14:paraId="1B3CD96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86DE89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B7FBE7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EBAD97B" w14:textId="77777777" w:rsidR="00000000" w:rsidRDefault="002F725F">
            <w:pPr>
              <w:jc w:val="right"/>
              <w:rPr>
                <w:rFonts w:eastAsia="Times New Roman"/>
                <w:sz w:val="20"/>
                <w:szCs w:val="20"/>
              </w:rPr>
            </w:pPr>
            <w:r>
              <w:rPr>
                <w:rFonts w:eastAsia="Times New Roman"/>
                <w:sz w:val="20"/>
                <w:szCs w:val="20"/>
              </w:rPr>
              <w:t>0.2</w:t>
            </w:r>
          </w:p>
        </w:tc>
        <w:tc>
          <w:tcPr>
            <w:tcW w:w="0" w:type="auto"/>
            <w:shd w:val="clear" w:color="auto" w:fill="CCEEFF"/>
            <w:vAlign w:val="bottom"/>
            <w:hideMark/>
          </w:tcPr>
          <w:p w14:paraId="11364670" w14:textId="77777777" w:rsidR="00000000" w:rsidRDefault="002F725F">
            <w:pPr>
              <w:rPr>
                <w:rFonts w:eastAsia="Times New Roman"/>
                <w:sz w:val="20"/>
                <w:szCs w:val="20"/>
              </w:rPr>
            </w:pPr>
            <w:r>
              <w:rPr>
                <w:rFonts w:eastAsia="Times New Roman"/>
                <w:sz w:val="20"/>
                <w:szCs w:val="20"/>
              </w:rPr>
              <w:t> </w:t>
            </w:r>
          </w:p>
        </w:tc>
      </w:tr>
      <w:tr w:rsidR="00000000" w14:paraId="4194F1F4" w14:textId="77777777">
        <w:trPr>
          <w:divId w:val="415980837"/>
        </w:trPr>
        <w:tc>
          <w:tcPr>
            <w:tcW w:w="0" w:type="auto"/>
            <w:shd w:val="clear" w:color="auto" w:fill="FFFFFF"/>
            <w:vAlign w:val="bottom"/>
            <w:hideMark/>
          </w:tcPr>
          <w:p w14:paraId="24486142" w14:textId="77777777" w:rsidR="00000000" w:rsidRDefault="002F725F">
            <w:pPr>
              <w:rPr>
                <w:rFonts w:eastAsia="Times New Roman"/>
                <w:sz w:val="20"/>
                <w:szCs w:val="20"/>
              </w:rPr>
            </w:pPr>
            <w:r>
              <w:rPr>
                <w:rFonts w:eastAsia="Times New Roman"/>
                <w:sz w:val="20"/>
                <w:szCs w:val="20"/>
              </w:rPr>
              <w:t>Dr. Hui (David) Shao</w:t>
            </w:r>
            <w:r>
              <w:rPr>
                <w:rFonts w:eastAsia="Times New Roman"/>
                <w:sz w:val="20"/>
                <w:szCs w:val="20"/>
                <w:vertAlign w:val="superscript"/>
              </w:rPr>
              <w:t>(2)</w:t>
            </w:r>
          </w:p>
        </w:tc>
        <w:tc>
          <w:tcPr>
            <w:tcW w:w="0" w:type="auto"/>
            <w:shd w:val="clear" w:color="auto" w:fill="FFFFFF"/>
            <w:vAlign w:val="bottom"/>
            <w:hideMark/>
          </w:tcPr>
          <w:p w14:paraId="07C7F7D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D7AFAC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1F33C59" w14:textId="77777777" w:rsidR="00000000" w:rsidRDefault="002F725F">
            <w:pPr>
              <w:jc w:val="right"/>
              <w:rPr>
                <w:rFonts w:eastAsia="Times New Roman"/>
                <w:sz w:val="20"/>
                <w:szCs w:val="20"/>
              </w:rPr>
            </w:pPr>
            <w:r>
              <w:rPr>
                <w:rFonts w:eastAsia="Times New Roman"/>
                <w:sz w:val="20"/>
                <w:szCs w:val="20"/>
              </w:rPr>
              <w:t>313,638</w:t>
            </w:r>
          </w:p>
        </w:tc>
        <w:tc>
          <w:tcPr>
            <w:tcW w:w="0" w:type="auto"/>
            <w:shd w:val="clear" w:color="auto" w:fill="FFFFFF"/>
            <w:vAlign w:val="bottom"/>
            <w:hideMark/>
          </w:tcPr>
          <w:p w14:paraId="3B5EE19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200839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8C4303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97B507B" w14:textId="77777777" w:rsidR="00000000" w:rsidRDefault="002F725F">
            <w:pPr>
              <w:jc w:val="right"/>
              <w:rPr>
                <w:rFonts w:eastAsia="Times New Roman"/>
                <w:sz w:val="20"/>
                <w:szCs w:val="20"/>
              </w:rPr>
            </w:pPr>
            <w:r>
              <w:rPr>
                <w:rFonts w:eastAsia="Times New Roman"/>
                <w:sz w:val="20"/>
                <w:szCs w:val="20"/>
              </w:rPr>
              <w:t>0.8</w:t>
            </w:r>
          </w:p>
        </w:tc>
        <w:tc>
          <w:tcPr>
            <w:tcW w:w="0" w:type="auto"/>
            <w:shd w:val="clear" w:color="auto" w:fill="FFFFFF"/>
            <w:vAlign w:val="bottom"/>
            <w:hideMark/>
          </w:tcPr>
          <w:p w14:paraId="5ACB3AA0" w14:textId="77777777" w:rsidR="00000000" w:rsidRDefault="002F725F">
            <w:pPr>
              <w:rPr>
                <w:rFonts w:eastAsia="Times New Roman"/>
                <w:sz w:val="20"/>
                <w:szCs w:val="20"/>
              </w:rPr>
            </w:pPr>
            <w:r>
              <w:rPr>
                <w:rFonts w:eastAsia="Times New Roman"/>
                <w:sz w:val="20"/>
                <w:szCs w:val="20"/>
              </w:rPr>
              <w:t> </w:t>
            </w:r>
          </w:p>
        </w:tc>
      </w:tr>
      <w:tr w:rsidR="00000000" w14:paraId="34BEB321" w14:textId="77777777">
        <w:trPr>
          <w:divId w:val="415980837"/>
        </w:trPr>
        <w:tc>
          <w:tcPr>
            <w:tcW w:w="0" w:type="auto"/>
            <w:shd w:val="clear" w:color="auto" w:fill="CCEEFF"/>
            <w:vAlign w:val="bottom"/>
            <w:hideMark/>
          </w:tcPr>
          <w:p w14:paraId="0A12F1B7" w14:textId="77777777" w:rsidR="00000000" w:rsidRDefault="002F725F">
            <w:pPr>
              <w:rPr>
                <w:rFonts w:eastAsia="Times New Roman"/>
                <w:sz w:val="20"/>
                <w:szCs w:val="20"/>
              </w:rPr>
            </w:pPr>
            <w:r>
              <w:rPr>
                <w:rFonts w:eastAsia="Times New Roman"/>
                <w:sz w:val="20"/>
                <w:szCs w:val="20"/>
              </w:rPr>
              <w:t>Jutao (Adam) Zhao</w:t>
            </w:r>
          </w:p>
        </w:tc>
        <w:tc>
          <w:tcPr>
            <w:tcW w:w="0" w:type="auto"/>
            <w:shd w:val="clear" w:color="auto" w:fill="CCEEFF"/>
            <w:vAlign w:val="bottom"/>
            <w:hideMark/>
          </w:tcPr>
          <w:p w14:paraId="13CFA55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005D1D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A510964"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31E20FB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881461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26A575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4A66C6A"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5F9A1258" w14:textId="77777777" w:rsidR="00000000" w:rsidRDefault="002F725F">
            <w:pPr>
              <w:rPr>
                <w:rFonts w:eastAsia="Times New Roman"/>
                <w:sz w:val="20"/>
                <w:szCs w:val="20"/>
              </w:rPr>
            </w:pPr>
            <w:r>
              <w:rPr>
                <w:rFonts w:eastAsia="Times New Roman"/>
                <w:sz w:val="20"/>
                <w:szCs w:val="20"/>
              </w:rPr>
              <w:t> </w:t>
            </w:r>
          </w:p>
        </w:tc>
      </w:tr>
      <w:tr w:rsidR="00000000" w14:paraId="22DABC4F" w14:textId="77777777">
        <w:trPr>
          <w:divId w:val="415980837"/>
        </w:trPr>
        <w:tc>
          <w:tcPr>
            <w:tcW w:w="0" w:type="auto"/>
            <w:shd w:val="clear" w:color="auto" w:fill="FFFFFF"/>
            <w:vAlign w:val="bottom"/>
            <w:hideMark/>
          </w:tcPr>
          <w:p w14:paraId="12EAC7D1" w14:textId="77777777" w:rsidR="00000000" w:rsidRDefault="002F725F">
            <w:pPr>
              <w:rPr>
                <w:rFonts w:eastAsia="Times New Roman"/>
                <w:sz w:val="20"/>
                <w:szCs w:val="20"/>
              </w:rPr>
            </w:pPr>
            <w:r>
              <w:rPr>
                <w:rFonts w:eastAsia="Times New Roman"/>
                <w:sz w:val="20"/>
                <w:szCs w:val="20"/>
              </w:rPr>
              <w:t>Linnan (Thomas) Xue</w:t>
            </w:r>
          </w:p>
        </w:tc>
        <w:tc>
          <w:tcPr>
            <w:tcW w:w="0" w:type="auto"/>
            <w:shd w:val="clear" w:color="auto" w:fill="FFFFFF"/>
            <w:vAlign w:val="bottom"/>
            <w:hideMark/>
          </w:tcPr>
          <w:p w14:paraId="540053B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B97CB6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962EBEE"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63020E8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0F4680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B47883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242991A"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6FF84778" w14:textId="77777777" w:rsidR="00000000" w:rsidRDefault="002F725F">
            <w:pPr>
              <w:rPr>
                <w:rFonts w:eastAsia="Times New Roman"/>
                <w:sz w:val="20"/>
                <w:szCs w:val="20"/>
              </w:rPr>
            </w:pPr>
            <w:r>
              <w:rPr>
                <w:rFonts w:eastAsia="Times New Roman"/>
                <w:sz w:val="20"/>
                <w:szCs w:val="20"/>
              </w:rPr>
              <w:t> </w:t>
            </w:r>
          </w:p>
        </w:tc>
      </w:tr>
      <w:tr w:rsidR="00000000" w14:paraId="63F9981F" w14:textId="77777777">
        <w:trPr>
          <w:divId w:val="415980837"/>
        </w:trPr>
        <w:tc>
          <w:tcPr>
            <w:tcW w:w="0" w:type="auto"/>
            <w:shd w:val="clear" w:color="auto" w:fill="CCEEFF"/>
            <w:vAlign w:val="bottom"/>
            <w:hideMark/>
          </w:tcPr>
          <w:p w14:paraId="3C76E3F6" w14:textId="77777777" w:rsidR="00000000" w:rsidRDefault="002F725F">
            <w:pPr>
              <w:rPr>
                <w:rFonts w:eastAsia="Times New Roman"/>
                <w:sz w:val="20"/>
                <w:szCs w:val="20"/>
              </w:rPr>
            </w:pPr>
            <w:r>
              <w:rPr>
                <w:rFonts w:eastAsia="Times New Roman"/>
                <w:sz w:val="20"/>
                <w:szCs w:val="20"/>
              </w:rPr>
              <w:t>Chunyang Shao</w:t>
            </w:r>
          </w:p>
        </w:tc>
        <w:tc>
          <w:tcPr>
            <w:tcW w:w="0" w:type="auto"/>
            <w:shd w:val="clear" w:color="auto" w:fill="CCEEFF"/>
            <w:vAlign w:val="bottom"/>
            <w:hideMark/>
          </w:tcPr>
          <w:p w14:paraId="3814363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A710B1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DC337C9"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2540105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5BF5F7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9BD9F1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A8BEBF3"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24E79987" w14:textId="77777777" w:rsidR="00000000" w:rsidRDefault="002F725F">
            <w:pPr>
              <w:rPr>
                <w:rFonts w:eastAsia="Times New Roman"/>
                <w:sz w:val="20"/>
                <w:szCs w:val="20"/>
              </w:rPr>
            </w:pPr>
            <w:r>
              <w:rPr>
                <w:rFonts w:eastAsia="Times New Roman"/>
                <w:sz w:val="20"/>
                <w:szCs w:val="20"/>
              </w:rPr>
              <w:t> </w:t>
            </w:r>
          </w:p>
        </w:tc>
      </w:tr>
      <w:tr w:rsidR="00000000" w14:paraId="0292EF73" w14:textId="77777777">
        <w:trPr>
          <w:divId w:val="415980837"/>
        </w:trPr>
        <w:tc>
          <w:tcPr>
            <w:tcW w:w="0" w:type="auto"/>
            <w:shd w:val="clear" w:color="auto" w:fill="FFFFFF"/>
            <w:vAlign w:val="bottom"/>
            <w:hideMark/>
          </w:tcPr>
          <w:p w14:paraId="794DD36C" w14:textId="77777777" w:rsidR="00000000" w:rsidRDefault="002F725F">
            <w:pPr>
              <w:rPr>
                <w:rFonts w:eastAsia="Times New Roman"/>
                <w:sz w:val="20"/>
                <w:szCs w:val="20"/>
              </w:rPr>
            </w:pPr>
            <w:r>
              <w:rPr>
                <w:rFonts w:eastAsia="Times New Roman"/>
                <w:sz w:val="20"/>
                <w:szCs w:val="20"/>
              </w:rPr>
              <w:t>Dr. Yuan Liu</w:t>
            </w:r>
          </w:p>
        </w:tc>
        <w:tc>
          <w:tcPr>
            <w:tcW w:w="0" w:type="auto"/>
            <w:shd w:val="clear" w:color="auto" w:fill="FFFFFF"/>
            <w:vAlign w:val="bottom"/>
            <w:hideMark/>
          </w:tcPr>
          <w:p w14:paraId="39B4C13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665DCF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CDA8BC0"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1730426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1705AC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E57A40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33CF75D"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FFFFFF"/>
            <w:vAlign w:val="bottom"/>
            <w:hideMark/>
          </w:tcPr>
          <w:p w14:paraId="14EA7B90" w14:textId="77777777" w:rsidR="00000000" w:rsidRDefault="002F725F">
            <w:pPr>
              <w:rPr>
                <w:rFonts w:eastAsia="Times New Roman"/>
                <w:sz w:val="20"/>
                <w:szCs w:val="20"/>
              </w:rPr>
            </w:pPr>
            <w:r>
              <w:rPr>
                <w:rFonts w:eastAsia="Times New Roman"/>
                <w:sz w:val="20"/>
                <w:szCs w:val="20"/>
              </w:rPr>
              <w:t> </w:t>
            </w:r>
          </w:p>
        </w:tc>
      </w:tr>
      <w:tr w:rsidR="00000000" w14:paraId="5B408E7A" w14:textId="77777777">
        <w:trPr>
          <w:divId w:val="415980837"/>
        </w:trPr>
        <w:tc>
          <w:tcPr>
            <w:tcW w:w="0" w:type="auto"/>
            <w:shd w:val="clear" w:color="auto" w:fill="CCEEFF"/>
            <w:vAlign w:val="bottom"/>
            <w:hideMark/>
          </w:tcPr>
          <w:p w14:paraId="59F8C1BA" w14:textId="77777777" w:rsidR="00000000" w:rsidRDefault="002F725F">
            <w:pPr>
              <w:rPr>
                <w:rFonts w:eastAsia="Times New Roman"/>
                <w:sz w:val="20"/>
                <w:szCs w:val="20"/>
              </w:rPr>
            </w:pPr>
            <w:r>
              <w:rPr>
                <w:rFonts w:eastAsia="Times New Roman"/>
                <w:sz w:val="20"/>
                <w:szCs w:val="20"/>
              </w:rPr>
              <w:t>Zhiyuan Ran</w:t>
            </w:r>
          </w:p>
        </w:tc>
        <w:tc>
          <w:tcPr>
            <w:tcW w:w="0" w:type="auto"/>
            <w:shd w:val="clear" w:color="auto" w:fill="CCEEFF"/>
            <w:vAlign w:val="bottom"/>
            <w:hideMark/>
          </w:tcPr>
          <w:p w14:paraId="372CEA3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12140A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3BB15C0"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3B3E259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A35E11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008D5C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DFEAD8E" w14:textId="77777777" w:rsidR="00000000" w:rsidRDefault="002F725F">
            <w:pPr>
              <w:jc w:val="right"/>
              <w:rPr>
                <w:rFonts w:eastAsia="Times New Roman"/>
                <w:sz w:val="20"/>
                <w:szCs w:val="20"/>
              </w:rPr>
            </w:pPr>
            <w:r>
              <w:rPr>
                <w:rFonts w:eastAsia="Times New Roman"/>
                <w:sz w:val="20"/>
                <w:szCs w:val="20"/>
              </w:rPr>
              <w:t>—</w:t>
            </w:r>
          </w:p>
        </w:tc>
        <w:tc>
          <w:tcPr>
            <w:tcW w:w="0" w:type="auto"/>
            <w:shd w:val="clear" w:color="auto" w:fill="CCEEFF"/>
            <w:vAlign w:val="bottom"/>
            <w:hideMark/>
          </w:tcPr>
          <w:p w14:paraId="3E54EE23" w14:textId="77777777" w:rsidR="00000000" w:rsidRDefault="002F725F">
            <w:pPr>
              <w:rPr>
                <w:rFonts w:eastAsia="Times New Roman"/>
                <w:sz w:val="20"/>
                <w:szCs w:val="20"/>
              </w:rPr>
            </w:pPr>
            <w:r>
              <w:rPr>
                <w:rFonts w:eastAsia="Times New Roman"/>
                <w:sz w:val="20"/>
                <w:szCs w:val="20"/>
              </w:rPr>
              <w:t> </w:t>
            </w:r>
          </w:p>
        </w:tc>
      </w:tr>
      <w:tr w:rsidR="00000000" w14:paraId="1A785BA6" w14:textId="77777777">
        <w:trPr>
          <w:divId w:val="415980837"/>
        </w:trPr>
        <w:tc>
          <w:tcPr>
            <w:tcW w:w="0" w:type="auto"/>
            <w:shd w:val="clear" w:color="auto" w:fill="FFFFFF"/>
            <w:vAlign w:val="bottom"/>
            <w:hideMark/>
          </w:tcPr>
          <w:p w14:paraId="56A6CF63" w14:textId="77777777" w:rsidR="00000000" w:rsidRDefault="002F725F">
            <w:pPr>
              <w:rPr>
                <w:rFonts w:eastAsia="Times New Roman"/>
                <w:sz w:val="20"/>
                <w:szCs w:val="20"/>
              </w:rPr>
            </w:pPr>
            <w:r>
              <w:rPr>
                <w:rFonts w:eastAsia="Times New Roman"/>
                <w:sz w:val="20"/>
                <w:szCs w:val="20"/>
              </w:rPr>
              <w:t>Dr. Honggang Teng</w:t>
            </w:r>
          </w:p>
        </w:tc>
        <w:tc>
          <w:tcPr>
            <w:tcW w:w="0" w:type="auto"/>
            <w:shd w:val="clear" w:color="auto" w:fill="FFFFFF"/>
            <w:vAlign w:val="bottom"/>
            <w:hideMark/>
          </w:tcPr>
          <w:p w14:paraId="586EE67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18CA42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B82FB41" w14:textId="77777777" w:rsidR="00000000" w:rsidRDefault="002F725F">
            <w:pPr>
              <w:jc w:val="right"/>
              <w:rPr>
                <w:rFonts w:eastAsia="Times New Roman"/>
                <w:sz w:val="20"/>
                <w:szCs w:val="20"/>
              </w:rPr>
            </w:pPr>
            <w:r>
              <w:rPr>
                <w:rFonts w:eastAsia="Times New Roman"/>
                <w:sz w:val="20"/>
                <w:szCs w:val="20"/>
              </w:rPr>
              <w:t>25,000</w:t>
            </w:r>
          </w:p>
        </w:tc>
        <w:tc>
          <w:tcPr>
            <w:tcW w:w="0" w:type="auto"/>
            <w:shd w:val="clear" w:color="auto" w:fill="FFFFFF"/>
            <w:vAlign w:val="bottom"/>
            <w:hideMark/>
          </w:tcPr>
          <w:p w14:paraId="6AEDF38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5A5940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C2CE41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1369FB1" w14:textId="77777777" w:rsidR="00000000" w:rsidRDefault="002F725F">
            <w:pPr>
              <w:jc w:val="right"/>
              <w:rPr>
                <w:rFonts w:eastAsia="Times New Roman"/>
                <w:sz w:val="20"/>
                <w:szCs w:val="20"/>
              </w:rPr>
            </w:pPr>
            <w:r>
              <w:rPr>
                <w:rFonts w:eastAsia="Times New Roman"/>
                <w:sz w:val="20"/>
                <w:szCs w:val="20"/>
              </w:rPr>
              <w:t>0.1</w:t>
            </w:r>
          </w:p>
        </w:tc>
        <w:tc>
          <w:tcPr>
            <w:tcW w:w="0" w:type="auto"/>
            <w:shd w:val="clear" w:color="auto" w:fill="FFFFFF"/>
            <w:vAlign w:val="bottom"/>
            <w:hideMark/>
          </w:tcPr>
          <w:p w14:paraId="07992DA2" w14:textId="77777777" w:rsidR="00000000" w:rsidRDefault="002F725F">
            <w:pPr>
              <w:rPr>
                <w:rFonts w:eastAsia="Times New Roman"/>
                <w:sz w:val="20"/>
                <w:szCs w:val="20"/>
              </w:rPr>
            </w:pPr>
            <w:r>
              <w:rPr>
                <w:rFonts w:eastAsia="Times New Roman"/>
                <w:sz w:val="20"/>
                <w:szCs w:val="20"/>
              </w:rPr>
              <w:t> </w:t>
            </w:r>
          </w:p>
        </w:tc>
      </w:tr>
      <w:tr w:rsidR="00000000" w14:paraId="7ADAA356" w14:textId="77777777">
        <w:trPr>
          <w:divId w:val="415980837"/>
        </w:trPr>
        <w:tc>
          <w:tcPr>
            <w:tcW w:w="0" w:type="auto"/>
            <w:shd w:val="clear" w:color="auto" w:fill="CCEEFF"/>
            <w:vAlign w:val="bottom"/>
            <w:hideMark/>
          </w:tcPr>
          <w:p w14:paraId="1660A0D6" w14:textId="77777777" w:rsidR="00000000" w:rsidRDefault="002F725F">
            <w:pPr>
              <w:rPr>
                <w:rFonts w:eastAsia="Times New Roman"/>
                <w:sz w:val="20"/>
                <w:szCs w:val="20"/>
              </w:rPr>
            </w:pPr>
            <w:r>
              <w:rPr>
                <w:rFonts w:eastAsia="Times New Roman"/>
                <w:sz w:val="20"/>
                <w:szCs w:val="20"/>
              </w:rPr>
              <w:t>All directors and executive officers as a group</w:t>
            </w:r>
          </w:p>
        </w:tc>
        <w:tc>
          <w:tcPr>
            <w:tcW w:w="0" w:type="auto"/>
            <w:shd w:val="clear" w:color="auto" w:fill="CCEEFF"/>
            <w:vAlign w:val="bottom"/>
            <w:hideMark/>
          </w:tcPr>
          <w:p w14:paraId="1406E7B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7F342B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A54843B" w14:textId="77777777" w:rsidR="00000000" w:rsidRDefault="002F725F">
            <w:pPr>
              <w:jc w:val="right"/>
              <w:rPr>
                <w:rFonts w:eastAsia="Times New Roman"/>
                <w:sz w:val="20"/>
                <w:szCs w:val="20"/>
              </w:rPr>
            </w:pPr>
            <w:r>
              <w:rPr>
                <w:rFonts w:eastAsia="Times New Roman"/>
                <w:sz w:val="20"/>
                <w:szCs w:val="20"/>
              </w:rPr>
              <w:t>542,102</w:t>
            </w:r>
          </w:p>
        </w:tc>
        <w:tc>
          <w:tcPr>
            <w:tcW w:w="0" w:type="auto"/>
            <w:shd w:val="clear" w:color="auto" w:fill="CCEEFF"/>
            <w:vAlign w:val="bottom"/>
            <w:hideMark/>
          </w:tcPr>
          <w:p w14:paraId="1761CC6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DEABCA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154C9A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CC819B4" w14:textId="77777777" w:rsidR="00000000" w:rsidRDefault="002F725F">
            <w:pPr>
              <w:jc w:val="right"/>
              <w:rPr>
                <w:rFonts w:eastAsia="Times New Roman"/>
                <w:sz w:val="20"/>
                <w:szCs w:val="20"/>
              </w:rPr>
            </w:pPr>
            <w:r>
              <w:rPr>
                <w:rFonts w:eastAsia="Times New Roman"/>
                <w:sz w:val="20"/>
                <w:szCs w:val="20"/>
              </w:rPr>
              <w:t>1.3</w:t>
            </w:r>
          </w:p>
        </w:tc>
        <w:tc>
          <w:tcPr>
            <w:tcW w:w="0" w:type="auto"/>
            <w:shd w:val="clear" w:color="auto" w:fill="CCEEFF"/>
            <w:vAlign w:val="bottom"/>
            <w:hideMark/>
          </w:tcPr>
          <w:p w14:paraId="638EDDAA" w14:textId="77777777" w:rsidR="00000000" w:rsidRDefault="002F725F">
            <w:pPr>
              <w:rPr>
                <w:rFonts w:eastAsia="Times New Roman"/>
                <w:sz w:val="20"/>
                <w:szCs w:val="20"/>
              </w:rPr>
            </w:pPr>
            <w:r>
              <w:rPr>
                <w:rFonts w:eastAsia="Times New Roman"/>
                <w:sz w:val="20"/>
                <w:szCs w:val="20"/>
              </w:rPr>
              <w:t> </w:t>
            </w:r>
          </w:p>
        </w:tc>
      </w:tr>
      <w:tr w:rsidR="00000000" w14:paraId="33DF256B" w14:textId="77777777">
        <w:trPr>
          <w:divId w:val="415980837"/>
        </w:trPr>
        <w:tc>
          <w:tcPr>
            <w:tcW w:w="0" w:type="auto"/>
            <w:shd w:val="clear" w:color="auto" w:fill="FFFFFF"/>
            <w:vAlign w:val="bottom"/>
            <w:hideMark/>
          </w:tcPr>
          <w:p w14:paraId="30B91F9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8FEB02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DB904D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DFB6DD1"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61B0D04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734110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37E51C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014DC8C"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5B5DADBD" w14:textId="77777777" w:rsidR="00000000" w:rsidRDefault="002F725F">
            <w:pPr>
              <w:rPr>
                <w:rFonts w:eastAsia="Times New Roman"/>
                <w:sz w:val="20"/>
                <w:szCs w:val="20"/>
              </w:rPr>
            </w:pPr>
            <w:r>
              <w:rPr>
                <w:rFonts w:eastAsia="Times New Roman"/>
                <w:sz w:val="20"/>
                <w:szCs w:val="20"/>
              </w:rPr>
              <w:t> </w:t>
            </w:r>
          </w:p>
        </w:tc>
      </w:tr>
      <w:tr w:rsidR="00000000" w14:paraId="54C728F4" w14:textId="77777777">
        <w:trPr>
          <w:divId w:val="415980837"/>
        </w:trPr>
        <w:tc>
          <w:tcPr>
            <w:tcW w:w="0" w:type="auto"/>
            <w:shd w:val="clear" w:color="auto" w:fill="CCEEFF"/>
            <w:vAlign w:val="bottom"/>
            <w:hideMark/>
          </w:tcPr>
          <w:p w14:paraId="12AB5A15" w14:textId="77777777" w:rsidR="00000000" w:rsidRDefault="002F725F">
            <w:pPr>
              <w:rPr>
                <w:rFonts w:eastAsia="Times New Roman"/>
                <w:b/>
                <w:bCs/>
                <w:sz w:val="20"/>
                <w:szCs w:val="20"/>
              </w:rPr>
            </w:pPr>
            <w:r>
              <w:rPr>
                <w:rFonts w:eastAsia="Times New Roman"/>
                <w:b/>
                <w:bCs/>
                <w:sz w:val="20"/>
                <w:szCs w:val="20"/>
              </w:rPr>
              <w:t>Principal Shareholders</w:t>
            </w:r>
          </w:p>
        </w:tc>
        <w:tc>
          <w:tcPr>
            <w:tcW w:w="0" w:type="auto"/>
            <w:shd w:val="clear" w:color="auto" w:fill="CCEEFF"/>
            <w:vAlign w:val="bottom"/>
            <w:hideMark/>
          </w:tcPr>
          <w:p w14:paraId="52AB93C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B51CD7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C44AF64"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620962A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D1A538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603E22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E079FCD"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758A46B3" w14:textId="77777777" w:rsidR="00000000" w:rsidRDefault="002F725F">
            <w:pPr>
              <w:rPr>
                <w:rFonts w:eastAsia="Times New Roman"/>
                <w:sz w:val="20"/>
                <w:szCs w:val="20"/>
              </w:rPr>
            </w:pPr>
            <w:r>
              <w:rPr>
                <w:rFonts w:eastAsia="Times New Roman"/>
                <w:sz w:val="20"/>
                <w:szCs w:val="20"/>
              </w:rPr>
              <w:t> </w:t>
            </w:r>
          </w:p>
        </w:tc>
      </w:tr>
      <w:tr w:rsidR="00000000" w14:paraId="61BBEA8C" w14:textId="77777777">
        <w:trPr>
          <w:divId w:val="415980837"/>
        </w:trPr>
        <w:tc>
          <w:tcPr>
            <w:tcW w:w="0" w:type="auto"/>
            <w:shd w:val="clear" w:color="auto" w:fill="FFFFFF"/>
            <w:vAlign w:val="bottom"/>
            <w:hideMark/>
          </w:tcPr>
          <w:p w14:paraId="777AF014" w14:textId="77777777" w:rsidR="00000000" w:rsidRDefault="002F725F">
            <w:pPr>
              <w:rPr>
                <w:rFonts w:eastAsia="Times New Roman"/>
                <w:sz w:val="20"/>
                <w:szCs w:val="20"/>
              </w:rPr>
            </w:pPr>
            <w:r>
              <w:rPr>
                <w:rFonts w:eastAsia="Times New Roman"/>
                <w:sz w:val="20"/>
                <w:szCs w:val="20"/>
              </w:rPr>
              <w:t>Crystal Peak Investment Inc.</w:t>
            </w:r>
            <w:r>
              <w:rPr>
                <w:rFonts w:eastAsia="Times New Roman"/>
                <w:sz w:val="20"/>
                <w:szCs w:val="20"/>
                <w:vertAlign w:val="superscript"/>
              </w:rPr>
              <w:t>(3)</w:t>
            </w:r>
          </w:p>
        </w:tc>
        <w:tc>
          <w:tcPr>
            <w:tcW w:w="0" w:type="auto"/>
            <w:shd w:val="clear" w:color="auto" w:fill="FFFFFF"/>
            <w:vAlign w:val="bottom"/>
            <w:hideMark/>
          </w:tcPr>
          <w:p w14:paraId="42592E7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259821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EE0C941" w14:textId="77777777" w:rsidR="00000000" w:rsidRDefault="002F725F">
            <w:pPr>
              <w:jc w:val="right"/>
              <w:rPr>
                <w:rFonts w:eastAsia="Times New Roman"/>
                <w:sz w:val="20"/>
                <w:szCs w:val="20"/>
              </w:rPr>
            </w:pPr>
            <w:r>
              <w:rPr>
                <w:rFonts w:eastAsia="Times New Roman"/>
                <w:sz w:val="20"/>
                <w:szCs w:val="20"/>
              </w:rPr>
              <w:t>21,021,332</w:t>
            </w:r>
          </w:p>
        </w:tc>
        <w:tc>
          <w:tcPr>
            <w:tcW w:w="0" w:type="auto"/>
            <w:shd w:val="clear" w:color="auto" w:fill="FFFFFF"/>
            <w:vAlign w:val="bottom"/>
            <w:hideMark/>
          </w:tcPr>
          <w:p w14:paraId="4095AA3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8B0C81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0F903B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C0FF911"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FFFFFF"/>
            <w:vAlign w:val="bottom"/>
            <w:hideMark/>
          </w:tcPr>
          <w:p w14:paraId="7BD2D17F" w14:textId="77777777" w:rsidR="00000000" w:rsidRDefault="002F725F">
            <w:pPr>
              <w:rPr>
                <w:rFonts w:eastAsia="Times New Roman"/>
                <w:sz w:val="20"/>
                <w:szCs w:val="20"/>
              </w:rPr>
            </w:pPr>
            <w:r>
              <w:rPr>
                <w:rFonts w:eastAsia="Times New Roman"/>
                <w:sz w:val="20"/>
                <w:szCs w:val="20"/>
              </w:rPr>
              <w:t> </w:t>
            </w:r>
          </w:p>
        </w:tc>
      </w:tr>
      <w:tr w:rsidR="00000000" w14:paraId="41629546" w14:textId="77777777">
        <w:trPr>
          <w:divId w:val="415980837"/>
        </w:trPr>
        <w:tc>
          <w:tcPr>
            <w:tcW w:w="0" w:type="auto"/>
            <w:shd w:val="clear" w:color="auto" w:fill="CCEEFF"/>
            <w:vAlign w:val="bottom"/>
            <w:hideMark/>
          </w:tcPr>
          <w:p w14:paraId="0121EEFB" w14:textId="77777777" w:rsidR="00000000" w:rsidRDefault="002F725F">
            <w:pPr>
              <w:rPr>
                <w:rFonts w:eastAsia="Times New Roman"/>
                <w:sz w:val="20"/>
                <w:szCs w:val="20"/>
              </w:rPr>
            </w:pPr>
            <w:r>
              <w:rPr>
                <w:rFonts w:eastAsia="Times New Roman"/>
                <w:sz w:val="20"/>
                <w:szCs w:val="20"/>
              </w:rPr>
              <w:t>Fung Ching Wong / Apex Prospect Limited</w:t>
            </w:r>
            <w:r>
              <w:rPr>
                <w:rFonts w:eastAsia="Times New Roman"/>
                <w:sz w:val="20"/>
                <w:szCs w:val="20"/>
                <w:vertAlign w:val="superscript"/>
              </w:rPr>
              <w:t>(4)</w:t>
            </w:r>
          </w:p>
        </w:tc>
        <w:tc>
          <w:tcPr>
            <w:tcW w:w="0" w:type="auto"/>
            <w:shd w:val="clear" w:color="auto" w:fill="CCEEFF"/>
            <w:vAlign w:val="bottom"/>
            <w:hideMark/>
          </w:tcPr>
          <w:p w14:paraId="0DD9B8C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4934AF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1B0D24B" w14:textId="77777777" w:rsidR="00000000" w:rsidRDefault="002F725F">
            <w:pPr>
              <w:jc w:val="right"/>
              <w:rPr>
                <w:rFonts w:eastAsia="Times New Roman"/>
                <w:sz w:val="20"/>
                <w:szCs w:val="20"/>
              </w:rPr>
            </w:pPr>
            <w:r>
              <w:rPr>
                <w:rFonts w:eastAsia="Times New Roman"/>
                <w:sz w:val="20"/>
                <w:szCs w:val="20"/>
              </w:rPr>
              <w:t>9,836,010</w:t>
            </w:r>
          </w:p>
        </w:tc>
        <w:tc>
          <w:tcPr>
            <w:tcW w:w="0" w:type="auto"/>
            <w:shd w:val="clear" w:color="auto" w:fill="CCEEFF"/>
            <w:vAlign w:val="bottom"/>
            <w:hideMark/>
          </w:tcPr>
          <w:p w14:paraId="07806B9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4ABC88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D39EDD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2662D6B" w14:textId="77777777" w:rsidR="00000000" w:rsidRDefault="002F725F">
            <w:pPr>
              <w:jc w:val="right"/>
              <w:rPr>
                <w:rFonts w:eastAsia="Times New Roman"/>
                <w:sz w:val="20"/>
                <w:szCs w:val="20"/>
              </w:rPr>
            </w:pPr>
            <w:r>
              <w:rPr>
                <w:rFonts w:eastAsia="Times New Roman"/>
                <w:sz w:val="20"/>
                <w:szCs w:val="20"/>
              </w:rPr>
              <w:t>23.9</w:t>
            </w:r>
          </w:p>
        </w:tc>
        <w:tc>
          <w:tcPr>
            <w:tcW w:w="0" w:type="auto"/>
            <w:shd w:val="clear" w:color="auto" w:fill="CCEEFF"/>
            <w:vAlign w:val="bottom"/>
            <w:hideMark/>
          </w:tcPr>
          <w:p w14:paraId="44E93351" w14:textId="77777777" w:rsidR="00000000" w:rsidRDefault="002F725F">
            <w:pPr>
              <w:rPr>
                <w:rFonts w:eastAsia="Times New Roman"/>
                <w:sz w:val="20"/>
                <w:szCs w:val="20"/>
              </w:rPr>
            </w:pPr>
            <w:r>
              <w:rPr>
                <w:rFonts w:eastAsia="Times New Roman"/>
                <w:sz w:val="20"/>
                <w:szCs w:val="20"/>
              </w:rPr>
              <w:t> </w:t>
            </w:r>
          </w:p>
        </w:tc>
      </w:tr>
      <w:tr w:rsidR="00000000" w14:paraId="18800333" w14:textId="77777777">
        <w:trPr>
          <w:divId w:val="415980837"/>
        </w:trPr>
        <w:tc>
          <w:tcPr>
            <w:tcW w:w="0" w:type="auto"/>
            <w:shd w:val="clear" w:color="auto" w:fill="FFFFFF"/>
            <w:vAlign w:val="bottom"/>
            <w:hideMark/>
          </w:tcPr>
          <w:p w14:paraId="7E057904" w14:textId="77777777" w:rsidR="00000000" w:rsidRDefault="002F725F">
            <w:pPr>
              <w:rPr>
                <w:rFonts w:eastAsia="Times New Roman"/>
                <w:sz w:val="20"/>
                <w:szCs w:val="20"/>
              </w:rPr>
            </w:pPr>
            <w:r>
              <w:rPr>
                <w:rFonts w:eastAsia="Times New Roman"/>
                <w:sz w:val="20"/>
                <w:szCs w:val="20"/>
              </w:rPr>
              <w:t>Yi Zhang and his affiliated entities</w:t>
            </w:r>
            <w:r>
              <w:rPr>
                <w:rFonts w:eastAsia="Times New Roman"/>
                <w:sz w:val="20"/>
                <w:szCs w:val="20"/>
                <w:vertAlign w:val="superscript"/>
              </w:rPr>
              <w:t>(5)</w:t>
            </w:r>
          </w:p>
        </w:tc>
        <w:tc>
          <w:tcPr>
            <w:tcW w:w="0" w:type="auto"/>
            <w:shd w:val="clear" w:color="auto" w:fill="FFFFFF"/>
            <w:vAlign w:val="bottom"/>
            <w:hideMark/>
          </w:tcPr>
          <w:p w14:paraId="33007F7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5260EF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0189EFB" w14:textId="77777777" w:rsidR="00000000" w:rsidRDefault="002F725F">
            <w:pPr>
              <w:jc w:val="right"/>
              <w:rPr>
                <w:rFonts w:eastAsia="Times New Roman"/>
                <w:sz w:val="20"/>
                <w:szCs w:val="20"/>
              </w:rPr>
            </w:pPr>
            <w:r>
              <w:rPr>
                <w:rFonts w:eastAsia="Times New Roman"/>
                <w:sz w:val="20"/>
                <w:szCs w:val="20"/>
              </w:rPr>
              <w:t>4,908,919</w:t>
            </w:r>
          </w:p>
        </w:tc>
        <w:tc>
          <w:tcPr>
            <w:tcW w:w="0" w:type="auto"/>
            <w:shd w:val="clear" w:color="auto" w:fill="FFFFFF"/>
            <w:vAlign w:val="bottom"/>
            <w:hideMark/>
          </w:tcPr>
          <w:p w14:paraId="1B97ABB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4A395F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2BC588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E9D174B" w14:textId="77777777" w:rsidR="00000000" w:rsidRDefault="002F725F">
            <w:pPr>
              <w:jc w:val="right"/>
              <w:rPr>
                <w:rFonts w:eastAsia="Times New Roman"/>
                <w:sz w:val="20"/>
                <w:szCs w:val="20"/>
              </w:rPr>
            </w:pPr>
            <w:r>
              <w:rPr>
                <w:rFonts w:eastAsia="Times New Roman"/>
                <w:sz w:val="20"/>
                <w:szCs w:val="20"/>
              </w:rPr>
              <w:t>11.9</w:t>
            </w:r>
          </w:p>
        </w:tc>
        <w:tc>
          <w:tcPr>
            <w:tcW w:w="0" w:type="auto"/>
            <w:shd w:val="clear" w:color="auto" w:fill="FFFFFF"/>
            <w:vAlign w:val="bottom"/>
            <w:hideMark/>
          </w:tcPr>
          <w:p w14:paraId="6B9399CB" w14:textId="77777777" w:rsidR="00000000" w:rsidRDefault="002F725F">
            <w:pPr>
              <w:rPr>
                <w:rFonts w:eastAsia="Times New Roman"/>
                <w:sz w:val="20"/>
                <w:szCs w:val="20"/>
              </w:rPr>
            </w:pPr>
            <w:r>
              <w:rPr>
                <w:rFonts w:eastAsia="Times New Roman"/>
                <w:sz w:val="20"/>
                <w:szCs w:val="20"/>
              </w:rPr>
              <w:t> </w:t>
            </w:r>
          </w:p>
        </w:tc>
      </w:tr>
      <w:tr w:rsidR="00000000" w14:paraId="08671188" w14:textId="77777777">
        <w:trPr>
          <w:divId w:val="415980837"/>
        </w:trPr>
        <w:tc>
          <w:tcPr>
            <w:tcW w:w="0" w:type="auto"/>
            <w:shd w:val="clear" w:color="auto" w:fill="CCEEFF"/>
            <w:vAlign w:val="bottom"/>
            <w:hideMark/>
          </w:tcPr>
          <w:p w14:paraId="02077826" w14:textId="77777777" w:rsidR="00000000" w:rsidRDefault="002F725F">
            <w:pPr>
              <w:rPr>
                <w:rFonts w:eastAsia="Times New Roman"/>
                <w:sz w:val="20"/>
                <w:szCs w:val="20"/>
              </w:rPr>
            </w:pPr>
            <w:r>
              <w:rPr>
                <w:rFonts w:eastAsia="Times New Roman"/>
                <w:sz w:val="20"/>
                <w:szCs w:val="20"/>
              </w:rPr>
              <w:lastRenderedPageBreak/>
              <w:t> </w:t>
            </w:r>
          </w:p>
        </w:tc>
        <w:tc>
          <w:tcPr>
            <w:tcW w:w="0" w:type="auto"/>
            <w:shd w:val="clear" w:color="auto" w:fill="CCEEFF"/>
            <w:vAlign w:val="bottom"/>
            <w:hideMark/>
          </w:tcPr>
          <w:p w14:paraId="7398FB4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EEBE85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B3C7E5C"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6AC870D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69D53F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CAA708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1AB2643"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0DE795B6" w14:textId="77777777" w:rsidR="00000000" w:rsidRDefault="002F725F">
            <w:pPr>
              <w:rPr>
                <w:rFonts w:eastAsia="Times New Roman"/>
                <w:sz w:val="20"/>
                <w:szCs w:val="20"/>
              </w:rPr>
            </w:pPr>
            <w:r>
              <w:rPr>
                <w:rFonts w:eastAsia="Times New Roman"/>
                <w:sz w:val="20"/>
                <w:szCs w:val="20"/>
              </w:rPr>
              <w:t> </w:t>
            </w:r>
          </w:p>
        </w:tc>
      </w:tr>
      <w:tr w:rsidR="00000000" w14:paraId="18266971" w14:textId="77777777">
        <w:trPr>
          <w:divId w:val="415980837"/>
        </w:trPr>
        <w:tc>
          <w:tcPr>
            <w:tcW w:w="0" w:type="auto"/>
            <w:shd w:val="clear" w:color="auto" w:fill="FFFFFF"/>
            <w:vAlign w:val="bottom"/>
            <w:hideMark/>
          </w:tcPr>
          <w:p w14:paraId="75183A89" w14:textId="77777777" w:rsidR="00000000" w:rsidRDefault="002F725F">
            <w:pPr>
              <w:rPr>
                <w:rFonts w:eastAsia="Times New Roman"/>
                <w:b/>
                <w:bCs/>
                <w:sz w:val="20"/>
                <w:szCs w:val="20"/>
              </w:rPr>
            </w:pPr>
            <w:r>
              <w:rPr>
                <w:rFonts w:eastAsia="Times New Roman"/>
                <w:b/>
                <w:bCs/>
                <w:sz w:val="20"/>
                <w:szCs w:val="20"/>
              </w:rPr>
              <w:t>Filing Persons</w:t>
            </w:r>
          </w:p>
        </w:tc>
        <w:tc>
          <w:tcPr>
            <w:tcW w:w="0" w:type="auto"/>
            <w:shd w:val="clear" w:color="auto" w:fill="FFFFFF"/>
            <w:vAlign w:val="bottom"/>
            <w:hideMark/>
          </w:tcPr>
          <w:p w14:paraId="3D8A997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92D980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52E6125"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4F51940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7A94E6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531882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842207B"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7BE4EB5E" w14:textId="77777777" w:rsidR="00000000" w:rsidRDefault="002F725F">
            <w:pPr>
              <w:rPr>
                <w:rFonts w:eastAsia="Times New Roman"/>
                <w:sz w:val="20"/>
                <w:szCs w:val="20"/>
              </w:rPr>
            </w:pPr>
            <w:r>
              <w:rPr>
                <w:rFonts w:eastAsia="Times New Roman"/>
                <w:sz w:val="20"/>
                <w:szCs w:val="20"/>
              </w:rPr>
              <w:t> </w:t>
            </w:r>
          </w:p>
        </w:tc>
      </w:tr>
      <w:tr w:rsidR="00000000" w14:paraId="503D7DCA" w14:textId="77777777">
        <w:trPr>
          <w:divId w:val="415980837"/>
        </w:trPr>
        <w:tc>
          <w:tcPr>
            <w:tcW w:w="0" w:type="auto"/>
            <w:shd w:val="clear" w:color="auto" w:fill="CCEEFF"/>
            <w:vAlign w:val="bottom"/>
            <w:hideMark/>
          </w:tcPr>
          <w:p w14:paraId="14A7C3EF" w14:textId="77777777" w:rsidR="00000000" w:rsidRDefault="002F725F">
            <w:pPr>
              <w:rPr>
                <w:rFonts w:eastAsia="Times New Roman"/>
                <w:sz w:val="20"/>
                <w:szCs w:val="20"/>
              </w:rPr>
            </w:pPr>
            <w:r>
              <w:rPr>
                <w:rFonts w:eastAsia="Times New Roman"/>
                <w:sz w:val="20"/>
                <w:szCs w:val="20"/>
              </w:rPr>
              <w:t>Crystal Peak Investment Inc.</w:t>
            </w:r>
            <w:r>
              <w:rPr>
                <w:rFonts w:eastAsia="Times New Roman"/>
                <w:sz w:val="20"/>
                <w:szCs w:val="20"/>
                <w:vertAlign w:val="superscript"/>
              </w:rPr>
              <w:t>(3)</w:t>
            </w:r>
          </w:p>
        </w:tc>
        <w:tc>
          <w:tcPr>
            <w:tcW w:w="0" w:type="auto"/>
            <w:shd w:val="clear" w:color="auto" w:fill="CCEEFF"/>
            <w:vAlign w:val="bottom"/>
            <w:hideMark/>
          </w:tcPr>
          <w:p w14:paraId="03145DE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F64061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B4B8F81" w14:textId="77777777" w:rsidR="00000000" w:rsidRDefault="002F725F">
            <w:pPr>
              <w:jc w:val="right"/>
              <w:rPr>
                <w:rFonts w:eastAsia="Times New Roman"/>
                <w:sz w:val="20"/>
                <w:szCs w:val="20"/>
              </w:rPr>
            </w:pPr>
            <w:r>
              <w:rPr>
                <w:rFonts w:eastAsia="Times New Roman"/>
                <w:sz w:val="20"/>
                <w:szCs w:val="20"/>
              </w:rPr>
              <w:t>21,021,332</w:t>
            </w:r>
          </w:p>
        </w:tc>
        <w:tc>
          <w:tcPr>
            <w:tcW w:w="0" w:type="auto"/>
            <w:shd w:val="clear" w:color="auto" w:fill="CCEEFF"/>
            <w:vAlign w:val="bottom"/>
            <w:hideMark/>
          </w:tcPr>
          <w:p w14:paraId="1CCD3A3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83EBDE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A08E93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2E6CA33"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CCEEFF"/>
            <w:vAlign w:val="bottom"/>
            <w:hideMark/>
          </w:tcPr>
          <w:p w14:paraId="1AE7F8B8" w14:textId="77777777" w:rsidR="00000000" w:rsidRDefault="002F725F">
            <w:pPr>
              <w:rPr>
                <w:rFonts w:eastAsia="Times New Roman"/>
                <w:sz w:val="20"/>
                <w:szCs w:val="20"/>
              </w:rPr>
            </w:pPr>
            <w:r>
              <w:rPr>
                <w:rFonts w:eastAsia="Times New Roman"/>
                <w:sz w:val="20"/>
                <w:szCs w:val="20"/>
              </w:rPr>
              <w:t> </w:t>
            </w:r>
          </w:p>
        </w:tc>
      </w:tr>
      <w:tr w:rsidR="00000000" w14:paraId="78912740" w14:textId="77777777">
        <w:trPr>
          <w:divId w:val="415980837"/>
        </w:trPr>
        <w:tc>
          <w:tcPr>
            <w:tcW w:w="0" w:type="auto"/>
            <w:shd w:val="clear" w:color="auto" w:fill="FFFFFF"/>
            <w:vAlign w:val="bottom"/>
            <w:hideMark/>
          </w:tcPr>
          <w:p w14:paraId="620F8B24" w14:textId="77777777" w:rsidR="00000000" w:rsidRDefault="002F725F">
            <w:pPr>
              <w:rPr>
                <w:rFonts w:eastAsia="Times New Roman"/>
                <w:sz w:val="20"/>
                <w:szCs w:val="20"/>
              </w:rPr>
            </w:pPr>
            <w:r>
              <w:rPr>
                <w:rFonts w:eastAsia="Times New Roman"/>
                <w:sz w:val="20"/>
                <w:szCs w:val="20"/>
              </w:rPr>
              <w:t>Crystal Peak Holdings Inc.</w:t>
            </w:r>
            <w:r>
              <w:rPr>
                <w:rFonts w:eastAsia="Times New Roman"/>
                <w:sz w:val="20"/>
                <w:szCs w:val="20"/>
                <w:vertAlign w:val="superscript"/>
              </w:rPr>
              <w:t>(6)</w:t>
            </w:r>
          </w:p>
        </w:tc>
        <w:tc>
          <w:tcPr>
            <w:tcW w:w="0" w:type="auto"/>
            <w:shd w:val="clear" w:color="auto" w:fill="FFFFFF"/>
            <w:vAlign w:val="bottom"/>
            <w:hideMark/>
          </w:tcPr>
          <w:p w14:paraId="0959DF5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7D9B85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682A49F" w14:textId="77777777" w:rsidR="00000000" w:rsidRDefault="002F725F">
            <w:pPr>
              <w:jc w:val="right"/>
              <w:rPr>
                <w:rFonts w:eastAsia="Times New Roman"/>
                <w:sz w:val="20"/>
                <w:szCs w:val="20"/>
              </w:rPr>
            </w:pPr>
            <w:r>
              <w:rPr>
                <w:rFonts w:eastAsia="Times New Roman"/>
                <w:sz w:val="20"/>
                <w:szCs w:val="20"/>
              </w:rPr>
              <w:t>21,021,332</w:t>
            </w:r>
          </w:p>
        </w:tc>
        <w:tc>
          <w:tcPr>
            <w:tcW w:w="0" w:type="auto"/>
            <w:shd w:val="clear" w:color="auto" w:fill="FFFFFF"/>
            <w:vAlign w:val="bottom"/>
            <w:hideMark/>
          </w:tcPr>
          <w:p w14:paraId="6CF2439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5191F2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FCBEBE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D2628F4"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FFFFFF"/>
            <w:vAlign w:val="bottom"/>
            <w:hideMark/>
          </w:tcPr>
          <w:p w14:paraId="1BFDF448" w14:textId="77777777" w:rsidR="00000000" w:rsidRDefault="002F725F">
            <w:pPr>
              <w:rPr>
                <w:rFonts w:eastAsia="Times New Roman"/>
                <w:sz w:val="20"/>
                <w:szCs w:val="20"/>
              </w:rPr>
            </w:pPr>
            <w:r>
              <w:rPr>
                <w:rFonts w:eastAsia="Times New Roman"/>
                <w:sz w:val="20"/>
                <w:szCs w:val="20"/>
              </w:rPr>
              <w:t> </w:t>
            </w:r>
          </w:p>
        </w:tc>
      </w:tr>
      <w:tr w:rsidR="00000000" w14:paraId="38BE828A" w14:textId="77777777">
        <w:trPr>
          <w:divId w:val="415980837"/>
        </w:trPr>
        <w:tc>
          <w:tcPr>
            <w:tcW w:w="0" w:type="auto"/>
            <w:shd w:val="clear" w:color="auto" w:fill="CCEEFF"/>
            <w:vAlign w:val="bottom"/>
            <w:hideMark/>
          </w:tcPr>
          <w:p w14:paraId="739BABD2" w14:textId="77777777" w:rsidR="00000000" w:rsidRDefault="002F725F">
            <w:pPr>
              <w:rPr>
                <w:rFonts w:eastAsia="Times New Roman"/>
                <w:sz w:val="20"/>
                <w:szCs w:val="20"/>
              </w:rPr>
            </w:pPr>
            <w:r>
              <w:rPr>
                <w:rFonts w:eastAsia="Times New Roman"/>
                <w:sz w:val="20"/>
                <w:szCs w:val="20"/>
              </w:rPr>
              <w:t>Huaqin Xue</w:t>
            </w:r>
            <w:r>
              <w:rPr>
                <w:rFonts w:eastAsia="Times New Roman"/>
                <w:sz w:val="20"/>
                <w:szCs w:val="20"/>
                <w:vertAlign w:val="superscript"/>
              </w:rPr>
              <w:t>(7)</w:t>
            </w:r>
          </w:p>
        </w:tc>
        <w:tc>
          <w:tcPr>
            <w:tcW w:w="0" w:type="auto"/>
            <w:shd w:val="clear" w:color="auto" w:fill="CCEEFF"/>
            <w:vAlign w:val="bottom"/>
            <w:hideMark/>
          </w:tcPr>
          <w:p w14:paraId="361B94F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B2DD2E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8015465" w14:textId="77777777" w:rsidR="00000000" w:rsidRDefault="002F725F">
            <w:pPr>
              <w:jc w:val="right"/>
              <w:rPr>
                <w:rFonts w:eastAsia="Times New Roman"/>
                <w:sz w:val="20"/>
                <w:szCs w:val="20"/>
              </w:rPr>
            </w:pPr>
            <w:r>
              <w:rPr>
                <w:rFonts w:eastAsia="Times New Roman"/>
                <w:sz w:val="20"/>
                <w:szCs w:val="20"/>
              </w:rPr>
              <w:t>21,021,332</w:t>
            </w:r>
          </w:p>
        </w:tc>
        <w:tc>
          <w:tcPr>
            <w:tcW w:w="0" w:type="auto"/>
            <w:shd w:val="clear" w:color="auto" w:fill="CCEEFF"/>
            <w:vAlign w:val="bottom"/>
            <w:hideMark/>
          </w:tcPr>
          <w:p w14:paraId="360F640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77E643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6D7B13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BB5F134"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CCEEFF"/>
            <w:vAlign w:val="bottom"/>
            <w:hideMark/>
          </w:tcPr>
          <w:p w14:paraId="3DF34583" w14:textId="77777777" w:rsidR="00000000" w:rsidRDefault="002F725F">
            <w:pPr>
              <w:rPr>
                <w:rFonts w:eastAsia="Times New Roman"/>
                <w:sz w:val="20"/>
                <w:szCs w:val="20"/>
              </w:rPr>
            </w:pPr>
            <w:r>
              <w:rPr>
                <w:rFonts w:eastAsia="Times New Roman"/>
                <w:sz w:val="20"/>
                <w:szCs w:val="20"/>
              </w:rPr>
              <w:t> </w:t>
            </w:r>
          </w:p>
        </w:tc>
      </w:tr>
      <w:tr w:rsidR="00000000" w14:paraId="0CE23C4C" w14:textId="77777777">
        <w:trPr>
          <w:divId w:val="415980837"/>
        </w:trPr>
        <w:tc>
          <w:tcPr>
            <w:tcW w:w="0" w:type="auto"/>
            <w:shd w:val="clear" w:color="auto" w:fill="FFFFFF"/>
            <w:vAlign w:val="bottom"/>
            <w:hideMark/>
          </w:tcPr>
          <w:p w14:paraId="7FA2BAB3" w14:textId="77777777" w:rsidR="00000000" w:rsidRDefault="002F725F">
            <w:pPr>
              <w:rPr>
                <w:rFonts w:eastAsia="Times New Roman"/>
                <w:sz w:val="20"/>
                <w:szCs w:val="20"/>
              </w:rPr>
            </w:pPr>
            <w:r>
              <w:rPr>
                <w:rFonts w:eastAsia="Times New Roman"/>
                <w:sz w:val="20"/>
                <w:szCs w:val="20"/>
              </w:rPr>
              <w:t>Oceanpine Capital Inc.</w:t>
            </w:r>
            <w:r>
              <w:rPr>
                <w:rFonts w:eastAsia="Times New Roman"/>
                <w:sz w:val="20"/>
                <w:szCs w:val="20"/>
                <w:vertAlign w:val="superscript"/>
              </w:rPr>
              <w:t>(8)</w:t>
            </w:r>
          </w:p>
        </w:tc>
        <w:tc>
          <w:tcPr>
            <w:tcW w:w="0" w:type="auto"/>
            <w:shd w:val="clear" w:color="auto" w:fill="FFFFFF"/>
            <w:vAlign w:val="bottom"/>
            <w:hideMark/>
          </w:tcPr>
          <w:p w14:paraId="20E16BA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2EC8F1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83909AA" w14:textId="77777777" w:rsidR="00000000" w:rsidRDefault="002F725F">
            <w:pPr>
              <w:jc w:val="right"/>
              <w:rPr>
                <w:rFonts w:eastAsia="Times New Roman"/>
                <w:sz w:val="20"/>
                <w:szCs w:val="20"/>
              </w:rPr>
            </w:pPr>
            <w:r>
              <w:rPr>
                <w:rFonts w:eastAsia="Times New Roman"/>
                <w:sz w:val="20"/>
                <w:szCs w:val="20"/>
              </w:rPr>
              <w:t>52,200</w:t>
            </w:r>
          </w:p>
        </w:tc>
        <w:tc>
          <w:tcPr>
            <w:tcW w:w="0" w:type="auto"/>
            <w:shd w:val="clear" w:color="auto" w:fill="FFFFFF"/>
            <w:vAlign w:val="bottom"/>
            <w:hideMark/>
          </w:tcPr>
          <w:p w14:paraId="4F34A91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24771C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9E5CA3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F8CA7A1" w14:textId="77777777" w:rsidR="00000000" w:rsidRDefault="002F725F">
            <w:pPr>
              <w:jc w:val="right"/>
              <w:rPr>
                <w:rFonts w:eastAsia="Times New Roman"/>
                <w:sz w:val="20"/>
                <w:szCs w:val="20"/>
              </w:rPr>
            </w:pPr>
            <w:r>
              <w:rPr>
                <w:rFonts w:eastAsia="Times New Roman"/>
                <w:sz w:val="20"/>
                <w:szCs w:val="20"/>
              </w:rPr>
              <w:t>0.1</w:t>
            </w:r>
          </w:p>
        </w:tc>
        <w:tc>
          <w:tcPr>
            <w:tcW w:w="0" w:type="auto"/>
            <w:shd w:val="clear" w:color="auto" w:fill="FFFFFF"/>
            <w:vAlign w:val="bottom"/>
            <w:hideMark/>
          </w:tcPr>
          <w:p w14:paraId="5207B61C" w14:textId="77777777" w:rsidR="00000000" w:rsidRDefault="002F725F">
            <w:pPr>
              <w:rPr>
                <w:rFonts w:eastAsia="Times New Roman"/>
                <w:sz w:val="20"/>
                <w:szCs w:val="20"/>
              </w:rPr>
            </w:pPr>
            <w:r>
              <w:rPr>
                <w:rFonts w:eastAsia="Times New Roman"/>
                <w:sz w:val="20"/>
                <w:szCs w:val="20"/>
              </w:rPr>
              <w:t> </w:t>
            </w:r>
          </w:p>
        </w:tc>
      </w:tr>
      <w:tr w:rsidR="00000000" w14:paraId="5441E34D" w14:textId="77777777">
        <w:trPr>
          <w:divId w:val="415980837"/>
        </w:trPr>
        <w:tc>
          <w:tcPr>
            <w:tcW w:w="0" w:type="auto"/>
            <w:shd w:val="clear" w:color="auto" w:fill="CCEEFF"/>
            <w:vAlign w:val="bottom"/>
            <w:hideMark/>
          </w:tcPr>
          <w:p w14:paraId="5E2FE734" w14:textId="77777777" w:rsidR="00000000" w:rsidRDefault="002F725F">
            <w:pPr>
              <w:rPr>
                <w:rFonts w:eastAsia="Times New Roman"/>
                <w:sz w:val="20"/>
                <w:szCs w:val="20"/>
              </w:rPr>
            </w:pPr>
            <w:r>
              <w:rPr>
                <w:rFonts w:eastAsia="Times New Roman"/>
                <w:sz w:val="20"/>
                <w:szCs w:val="20"/>
              </w:rPr>
              <w:t>Oceanpine Investment Fund II LP</w:t>
            </w:r>
            <w:r>
              <w:rPr>
                <w:rFonts w:eastAsia="Times New Roman"/>
                <w:sz w:val="20"/>
                <w:szCs w:val="20"/>
                <w:vertAlign w:val="superscript"/>
              </w:rPr>
              <w:t>(9)</w:t>
            </w:r>
          </w:p>
        </w:tc>
        <w:tc>
          <w:tcPr>
            <w:tcW w:w="0" w:type="auto"/>
            <w:shd w:val="clear" w:color="auto" w:fill="CCEEFF"/>
            <w:vAlign w:val="bottom"/>
            <w:hideMark/>
          </w:tcPr>
          <w:p w14:paraId="6EC5AD8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09FD72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F0D162E" w14:textId="77777777" w:rsidR="00000000" w:rsidRDefault="002F725F">
            <w:pPr>
              <w:jc w:val="right"/>
              <w:rPr>
                <w:rFonts w:eastAsia="Times New Roman"/>
                <w:sz w:val="20"/>
                <w:szCs w:val="20"/>
              </w:rPr>
            </w:pPr>
            <w:r>
              <w:rPr>
                <w:rFonts w:eastAsia="Times New Roman"/>
                <w:sz w:val="20"/>
                <w:szCs w:val="20"/>
              </w:rPr>
              <w:t>410,560</w:t>
            </w:r>
          </w:p>
        </w:tc>
        <w:tc>
          <w:tcPr>
            <w:tcW w:w="0" w:type="auto"/>
            <w:shd w:val="clear" w:color="auto" w:fill="CCEEFF"/>
            <w:vAlign w:val="bottom"/>
            <w:hideMark/>
          </w:tcPr>
          <w:p w14:paraId="3418D2F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761B86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AEB1DA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8DC92C3" w14:textId="77777777" w:rsidR="00000000" w:rsidRDefault="002F725F">
            <w:pPr>
              <w:jc w:val="right"/>
              <w:rPr>
                <w:rFonts w:eastAsia="Times New Roman"/>
                <w:sz w:val="20"/>
                <w:szCs w:val="20"/>
              </w:rPr>
            </w:pPr>
            <w:r>
              <w:rPr>
                <w:rFonts w:eastAsia="Times New Roman"/>
                <w:sz w:val="20"/>
                <w:szCs w:val="20"/>
              </w:rPr>
              <w:t>1.0</w:t>
            </w:r>
          </w:p>
        </w:tc>
        <w:tc>
          <w:tcPr>
            <w:tcW w:w="0" w:type="auto"/>
            <w:shd w:val="clear" w:color="auto" w:fill="CCEEFF"/>
            <w:vAlign w:val="bottom"/>
            <w:hideMark/>
          </w:tcPr>
          <w:p w14:paraId="70F7248B" w14:textId="77777777" w:rsidR="00000000" w:rsidRDefault="002F725F">
            <w:pPr>
              <w:rPr>
                <w:rFonts w:eastAsia="Times New Roman"/>
                <w:sz w:val="20"/>
                <w:szCs w:val="20"/>
              </w:rPr>
            </w:pPr>
            <w:r>
              <w:rPr>
                <w:rFonts w:eastAsia="Times New Roman"/>
                <w:sz w:val="20"/>
                <w:szCs w:val="20"/>
              </w:rPr>
              <w:t> </w:t>
            </w:r>
          </w:p>
        </w:tc>
      </w:tr>
      <w:tr w:rsidR="00000000" w14:paraId="4E5FC322" w14:textId="77777777">
        <w:trPr>
          <w:divId w:val="415980837"/>
        </w:trPr>
        <w:tc>
          <w:tcPr>
            <w:tcW w:w="0" w:type="auto"/>
            <w:shd w:val="clear" w:color="auto" w:fill="FFFFFF"/>
            <w:vAlign w:val="bottom"/>
            <w:hideMark/>
          </w:tcPr>
          <w:p w14:paraId="7EB9F615" w14:textId="77777777" w:rsidR="00000000" w:rsidRDefault="002F725F">
            <w:pPr>
              <w:rPr>
                <w:rFonts w:eastAsia="Times New Roman"/>
                <w:sz w:val="20"/>
                <w:szCs w:val="20"/>
              </w:rPr>
            </w:pPr>
            <w:r>
              <w:rPr>
                <w:rFonts w:eastAsia="Times New Roman"/>
                <w:sz w:val="20"/>
                <w:szCs w:val="20"/>
              </w:rPr>
              <w:t>Dave Liguang Chenn</w:t>
            </w:r>
            <w:r>
              <w:rPr>
                <w:rFonts w:eastAsia="Times New Roman"/>
                <w:sz w:val="20"/>
                <w:szCs w:val="20"/>
                <w:vertAlign w:val="superscript"/>
              </w:rPr>
              <w:t>(10)</w:t>
            </w:r>
          </w:p>
        </w:tc>
        <w:tc>
          <w:tcPr>
            <w:tcW w:w="0" w:type="auto"/>
            <w:shd w:val="clear" w:color="auto" w:fill="FFFFFF"/>
            <w:vAlign w:val="bottom"/>
            <w:hideMark/>
          </w:tcPr>
          <w:p w14:paraId="3F22802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99B7A8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CB8CB36" w14:textId="77777777" w:rsidR="00000000" w:rsidRDefault="002F725F">
            <w:pPr>
              <w:jc w:val="right"/>
              <w:rPr>
                <w:rFonts w:eastAsia="Times New Roman"/>
                <w:sz w:val="20"/>
                <w:szCs w:val="20"/>
              </w:rPr>
            </w:pPr>
            <w:r>
              <w:rPr>
                <w:rFonts w:eastAsia="Times New Roman"/>
                <w:sz w:val="20"/>
                <w:szCs w:val="20"/>
              </w:rPr>
              <w:t>462,760</w:t>
            </w:r>
          </w:p>
        </w:tc>
        <w:tc>
          <w:tcPr>
            <w:tcW w:w="0" w:type="auto"/>
            <w:shd w:val="clear" w:color="auto" w:fill="FFFFFF"/>
            <w:vAlign w:val="bottom"/>
            <w:hideMark/>
          </w:tcPr>
          <w:p w14:paraId="6858B09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D7C09E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A954D8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CCBB64B" w14:textId="77777777" w:rsidR="00000000" w:rsidRDefault="002F725F">
            <w:pPr>
              <w:jc w:val="right"/>
              <w:rPr>
                <w:rFonts w:eastAsia="Times New Roman"/>
                <w:sz w:val="20"/>
                <w:szCs w:val="20"/>
              </w:rPr>
            </w:pPr>
            <w:r>
              <w:rPr>
                <w:rFonts w:eastAsia="Times New Roman"/>
                <w:sz w:val="20"/>
                <w:szCs w:val="20"/>
              </w:rPr>
              <w:t>1.1</w:t>
            </w:r>
          </w:p>
        </w:tc>
        <w:tc>
          <w:tcPr>
            <w:tcW w:w="0" w:type="auto"/>
            <w:shd w:val="clear" w:color="auto" w:fill="FFFFFF"/>
            <w:vAlign w:val="bottom"/>
            <w:hideMark/>
          </w:tcPr>
          <w:p w14:paraId="4E1D1FF4" w14:textId="77777777" w:rsidR="00000000" w:rsidRDefault="002F725F">
            <w:pPr>
              <w:rPr>
                <w:rFonts w:eastAsia="Times New Roman"/>
                <w:sz w:val="20"/>
                <w:szCs w:val="20"/>
              </w:rPr>
            </w:pPr>
            <w:r>
              <w:rPr>
                <w:rFonts w:eastAsia="Times New Roman"/>
                <w:sz w:val="20"/>
                <w:szCs w:val="20"/>
              </w:rPr>
              <w:t> </w:t>
            </w:r>
          </w:p>
        </w:tc>
      </w:tr>
      <w:tr w:rsidR="00000000" w14:paraId="028CAE11" w14:textId="77777777">
        <w:trPr>
          <w:divId w:val="415980837"/>
        </w:trPr>
        <w:tc>
          <w:tcPr>
            <w:tcW w:w="0" w:type="auto"/>
            <w:shd w:val="clear" w:color="auto" w:fill="CCEEFF"/>
            <w:vAlign w:val="bottom"/>
            <w:hideMark/>
          </w:tcPr>
          <w:p w14:paraId="4ACDD3F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54A1BD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171B419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BB08EC2"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0F616BD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772D5E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B84944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839125B"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CCEEFF"/>
            <w:vAlign w:val="bottom"/>
            <w:hideMark/>
          </w:tcPr>
          <w:p w14:paraId="3081E721" w14:textId="77777777" w:rsidR="00000000" w:rsidRDefault="002F725F">
            <w:pPr>
              <w:rPr>
                <w:rFonts w:eastAsia="Times New Roman"/>
                <w:sz w:val="20"/>
                <w:szCs w:val="20"/>
              </w:rPr>
            </w:pPr>
            <w:r>
              <w:rPr>
                <w:rFonts w:eastAsia="Times New Roman"/>
                <w:sz w:val="20"/>
                <w:szCs w:val="20"/>
              </w:rPr>
              <w:t> </w:t>
            </w:r>
          </w:p>
        </w:tc>
      </w:tr>
      <w:tr w:rsidR="00000000" w14:paraId="7C242F9B" w14:textId="77777777">
        <w:trPr>
          <w:divId w:val="415980837"/>
        </w:trPr>
        <w:tc>
          <w:tcPr>
            <w:tcW w:w="0" w:type="auto"/>
            <w:shd w:val="clear" w:color="auto" w:fill="FFFFFF"/>
            <w:vAlign w:val="bottom"/>
            <w:hideMark/>
          </w:tcPr>
          <w:p w14:paraId="69FE63D1" w14:textId="77777777" w:rsidR="00000000" w:rsidRDefault="002F725F">
            <w:pPr>
              <w:rPr>
                <w:rFonts w:eastAsia="Times New Roman"/>
                <w:b/>
                <w:bCs/>
                <w:sz w:val="20"/>
                <w:szCs w:val="20"/>
              </w:rPr>
            </w:pPr>
            <w:r>
              <w:rPr>
                <w:rFonts w:eastAsia="Times New Roman"/>
                <w:b/>
                <w:bCs/>
                <w:sz w:val="20"/>
                <w:szCs w:val="20"/>
              </w:rPr>
              <w:t>Directors and Executive Officers of Filing Persons</w:t>
            </w:r>
          </w:p>
        </w:tc>
        <w:tc>
          <w:tcPr>
            <w:tcW w:w="0" w:type="auto"/>
            <w:shd w:val="clear" w:color="auto" w:fill="FFFFFF"/>
            <w:vAlign w:val="bottom"/>
            <w:hideMark/>
          </w:tcPr>
          <w:p w14:paraId="5F48381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09DDD0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334E7E6"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4FB14FB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04C5F1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6CE820D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0408FC8" w14:textId="77777777" w:rsidR="00000000" w:rsidRDefault="002F725F">
            <w:pPr>
              <w:jc w:val="right"/>
              <w:rPr>
                <w:rFonts w:eastAsia="Times New Roman"/>
                <w:sz w:val="20"/>
                <w:szCs w:val="20"/>
              </w:rPr>
            </w:pPr>
            <w:r>
              <w:rPr>
                <w:rFonts w:eastAsia="Times New Roman"/>
                <w:sz w:val="20"/>
                <w:szCs w:val="20"/>
              </w:rPr>
              <w:t> </w:t>
            </w:r>
          </w:p>
        </w:tc>
        <w:tc>
          <w:tcPr>
            <w:tcW w:w="0" w:type="auto"/>
            <w:shd w:val="clear" w:color="auto" w:fill="FFFFFF"/>
            <w:vAlign w:val="bottom"/>
            <w:hideMark/>
          </w:tcPr>
          <w:p w14:paraId="67D89DA2" w14:textId="77777777" w:rsidR="00000000" w:rsidRDefault="002F725F">
            <w:pPr>
              <w:rPr>
                <w:rFonts w:eastAsia="Times New Roman"/>
                <w:sz w:val="20"/>
                <w:szCs w:val="20"/>
              </w:rPr>
            </w:pPr>
            <w:r>
              <w:rPr>
                <w:rFonts w:eastAsia="Times New Roman"/>
                <w:sz w:val="20"/>
                <w:szCs w:val="20"/>
              </w:rPr>
              <w:t> </w:t>
            </w:r>
          </w:p>
        </w:tc>
      </w:tr>
      <w:tr w:rsidR="00000000" w14:paraId="17A514FF" w14:textId="77777777">
        <w:trPr>
          <w:divId w:val="415980837"/>
        </w:trPr>
        <w:tc>
          <w:tcPr>
            <w:tcW w:w="0" w:type="auto"/>
            <w:shd w:val="clear" w:color="auto" w:fill="CCEEFF"/>
            <w:vAlign w:val="bottom"/>
            <w:hideMark/>
          </w:tcPr>
          <w:p w14:paraId="134352C2" w14:textId="77777777" w:rsidR="00000000" w:rsidRDefault="002F725F">
            <w:pPr>
              <w:rPr>
                <w:rFonts w:eastAsia="Times New Roman"/>
                <w:sz w:val="20"/>
                <w:szCs w:val="20"/>
              </w:rPr>
            </w:pPr>
            <w:r>
              <w:rPr>
                <w:rFonts w:eastAsia="Times New Roman"/>
                <w:sz w:val="20"/>
                <w:szCs w:val="20"/>
              </w:rPr>
              <w:t>Huaqin Xue</w:t>
            </w:r>
            <w:r>
              <w:rPr>
                <w:rFonts w:eastAsia="Times New Roman"/>
                <w:sz w:val="20"/>
                <w:szCs w:val="20"/>
                <w:vertAlign w:val="superscript"/>
              </w:rPr>
              <w:t>(3)</w:t>
            </w:r>
          </w:p>
        </w:tc>
        <w:tc>
          <w:tcPr>
            <w:tcW w:w="0" w:type="auto"/>
            <w:shd w:val="clear" w:color="auto" w:fill="CCEEFF"/>
            <w:vAlign w:val="bottom"/>
            <w:hideMark/>
          </w:tcPr>
          <w:p w14:paraId="18CAA34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0E6F3F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7296F3F" w14:textId="77777777" w:rsidR="00000000" w:rsidRDefault="002F725F">
            <w:pPr>
              <w:jc w:val="right"/>
              <w:rPr>
                <w:rFonts w:eastAsia="Times New Roman"/>
                <w:sz w:val="20"/>
                <w:szCs w:val="20"/>
              </w:rPr>
            </w:pPr>
            <w:r>
              <w:rPr>
                <w:rFonts w:eastAsia="Times New Roman"/>
                <w:sz w:val="20"/>
                <w:szCs w:val="20"/>
              </w:rPr>
              <w:t>21,021,332</w:t>
            </w:r>
          </w:p>
        </w:tc>
        <w:tc>
          <w:tcPr>
            <w:tcW w:w="0" w:type="auto"/>
            <w:shd w:val="clear" w:color="auto" w:fill="CCEEFF"/>
            <w:vAlign w:val="bottom"/>
            <w:hideMark/>
          </w:tcPr>
          <w:p w14:paraId="7B9D7FA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4380E1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581D7D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141DECB" w14:textId="77777777" w:rsidR="00000000" w:rsidRDefault="002F725F">
            <w:pPr>
              <w:jc w:val="right"/>
              <w:rPr>
                <w:rFonts w:eastAsia="Times New Roman"/>
                <w:sz w:val="20"/>
                <w:szCs w:val="20"/>
              </w:rPr>
            </w:pPr>
            <w:r>
              <w:rPr>
                <w:rFonts w:eastAsia="Times New Roman"/>
                <w:sz w:val="20"/>
                <w:szCs w:val="20"/>
              </w:rPr>
              <w:t>51.0</w:t>
            </w:r>
          </w:p>
        </w:tc>
        <w:tc>
          <w:tcPr>
            <w:tcW w:w="0" w:type="auto"/>
            <w:shd w:val="clear" w:color="auto" w:fill="CCEEFF"/>
            <w:vAlign w:val="bottom"/>
            <w:hideMark/>
          </w:tcPr>
          <w:p w14:paraId="070CF87A" w14:textId="77777777" w:rsidR="00000000" w:rsidRDefault="002F725F">
            <w:pPr>
              <w:rPr>
                <w:rFonts w:eastAsia="Times New Roman"/>
                <w:sz w:val="20"/>
                <w:szCs w:val="20"/>
              </w:rPr>
            </w:pPr>
            <w:r>
              <w:rPr>
                <w:rFonts w:eastAsia="Times New Roman"/>
                <w:sz w:val="20"/>
                <w:szCs w:val="20"/>
              </w:rPr>
              <w:t> </w:t>
            </w:r>
          </w:p>
        </w:tc>
      </w:tr>
      <w:tr w:rsidR="00000000" w14:paraId="497B7D7A" w14:textId="77777777">
        <w:trPr>
          <w:divId w:val="415980837"/>
        </w:trPr>
        <w:tc>
          <w:tcPr>
            <w:tcW w:w="0" w:type="auto"/>
            <w:shd w:val="clear" w:color="auto" w:fill="FFFFFF"/>
            <w:vAlign w:val="bottom"/>
            <w:hideMark/>
          </w:tcPr>
          <w:p w14:paraId="332348B7" w14:textId="77777777" w:rsidR="00000000" w:rsidRDefault="002F725F">
            <w:pPr>
              <w:rPr>
                <w:rFonts w:eastAsia="Times New Roman"/>
                <w:sz w:val="20"/>
                <w:szCs w:val="20"/>
              </w:rPr>
            </w:pPr>
            <w:r>
              <w:rPr>
                <w:rFonts w:eastAsia="Times New Roman"/>
                <w:sz w:val="20"/>
                <w:szCs w:val="20"/>
              </w:rPr>
              <w:t>Dave Liguang Chenn</w:t>
            </w:r>
            <w:r>
              <w:rPr>
                <w:rFonts w:eastAsia="Times New Roman"/>
                <w:sz w:val="20"/>
                <w:szCs w:val="20"/>
                <w:vertAlign w:val="superscript"/>
              </w:rPr>
              <w:t>(10)</w:t>
            </w:r>
          </w:p>
        </w:tc>
        <w:tc>
          <w:tcPr>
            <w:tcW w:w="0" w:type="auto"/>
            <w:shd w:val="clear" w:color="auto" w:fill="FFFFFF"/>
            <w:vAlign w:val="bottom"/>
            <w:hideMark/>
          </w:tcPr>
          <w:p w14:paraId="6BA9524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9C701D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29E0226" w14:textId="77777777" w:rsidR="00000000" w:rsidRDefault="002F725F">
            <w:pPr>
              <w:jc w:val="right"/>
              <w:rPr>
                <w:rFonts w:eastAsia="Times New Roman"/>
                <w:sz w:val="20"/>
                <w:szCs w:val="20"/>
              </w:rPr>
            </w:pPr>
            <w:r>
              <w:rPr>
                <w:rFonts w:eastAsia="Times New Roman"/>
                <w:sz w:val="20"/>
                <w:szCs w:val="20"/>
              </w:rPr>
              <w:t>462,760</w:t>
            </w:r>
          </w:p>
        </w:tc>
        <w:tc>
          <w:tcPr>
            <w:tcW w:w="0" w:type="auto"/>
            <w:shd w:val="clear" w:color="auto" w:fill="FFFFFF"/>
            <w:vAlign w:val="bottom"/>
            <w:hideMark/>
          </w:tcPr>
          <w:p w14:paraId="42C5475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254FB9A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E918FE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14AB47D" w14:textId="77777777" w:rsidR="00000000" w:rsidRDefault="002F725F">
            <w:pPr>
              <w:jc w:val="right"/>
              <w:rPr>
                <w:rFonts w:eastAsia="Times New Roman"/>
                <w:sz w:val="20"/>
                <w:szCs w:val="20"/>
              </w:rPr>
            </w:pPr>
            <w:r>
              <w:rPr>
                <w:rFonts w:eastAsia="Times New Roman"/>
                <w:sz w:val="20"/>
                <w:szCs w:val="20"/>
              </w:rPr>
              <w:t>1.1</w:t>
            </w:r>
          </w:p>
        </w:tc>
        <w:tc>
          <w:tcPr>
            <w:tcW w:w="0" w:type="auto"/>
            <w:shd w:val="clear" w:color="auto" w:fill="FFFFFF"/>
            <w:vAlign w:val="bottom"/>
            <w:hideMark/>
          </w:tcPr>
          <w:p w14:paraId="19FAE6F8" w14:textId="77777777" w:rsidR="00000000" w:rsidRDefault="002F725F">
            <w:pPr>
              <w:rPr>
                <w:rFonts w:eastAsia="Times New Roman"/>
                <w:sz w:val="20"/>
                <w:szCs w:val="20"/>
              </w:rPr>
            </w:pPr>
            <w:r>
              <w:rPr>
                <w:rFonts w:eastAsia="Times New Roman"/>
                <w:sz w:val="20"/>
                <w:szCs w:val="20"/>
              </w:rPr>
              <w:t> </w:t>
            </w:r>
          </w:p>
        </w:tc>
      </w:tr>
    </w:tbl>
    <w:p w14:paraId="218992CE" w14:textId="77777777" w:rsidR="00000000" w:rsidRDefault="002F725F">
      <w:pPr>
        <w:pStyle w:val="NormalWeb"/>
        <w:spacing w:before="0" w:beforeAutospacing="0" w:after="0" w:afterAutospacing="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504"/>
        <w:gridCol w:w="8850"/>
      </w:tblGrid>
      <w:tr w:rsidR="00000000" w14:paraId="4E5239CF" w14:textId="77777777">
        <w:trPr>
          <w:divId w:val="415980837"/>
          <w:tblCellSpacing w:w="0" w:type="dxa"/>
        </w:trPr>
        <w:tc>
          <w:tcPr>
            <w:tcW w:w="0" w:type="pct"/>
            <w:hideMark/>
          </w:tcPr>
          <w:p w14:paraId="35D1A860" w14:textId="77777777" w:rsidR="00000000" w:rsidRDefault="002F725F">
            <w:pPr>
              <w:rPr>
                <w:sz w:val="20"/>
                <w:szCs w:val="20"/>
              </w:rPr>
            </w:pPr>
          </w:p>
        </w:tc>
        <w:tc>
          <w:tcPr>
            <w:tcW w:w="504" w:type="dxa"/>
            <w:hideMark/>
          </w:tcPr>
          <w:p w14:paraId="473545EA" w14:textId="77777777" w:rsidR="00000000" w:rsidRDefault="002F725F">
            <w:pPr>
              <w:rPr>
                <w:rFonts w:eastAsia="Times New Roman"/>
                <w:sz w:val="20"/>
                <w:szCs w:val="20"/>
              </w:rPr>
            </w:pPr>
            <w:r>
              <w:rPr>
                <w:rFonts w:eastAsia="Times New Roman"/>
                <w:sz w:val="20"/>
                <w:szCs w:val="20"/>
              </w:rPr>
              <w:t>(1)</w:t>
            </w:r>
          </w:p>
        </w:tc>
        <w:tc>
          <w:tcPr>
            <w:tcW w:w="0" w:type="auto"/>
            <w:hideMark/>
          </w:tcPr>
          <w:p w14:paraId="61C7F015" w14:textId="77777777" w:rsidR="00000000" w:rsidRDefault="002F725F">
            <w:pPr>
              <w:jc w:val="both"/>
              <w:rPr>
                <w:rFonts w:eastAsia="Times New Roman"/>
                <w:sz w:val="20"/>
                <w:szCs w:val="20"/>
              </w:rPr>
            </w:pPr>
            <w:r>
              <w:rPr>
                <w:rFonts w:eastAsia="Times New Roman"/>
                <w:sz w:val="20"/>
                <w:szCs w:val="20"/>
              </w:rPr>
              <w:t>For each named person, the percentage ownership includes Shares which the person has the right to acquire within 60 days after the date of this proxy statement. However, such Shares shall not be deemed outstanding with respect to the calculation of ownersh</w:t>
            </w:r>
            <w:r>
              <w:rPr>
                <w:rFonts w:eastAsia="Times New Roman"/>
                <w:sz w:val="20"/>
                <w:szCs w:val="20"/>
              </w:rPr>
              <w:t>ip percentage for any other person.</w:t>
            </w:r>
          </w:p>
        </w:tc>
      </w:tr>
    </w:tbl>
    <w:p w14:paraId="43808E6B" w14:textId="77777777" w:rsidR="00000000" w:rsidRDefault="002F725F">
      <w:pPr>
        <w:pStyle w:val="NormalWeb"/>
        <w:spacing w:before="0" w:beforeAutospacing="0" w:after="0" w:afterAutospacing="0"/>
        <w:divId w:val="415980837"/>
        <w:rPr>
          <w:sz w:val="20"/>
          <w:szCs w:val="20"/>
        </w:rPr>
      </w:pPr>
      <w:r>
        <w:rPr>
          <w:sz w:val="20"/>
          <w:szCs w:val="20"/>
        </w:rPr>
        <w:t> </w:t>
      </w:r>
    </w:p>
    <w:p w14:paraId="35E47F01" w14:textId="77777777" w:rsidR="00000000" w:rsidRDefault="002F725F">
      <w:pPr>
        <w:pStyle w:val="NormalWeb"/>
        <w:spacing w:before="0" w:beforeAutospacing="0" w:after="0" w:afterAutospacing="0"/>
        <w:jc w:val="center"/>
        <w:divId w:val="1706833438"/>
        <w:rPr>
          <w:sz w:val="20"/>
          <w:szCs w:val="20"/>
        </w:rPr>
      </w:pPr>
      <w:r>
        <w:rPr>
          <w:sz w:val="20"/>
          <w:szCs w:val="20"/>
        </w:rPr>
        <w:t>10</w:t>
      </w:r>
      <w:r>
        <w:rPr>
          <w:sz w:val="20"/>
          <w:szCs w:val="20"/>
        </w:rPr>
        <w:t>4</w:t>
      </w:r>
    </w:p>
    <w:p w14:paraId="19E924EE" w14:textId="77777777" w:rsidR="00000000" w:rsidRDefault="002F725F">
      <w:pPr>
        <w:pStyle w:val="NormalWeb"/>
        <w:spacing w:before="0" w:beforeAutospacing="0" w:after="0" w:afterAutospacing="0"/>
        <w:divId w:val="1170950825"/>
        <w:rPr>
          <w:sz w:val="20"/>
          <w:szCs w:val="20"/>
        </w:rPr>
      </w:pPr>
      <w:r>
        <w:rPr>
          <w:sz w:val="20"/>
          <w:szCs w:val="20"/>
        </w:rPr>
        <w:t> </w:t>
      </w:r>
    </w:p>
    <w:p w14:paraId="203A7097"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504"/>
        <w:gridCol w:w="8850"/>
      </w:tblGrid>
      <w:tr w:rsidR="00000000" w14:paraId="32969EDD" w14:textId="77777777">
        <w:trPr>
          <w:divId w:val="415980837"/>
          <w:tblCellSpacing w:w="0" w:type="dxa"/>
        </w:trPr>
        <w:tc>
          <w:tcPr>
            <w:tcW w:w="0" w:type="pct"/>
            <w:hideMark/>
          </w:tcPr>
          <w:p w14:paraId="7CFE182F" w14:textId="77777777" w:rsidR="00000000" w:rsidRDefault="002F725F">
            <w:pPr>
              <w:rPr>
                <w:sz w:val="20"/>
                <w:szCs w:val="20"/>
              </w:rPr>
            </w:pPr>
          </w:p>
        </w:tc>
        <w:tc>
          <w:tcPr>
            <w:tcW w:w="504" w:type="dxa"/>
            <w:hideMark/>
          </w:tcPr>
          <w:p w14:paraId="3AF2C048" w14:textId="77777777" w:rsidR="00000000" w:rsidRDefault="002F725F">
            <w:pPr>
              <w:rPr>
                <w:rFonts w:eastAsia="Times New Roman"/>
                <w:sz w:val="20"/>
                <w:szCs w:val="20"/>
              </w:rPr>
            </w:pPr>
            <w:r>
              <w:rPr>
                <w:rFonts w:eastAsia="Times New Roman"/>
                <w:sz w:val="20"/>
                <w:szCs w:val="20"/>
              </w:rPr>
              <w:t>(2)</w:t>
            </w:r>
          </w:p>
        </w:tc>
        <w:tc>
          <w:tcPr>
            <w:tcW w:w="0" w:type="auto"/>
            <w:hideMark/>
          </w:tcPr>
          <w:p w14:paraId="0DC751B7" w14:textId="77777777" w:rsidR="00000000" w:rsidRDefault="002F725F">
            <w:pPr>
              <w:jc w:val="both"/>
              <w:rPr>
                <w:rFonts w:eastAsia="Times New Roman"/>
                <w:sz w:val="20"/>
                <w:szCs w:val="20"/>
              </w:rPr>
            </w:pPr>
            <w:r>
              <w:rPr>
                <w:rFonts w:eastAsia="Times New Roman"/>
                <w:sz w:val="20"/>
                <w:szCs w:val="20"/>
              </w:rPr>
              <w:t xml:space="preserve">Represents (i) 180,278 Shares held by Mountainview Investment Holdings LLC, a limited liability company incorporated under the laws of the State of Delaware and wholly-controlled by Dr. Hui (David) Shao; </w:t>
            </w:r>
            <w:r>
              <w:rPr>
                <w:rFonts w:eastAsia="Times New Roman"/>
                <w:sz w:val="20"/>
                <w:szCs w:val="20"/>
              </w:rPr>
              <w:t>and (ii) 133,360 Shares directly held by Dr. Hui (David) Shao.</w:t>
            </w:r>
          </w:p>
        </w:tc>
      </w:tr>
    </w:tbl>
    <w:p w14:paraId="575965C4"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504"/>
        <w:gridCol w:w="8850"/>
      </w:tblGrid>
      <w:tr w:rsidR="00000000" w14:paraId="5D3ED675" w14:textId="77777777">
        <w:trPr>
          <w:divId w:val="415980837"/>
          <w:tblCellSpacing w:w="0" w:type="dxa"/>
        </w:trPr>
        <w:tc>
          <w:tcPr>
            <w:tcW w:w="0" w:type="pct"/>
            <w:hideMark/>
          </w:tcPr>
          <w:p w14:paraId="1BA1F61C" w14:textId="77777777" w:rsidR="00000000" w:rsidRDefault="002F725F">
            <w:pPr>
              <w:rPr>
                <w:sz w:val="20"/>
                <w:szCs w:val="20"/>
              </w:rPr>
            </w:pPr>
          </w:p>
        </w:tc>
        <w:tc>
          <w:tcPr>
            <w:tcW w:w="504" w:type="dxa"/>
            <w:hideMark/>
          </w:tcPr>
          <w:p w14:paraId="2F6B44D9" w14:textId="77777777" w:rsidR="00000000" w:rsidRDefault="002F725F">
            <w:pPr>
              <w:rPr>
                <w:rFonts w:eastAsia="Times New Roman"/>
                <w:sz w:val="20"/>
                <w:szCs w:val="20"/>
              </w:rPr>
            </w:pPr>
            <w:r>
              <w:rPr>
                <w:rFonts w:eastAsia="Times New Roman"/>
                <w:sz w:val="20"/>
                <w:szCs w:val="20"/>
              </w:rPr>
              <w:t>(3)</w:t>
            </w:r>
          </w:p>
        </w:tc>
        <w:tc>
          <w:tcPr>
            <w:tcW w:w="0" w:type="auto"/>
            <w:hideMark/>
          </w:tcPr>
          <w:p w14:paraId="413D06E8" w14:textId="77777777" w:rsidR="00000000" w:rsidRDefault="002F725F">
            <w:pPr>
              <w:jc w:val="both"/>
              <w:rPr>
                <w:rFonts w:eastAsia="Times New Roman"/>
                <w:sz w:val="20"/>
                <w:szCs w:val="20"/>
              </w:rPr>
            </w:pPr>
            <w:r>
              <w:rPr>
                <w:rFonts w:eastAsia="Times New Roman"/>
                <w:sz w:val="20"/>
                <w:szCs w:val="20"/>
              </w:rPr>
              <w:t>Represents 21,021,332 Shares owned by Crystal Peak Investment Inc. (“Crystal Peak”).</w:t>
            </w:r>
          </w:p>
        </w:tc>
      </w:tr>
    </w:tbl>
    <w:p w14:paraId="4EB64116"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504"/>
        <w:gridCol w:w="8850"/>
      </w:tblGrid>
      <w:tr w:rsidR="00000000" w14:paraId="7197C2CA" w14:textId="77777777">
        <w:trPr>
          <w:divId w:val="415980837"/>
          <w:tblCellSpacing w:w="0" w:type="dxa"/>
        </w:trPr>
        <w:tc>
          <w:tcPr>
            <w:tcW w:w="0" w:type="pct"/>
            <w:hideMark/>
          </w:tcPr>
          <w:p w14:paraId="40EBC920" w14:textId="77777777" w:rsidR="00000000" w:rsidRDefault="002F725F">
            <w:pPr>
              <w:rPr>
                <w:sz w:val="20"/>
                <w:szCs w:val="20"/>
              </w:rPr>
            </w:pPr>
          </w:p>
        </w:tc>
        <w:tc>
          <w:tcPr>
            <w:tcW w:w="504" w:type="dxa"/>
            <w:hideMark/>
          </w:tcPr>
          <w:p w14:paraId="308FAC30" w14:textId="77777777" w:rsidR="00000000" w:rsidRDefault="002F725F">
            <w:pPr>
              <w:rPr>
                <w:rFonts w:eastAsia="Times New Roman"/>
                <w:sz w:val="20"/>
                <w:szCs w:val="20"/>
              </w:rPr>
            </w:pPr>
            <w:r>
              <w:rPr>
                <w:rFonts w:eastAsia="Times New Roman"/>
                <w:sz w:val="20"/>
                <w:szCs w:val="20"/>
              </w:rPr>
              <w:t>(4)</w:t>
            </w:r>
          </w:p>
        </w:tc>
        <w:tc>
          <w:tcPr>
            <w:tcW w:w="0" w:type="auto"/>
            <w:hideMark/>
          </w:tcPr>
          <w:p w14:paraId="12CD85EE" w14:textId="77777777" w:rsidR="00000000" w:rsidRDefault="002F725F">
            <w:pPr>
              <w:jc w:val="both"/>
              <w:rPr>
                <w:rFonts w:eastAsia="Times New Roman"/>
                <w:sz w:val="20"/>
                <w:szCs w:val="20"/>
              </w:rPr>
            </w:pPr>
            <w:r>
              <w:rPr>
                <w:rFonts w:eastAsia="Times New Roman"/>
                <w:sz w:val="20"/>
                <w:szCs w:val="20"/>
              </w:rPr>
              <w:t>Represents 9,836,010 Shares owned by Apex Prospect Limited (“Apex”). Ms. Fung Ching Wong (“Ms. Wong”) currently exercises voting and dispositive control over these Shares. Apex and Ms. Wong may each be deemed to have shared voting and dispositive power ove</w:t>
            </w:r>
            <w:r>
              <w:rPr>
                <w:rFonts w:eastAsia="Times New Roman"/>
                <w:sz w:val="20"/>
                <w:szCs w:val="20"/>
              </w:rPr>
              <w:t>r all of these Shares. Information set forth above is based upon Ms. Wong’s Schedule 13D filed with the SEC on February 14, 2024, as amended on July 15, 2025.</w:t>
            </w:r>
          </w:p>
        </w:tc>
      </w:tr>
    </w:tbl>
    <w:p w14:paraId="6618BC96"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504"/>
        <w:gridCol w:w="8850"/>
      </w:tblGrid>
      <w:tr w:rsidR="00000000" w14:paraId="3788BB9A" w14:textId="77777777">
        <w:trPr>
          <w:divId w:val="415980837"/>
          <w:tblCellSpacing w:w="0" w:type="dxa"/>
        </w:trPr>
        <w:tc>
          <w:tcPr>
            <w:tcW w:w="0" w:type="pct"/>
            <w:hideMark/>
          </w:tcPr>
          <w:p w14:paraId="5E07B469" w14:textId="77777777" w:rsidR="00000000" w:rsidRDefault="002F725F">
            <w:pPr>
              <w:rPr>
                <w:sz w:val="20"/>
                <w:szCs w:val="20"/>
              </w:rPr>
            </w:pPr>
          </w:p>
        </w:tc>
        <w:tc>
          <w:tcPr>
            <w:tcW w:w="504" w:type="dxa"/>
            <w:hideMark/>
          </w:tcPr>
          <w:p w14:paraId="68A10BE4" w14:textId="77777777" w:rsidR="00000000" w:rsidRDefault="002F725F">
            <w:pPr>
              <w:rPr>
                <w:rFonts w:eastAsia="Times New Roman"/>
                <w:sz w:val="20"/>
                <w:szCs w:val="20"/>
              </w:rPr>
            </w:pPr>
            <w:r>
              <w:rPr>
                <w:rFonts w:eastAsia="Times New Roman"/>
                <w:sz w:val="20"/>
                <w:szCs w:val="20"/>
              </w:rPr>
              <w:t>(5)</w:t>
            </w:r>
          </w:p>
        </w:tc>
        <w:tc>
          <w:tcPr>
            <w:tcW w:w="0" w:type="auto"/>
            <w:hideMark/>
          </w:tcPr>
          <w:p w14:paraId="05520B50" w14:textId="77777777" w:rsidR="00000000" w:rsidRDefault="002F725F">
            <w:pPr>
              <w:jc w:val="both"/>
              <w:rPr>
                <w:rFonts w:eastAsia="Times New Roman"/>
                <w:sz w:val="20"/>
                <w:szCs w:val="20"/>
              </w:rPr>
            </w:pPr>
            <w:r>
              <w:rPr>
                <w:rFonts w:eastAsia="Times New Roman"/>
                <w:sz w:val="20"/>
                <w:szCs w:val="20"/>
              </w:rPr>
              <w:t>Represents (i) 3,897,200 Shares held by All Brilliance Investments Limited, a limited lia</w:t>
            </w:r>
            <w:r>
              <w:rPr>
                <w:rFonts w:eastAsia="Times New Roman"/>
                <w:sz w:val="20"/>
                <w:szCs w:val="20"/>
              </w:rPr>
              <w:t>bility company incorporated under the laws of British Virgin Islands and being wholly-controlled by Mr. Yi Zhang; (ii) 457,150 Shares held by Hopeful World Company Limited, a limited liability company incorporated under the laws of British Virgin Islands a</w:t>
            </w:r>
            <w:r>
              <w:rPr>
                <w:rFonts w:eastAsia="Times New Roman"/>
                <w:sz w:val="20"/>
                <w:szCs w:val="20"/>
              </w:rPr>
              <w:t>nd being wholly-controlled by Ms. Rui Mi, the spouse of Mr. Yi Zhang; (iii) 243,575 Shares held by Acton Town International Limited, a limited liability company incorporated under the laws of British Virgin Islands and being held wholly-controlled by Ms. N</w:t>
            </w:r>
            <w:r>
              <w:rPr>
                <w:rFonts w:eastAsia="Times New Roman"/>
                <w:sz w:val="20"/>
                <w:szCs w:val="20"/>
              </w:rPr>
              <w:t>an Zhang, a daughter of Mr. Yi Zhang; (iv) 243,575 Shares held by Apex Pride Global Limited, a limited liability company incorporated under the laws of British Virgin Islands and wholly-controlled by Ms. Xu Zhang, a daughter of Mr. Yi Zhang; (v) 62,919 Sha</w:t>
            </w:r>
            <w:r>
              <w:rPr>
                <w:rFonts w:eastAsia="Times New Roman"/>
                <w:sz w:val="20"/>
                <w:szCs w:val="20"/>
              </w:rPr>
              <w:t>res directly held by Mr. Yi Zhang; (vi) 1,334 Shares directly held by Ms. Nan Zhang; and (vii) 3,166 Shares directly held by Ms. Xu Zhang. Mr. Yi Zhang and his aforementioned affiliates have entered into an acting-in-concert agreement to act in concert wit</w:t>
            </w:r>
            <w:r>
              <w:rPr>
                <w:rFonts w:eastAsia="Times New Roman"/>
                <w:sz w:val="20"/>
                <w:szCs w:val="20"/>
              </w:rPr>
              <w:t>h Mr. Yi Zhang. Information set forth above is based upon Mr. Yi Zhang and his affiliated entities’ Amendment No.1 to Schedule 13G filed with the SEC on February 16, 2024, after giving effect to the share consolidation of the Company completed in September</w:t>
            </w:r>
            <w:r>
              <w:rPr>
                <w:rFonts w:eastAsia="Times New Roman"/>
                <w:sz w:val="20"/>
                <w:szCs w:val="20"/>
              </w:rPr>
              <w:t xml:space="preserve"> 2024.</w:t>
            </w:r>
          </w:p>
        </w:tc>
      </w:tr>
    </w:tbl>
    <w:p w14:paraId="1391DDFC"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504"/>
        <w:gridCol w:w="8850"/>
      </w:tblGrid>
      <w:tr w:rsidR="00000000" w14:paraId="09EBE3B4" w14:textId="77777777">
        <w:trPr>
          <w:divId w:val="415980837"/>
          <w:tblCellSpacing w:w="0" w:type="dxa"/>
        </w:trPr>
        <w:tc>
          <w:tcPr>
            <w:tcW w:w="0" w:type="pct"/>
            <w:hideMark/>
          </w:tcPr>
          <w:p w14:paraId="5DFDDA9F" w14:textId="77777777" w:rsidR="00000000" w:rsidRDefault="002F725F">
            <w:pPr>
              <w:rPr>
                <w:sz w:val="20"/>
                <w:szCs w:val="20"/>
              </w:rPr>
            </w:pPr>
          </w:p>
        </w:tc>
        <w:tc>
          <w:tcPr>
            <w:tcW w:w="504" w:type="dxa"/>
            <w:hideMark/>
          </w:tcPr>
          <w:p w14:paraId="6EB8E9F0" w14:textId="77777777" w:rsidR="00000000" w:rsidRDefault="002F725F">
            <w:pPr>
              <w:rPr>
                <w:rFonts w:eastAsia="Times New Roman"/>
                <w:sz w:val="20"/>
                <w:szCs w:val="20"/>
              </w:rPr>
            </w:pPr>
            <w:r>
              <w:rPr>
                <w:rFonts w:eastAsia="Times New Roman"/>
                <w:sz w:val="20"/>
                <w:szCs w:val="20"/>
              </w:rPr>
              <w:t>(6)</w:t>
            </w:r>
          </w:p>
        </w:tc>
        <w:tc>
          <w:tcPr>
            <w:tcW w:w="0" w:type="auto"/>
            <w:hideMark/>
          </w:tcPr>
          <w:p w14:paraId="46F396C5" w14:textId="77777777" w:rsidR="00000000" w:rsidRDefault="002F725F">
            <w:pPr>
              <w:jc w:val="both"/>
              <w:rPr>
                <w:rFonts w:eastAsia="Times New Roman"/>
                <w:sz w:val="20"/>
                <w:szCs w:val="20"/>
              </w:rPr>
            </w:pPr>
            <w:r>
              <w:rPr>
                <w:rFonts w:eastAsia="Times New Roman"/>
                <w:sz w:val="20"/>
                <w:szCs w:val="20"/>
              </w:rPr>
              <w:t>Represents 21,021,332 Shares owned by Crystal Peak which is wholly owned by Crystal Peak Holdings Inc. (“Crystal Holdings”).</w:t>
            </w:r>
          </w:p>
        </w:tc>
      </w:tr>
    </w:tbl>
    <w:p w14:paraId="398B2597"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504"/>
        <w:gridCol w:w="8850"/>
      </w:tblGrid>
      <w:tr w:rsidR="00000000" w14:paraId="698E426D" w14:textId="77777777">
        <w:trPr>
          <w:divId w:val="415980837"/>
          <w:tblCellSpacing w:w="0" w:type="dxa"/>
        </w:trPr>
        <w:tc>
          <w:tcPr>
            <w:tcW w:w="0" w:type="pct"/>
            <w:hideMark/>
          </w:tcPr>
          <w:p w14:paraId="2A2DEA59" w14:textId="77777777" w:rsidR="00000000" w:rsidRDefault="002F725F">
            <w:pPr>
              <w:rPr>
                <w:sz w:val="20"/>
                <w:szCs w:val="20"/>
              </w:rPr>
            </w:pPr>
          </w:p>
        </w:tc>
        <w:tc>
          <w:tcPr>
            <w:tcW w:w="504" w:type="dxa"/>
            <w:hideMark/>
          </w:tcPr>
          <w:p w14:paraId="3E841FAA" w14:textId="77777777" w:rsidR="00000000" w:rsidRDefault="002F725F">
            <w:pPr>
              <w:rPr>
                <w:rFonts w:eastAsia="Times New Roman"/>
                <w:sz w:val="20"/>
                <w:szCs w:val="20"/>
              </w:rPr>
            </w:pPr>
            <w:r>
              <w:rPr>
                <w:rFonts w:eastAsia="Times New Roman"/>
                <w:sz w:val="20"/>
                <w:szCs w:val="20"/>
              </w:rPr>
              <w:t>(7)</w:t>
            </w:r>
          </w:p>
        </w:tc>
        <w:tc>
          <w:tcPr>
            <w:tcW w:w="0" w:type="auto"/>
            <w:hideMark/>
          </w:tcPr>
          <w:p w14:paraId="6DBF9399" w14:textId="77777777" w:rsidR="00000000" w:rsidRDefault="002F725F">
            <w:pPr>
              <w:jc w:val="both"/>
              <w:rPr>
                <w:rFonts w:eastAsia="Times New Roman"/>
                <w:sz w:val="20"/>
                <w:szCs w:val="20"/>
              </w:rPr>
            </w:pPr>
            <w:r>
              <w:rPr>
                <w:rFonts w:eastAsia="Times New Roman"/>
                <w:sz w:val="20"/>
                <w:szCs w:val="20"/>
              </w:rPr>
              <w:t xml:space="preserve">Represents 21,021,332 Shares owned by Crystal Peak which is wholly owned by Crystal Holdings. Huaqin Xue is </w:t>
            </w:r>
            <w:r>
              <w:rPr>
                <w:rFonts w:eastAsia="Times New Roman"/>
                <w:sz w:val="20"/>
                <w:szCs w:val="20"/>
              </w:rPr>
              <w:t>a director of both Crystal Peak and Crystal Holdings and is the sole shareholder of Crystal Holdings and may be deemed to be the beneficial owner of these Shares.</w:t>
            </w:r>
          </w:p>
        </w:tc>
      </w:tr>
    </w:tbl>
    <w:p w14:paraId="11973487"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504"/>
        <w:gridCol w:w="8850"/>
      </w:tblGrid>
      <w:tr w:rsidR="00000000" w14:paraId="0968959F" w14:textId="77777777">
        <w:trPr>
          <w:divId w:val="415980837"/>
          <w:tblCellSpacing w:w="0" w:type="dxa"/>
        </w:trPr>
        <w:tc>
          <w:tcPr>
            <w:tcW w:w="0" w:type="pct"/>
            <w:hideMark/>
          </w:tcPr>
          <w:p w14:paraId="70C6EC37" w14:textId="77777777" w:rsidR="00000000" w:rsidRDefault="002F725F">
            <w:pPr>
              <w:rPr>
                <w:sz w:val="20"/>
                <w:szCs w:val="20"/>
              </w:rPr>
            </w:pPr>
          </w:p>
        </w:tc>
        <w:tc>
          <w:tcPr>
            <w:tcW w:w="504" w:type="dxa"/>
            <w:hideMark/>
          </w:tcPr>
          <w:p w14:paraId="1A60FDA2" w14:textId="77777777" w:rsidR="00000000" w:rsidRDefault="002F725F">
            <w:pPr>
              <w:rPr>
                <w:rFonts w:eastAsia="Times New Roman"/>
                <w:sz w:val="20"/>
                <w:szCs w:val="20"/>
              </w:rPr>
            </w:pPr>
            <w:r>
              <w:rPr>
                <w:rFonts w:eastAsia="Times New Roman"/>
                <w:sz w:val="20"/>
                <w:szCs w:val="20"/>
              </w:rPr>
              <w:t>(8)</w:t>
            </w:r>
          </w:p>
        </w:tc>
        <w:tc>
          <w:tcPr>
            <w:tcW w:w="0" w:type="auto"/>
            <w:hideMark/>
          </w:tcPr>
          <w:p w14:paraId="15EEE8E0" w14:textId="77777777" w:rsidR="00000000" w:rsidRDefault="002F725F">
            <w:pPr>
              <w:jc w:val="both"/>
              <w:rPr>
                <w:rFonts w:eastAsia="Times New Roman"/>
                <w:sz w:val="20"/>
                <w:szCs w:val="20"/>
              </w:rPr>
            </w:pPr>
            <w:r>
              <w:rPr>
                <w:rFonts w:eastAsia="Times New Roman"/>
                <w:sz w:val="20"/>
                <w:szCs w:val="20"/>
              </w:rPr>
              <w:t>Represents 52,200 Shares held by Oceanpine Capital Inc. (the “Sponsor”).</w:t>
            </w:r>
          </w:p>
        </w:tc>
      </w:tr>
    </w:tbl>
    <w:p w14:paraId="0C40A9BD" w14:textId="77777777" w:rsidR="00000000" w:rsidRDefault="002F725F">
      <w:pPr>
        <w:pStyle w:val="NormalWeb"/>
        <w:spacing w:before="0" w:beforeAutospacing="0" w:after="0" w:afterAutospacing="0"/>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6"/>
        <w:gridCol w:w="504"/>
        <w:gridCol w:w="8850"/>
      </w:tblGrid>
      <w:tr w:rsidR="00000000" w14:paraId="077F06E2" w14:textId="77777777">
        <w:trPr>
          <w:divId w:val="415980837"/>
          <w:tblCellSpacing w:w="0" w:type="dxa"/>
        </w:trPr>
        <w:tc>
          <w:tcPr>
            <w:tcW w:w="0" w:type="pct"/>
            <w:hideMark/>
          </w:tcPr>
          <w:p w14:paraId="27BC7B3F" w14:textId="77777777" w:rsidR="00000000" w:rsidRDefault="002F725F">
            <w:pPr>
              <w:rPr>
                <w:sz w:val="20"/>
                <w:szCs w:val="20"/>
              </w:rPr>
            </w:pPr>
          </w:p>
        </w:tc>
        <w:tc>
          <w:tcPr>
            <w:tcW w:w="504" w:type="dxa"/>
            <w:hideMark/>
          </w:tcPr>
          <w:p w14:paraId="04D0F396" w14:textId="77777777" w:rsidR="00000000" w:rsidRDefault="002F725F">
            <w:pPr>
              <w:rPr>
                <w:rFonts w:eastAsia="Times New Roman"/>
                <w:sz w:val="20"/>
                <w:szCs w:val="20"/>
              </w:rPr>
            </w:pPr>
            <w:r>
              <w:rPr>
                <w:rFonts w:eastAsia="Times New Roman"/>
                <w:sz w:val="20"/>
                <w:szCs w:val="20"/>
              </w:rPr>
              <w:t>(9)</w:t>
            </w:r>
          </w:p>
        </w:tc>
        <w:tc>
          <w:tcPr>
            <w:tcW w:w="0" w:type="auto"/>
            <w:hideMark/>
          </w:tcPr>
          <w:p w14:paraId="5F1D70D8" w14:textId="77777777" w:rsidR="00000000" w:rsidRDefault="002F725F">
            <w:pPr>
              <w:jc w:val="both"/>
              <w:rPr>
                <w:rFonts w:eastAsia="Times New Roman"/>
                <w:sz w:val="20"/>
                <w:szCs w:val="20"/>
              </w:rPr>
            </w:pPr>
            <w:r>
              <w:rPr>
                <w:rFonts w:eastAsia="Times New Roman"/>
                <w:sz w:val="20"/>
                <w:szCs w:val="20"/>
              </w:rPr>
              <w:t>Represents 410,560 Shares held by Oceanpine Investment Fund II LP. (“Oceanpine Investment”).</w:t>
            </w:r>
          </w:p>
        </w:tc>
      </w:tr>
    </w:tbl>
    <w:p w14:paraId="2F37BB9C"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504"/>
        <w:gridCol w:w="8850"/>
      </w:tblGrid>
      <w:tr w:rsidR="00000000" w14:paraId="581FABF8" w14:textId="77777777">
        <w:trPr>
          <w:divId w:val="415980837"/>
          <w:tblCellSpacing w:w="0" w:type="dxa"/>
        </w:trPr>
        <w:tc>
          <w:tcPr>
            <w:tcW w:w="0" w:type="pct"/>
            <w:hideMark/>
          </w:tcPr>
          <w:p w14:paraId="0825094C" w14:textId="77777777" w:rsidR="00000000" w:rsidRDefault="002F725F">
            <w:pPr>
              <w:rPr>
                <w:sz w:val="20"/>
                <w:szCs w:val="20"/>
              </w:rPr>
            </w:pPr>
          </w:p>
        </w:tc>
        <w:tc>
          <w:tcPr>
            <w:tcW w:w="504" w:type="dxa"/>
            <w:hideMark/>
          </w:tcPr>
          <w:p w14:paraId="0FE24FE0" w14:textId="77777777" w:rsidR="00000000" w:rsidRDefault="002F725F">
            <w:pPr>
              <w:rPr>
                <w:rFonts w:eastAsia="Times New Roman"/>
                <w:sz w:val="20"/>
                <w:szCs w:val="20"/>
              </w:rPr>
            </w:pPr>
            <w:r>
              <w:rPr>
                <w:rFonts w:eastAsia="Times New Roman"/>
                <w:sz w:val="20"/>
                <w:szCs w:val="20"/>
              </w:rPr>
              <w:t>(10)</w:t>
            </w:r>
          </w:p>
        </w:tc>
        <w:tc>
          <w:tcPr>
            <w:tcW w:w="0" w:type="auto"/>
            <w:hideMark/>
          </w:tcPr>
          <w:p w14:paraId="781EFEBE" w14:textId="77777777" w:rsidR="00000000" w:rsidRDefault="002F725F">
            <w:pPr>
              <w:jc w:val="both"/>
              <w:rPr>
                <w:rFonts w:eastAsia="Times New Roman"/>
                <w:sz w:val="20"/>
                <w:szCs w:val="20"/>
              </w:rPr>
            </w:pPr>
            <w:r>
              <w:rPr>
                <w:rFonts w:eastAsia="Times New Roman"/>
                <w:sz w:val="20"/>
                <w:szCs w:val="20"/>
              </w:rPr>
              <w:t xml:space="preserve">Represents (i) 52,200 Shares held by the Sponsor; and (ii) 410,560 Shares held by Oceanpine Investment. Mr. Dave Liguang Chenn is the managing partner of </w:t>
            </w:r>
            <w:r>
              <w:rPr>
                <w:rFonts w:eastAsia="Times New Roman"/>
                <w:sz w:val="20"/>
                <w:szCs w:val="20"/>
              </w:rPr>
              <w:t>both the Sponsor and Oceanpine Investment and may be deemed to be the beneficial owner of these Shares.</w:t>
            </w:r>
          </w:p>
        </w:tc>
      </w:tr>
    </w:tbl>
    <w:p w14:paraId="52152721" w14:textId="77777777" w:rsidR="00000000" w:rsidRDefault="002F725F">
      <w:pPr>
        <w:pStyle w:val="NormalWeb"/>
        <w:spacing w:before="0" w:beforeAutospacing="0" w:after="0" w:afterAutospacing="0"/>
        <w:divId w:val="415980837"/>
        <w:rPr>
          <w:sz w:val="20"/>
          <w:szCs w:val="20"/>
        </w:rPr>
      </w:pPr>
      <w:r>
        <w:rPr>
          <w:sz w:val="20"/>
          <w:szCs w:val="20"/>
        </w:rPr>
        <w:t> </w:t>
      </w:r>
    </w:p>
    <w:p w14:paraId="108AF54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As of the date of this proxy statement, to our knowledge, our directors and executive officers intend to vote all their Shares in favor of the author</w:t>
      </w:r>
      <w:r>
        <w:rPr>
          <w:sz w:val="20"/>
          <w:szCs w:val="20"/>
        </w:rPr>
        <w:t>ization and approval of the Merger Agreement, the Plan of Merger and the consummation of the Transactions.</w:t>
      </w:r>
    </w:p>
    <w:p w14:paraId="3DEF976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B902DA0" w14:textId="77777777" w:rsidR="00000000" w:rsidRDefault="002F725F">
      <w:pPr>
        <w:pStyle w:val="NormalWeb"/>
        <w:spacing w:before="0" w:beforeAutospacing="0" w:after="0" w:afterAutospacing="0"/>
        <w:jc w:val="center"/>
        <w:divId w:val="335546652"/>
        <w:rPr>
          <w:sz w:val="20"/>
          <w:szCs w:val="20"/>
        </w:rPr>
      </w:pPr>
      <w:r>
        <w:rPr>
          <w:sz w:val="20"/>
          <w:szCs w:val="20"/>
        </w:rPr>
        <w:t>10</w:t>
      </w:r>
      <w:r>
        <w:rPr>
          <w:sz w:val="20"/>
          <w:szCs w:val="20"/>
        </w:rPr>
        <w:t>5</w:t>
      </w:r>
    </w:p>
    <w:p w14:paraId="5533197B" w14:textId="77777777" w:rsidR="00000000" w:rsidRDefault="002F725F">
      <w:pPr>
        <w:pStyle w:val="NormalWeb"/>
        <w:spacing w:before="0" w:beforeAutospacing="0" w:after="0" w:afterAutospacing="0"/>
        <w:divId w:val="1968898572"/>
        <w:rPr>
          <w:sz w:val="20"/>
          <w:szCs w:val="20"/>
        </w:rPr>
      </w:pPr>
      <w:r>
        <w:rPr>
          <w:sz w:val="20"/>
          <w:szCs w:val="20"/>
        </w:rPr>
        <w:t> </w:t>
      </w:r>
    </w:p>
    <w:p w14:paraId="24657307"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62FAAA3C" w14:textId="77777777" w:rsidR="00000000" w:rsidRDefault="002F725F">
      <w:pPr>
        <w:pStyle w:val="NormalWeb"/>
        <w:spacing w:before="0" w:beforeAutospacing="0" w:after="0" w:afterAutospacing="0"/>
        <w:jc w:val="center"/>
        <w:divId w:val="415980837"/>
        <w:rPr>
          <w:sz w:val="20"/>
          <w:szCs w:val="20"/>
        </w:rPr>
      </w:pPr>
      <w:bookmarkStart w:id="31" w:name="gfpea028961701ex99-a1.htmk_012"/>
      <w:bookmarkEnd w:id="31"/>
      <w:r>
        <w:rPr>
          <w:b/>
          <w:bCs/>
          <w:sz w:val="20"/>
          <w:szCs w:val="20"/>
        </w:rPr>
        <w:t>FUTURE SHAREHOLDER PROPOSALS</w:t>
      </w:r>
    </w:p>
    <w:p w14:paraId="45619FB5"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D38A96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If the Merger is consummated, we will not have public shareholders and there will be no public participants </w:t>
      </w:r>
      <w:r>
        <w:rPr>
          <w:sz w:val="20"/>
          <w:szCs w:val="20"/>
        </w:rPr>
        <w:t>in any future shareholders’ meeting.</w:t>
      </w:r>
    </w:p>
    <w:p w14:paraId="11C8060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19AF435" w14:textId="77777777" w:rsidR="00000000" w:rsidRDefault="002F725F">
      <w:pPr>
        <w:pStyle w:val="NormalWeb"/>
        <w:spacing w:before="0" w:beforeAutospacing="0" w:after="0" w:afterAutospacing="0"/>
        <w:jc w:val="center"/>
        <w:divId w:val="210920048"/>
        <w:rPr>
          <w:sz w:val="20"/>
          <w:szCs w:val="20"/>
        </w:rPr>
      </w:pPr>
      <w:r>
        <w:rPr>
          <w:sz w:val="20"/>
          <w:szCs w:val="20"/>
        </w:rPr>
        <w:t>10</w:t>
      </w:r>
      <w:r>
        <w:rPr>
          <w:sz w:val="20"/>
          <w:szCs w:val="20"/>
        </w:rPr>
        <w:t>6</w:t>
      </w:r>
    </w:p>
    <w:p w14:paraId="709776A8" w14:textId="77777777" w:rsidR="00000000" w:rsidRDefault="002F725F">
      <w:pPr>
        <w:pStyle w:val="NormalWeb"/>
        <w:spacing w:before="0" w:beforeAutospacing="0" w:after="0" w:afterAutospacing="0"/>
        <w:divId w:val="2001611530"/>
        <w:rPr>
          <w:sz w:val="20"/>
          <w:szCs w:val="20"/>
        </w:rPr>
      </w:pPr>
      <w:r>
        <w:rPr>
          <w:sz w:val="20"/>
          <w:szCs w:val="20"/>
        </w:rPr>
        <w:t> </w:t>
      </w:r>
    </w:p>
    <w:p w14:paraId="7DB01053"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666F45BF" w14:textId="77777777" w:rsidR="00000000" w:rsidRDefault="002F725F">
      <w:pPr>
        <w:pStyle w:val="NormalWeb"/>
        <w:spacing w:before="0" w:beforeAutospacing="0" w:after="0" w:afterAutospacing="0"/>
        <w:jc w:val="center"/>
        <w:divId w:val="415980837"/>
        <w:rPr>
          <w:sz w:val="20"/>
          <w:szCs w:val="20"/>
        </w:rPr>
      </w:pPr>
      <w:bookmarkStart w:id="32" w:name="gfpea028961701ex99-a1.htmk_013"/>
      <w:bookmarkEnd w:id="32"/>
      <w:r>
        <w:rPr>
          <w:b/>
          <w:bCs/>
          <w:sz w:val="20"/>
          <w:szCs w:val="20"/>
        </w:rPr>
        <w:t>CAUTIONARY NOTE REGARDING FORWARD-LOOKING STATEMENTS</w:t>
      </w:r>
    </w:p>
    <w:p w14:paraId="55D3AB7E"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3466EB5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Certain statements in this </w:t>
      </w:r>
      <w:r>
        <w:rPr>
          <w:sz w:val="20"/>
          <w:szCs w:val="20"/>
        </w:rPr>
        <w:t>proxy statement, the documents attached hereto and the documents incorporated by reference into this proxy statement are forward-looking statements based on estimates and assumptions. These include statements as to such things as our financial condition, r</w:t>
      </w:r>
      <w:r>
        <w:rPr>
          <w:sz w:val="20"/>
          <w:szCs w:val="20"/>
        </w:rPr>
        <w:t>esults of operations, plans, objectives, future performance and business, as well as forward-looking statements relating to the Merger. Such forward-looking statements are based on facts and conditions as they exist at the time such statements are made. Fo</w:t>
      </w:r>
      <w:r>
        <w:rPr>
          <w:sz w:val="20"/>
          <w:szCs w:val="20"/>
        </w:rPr>
        <w:t>rward-looking statements are also based on current expectations, estimates and projections about our business and the Merger, the accurate prediction of which may be difficult and involve the assessment of events beyond our control. The forward-looking sta</w:t>
      </w:r>
      <w:r>
        <w:rPr>
          <w:sz w:val="20"/>
          <w:szCs w:val="20"/>
        </w:rPr>
        <w:t>tements are further based on assumptions made by management. Forward-looking statements can be identified by forward-looking language, including words such as “believes,” “anticipates,” “expects,” “estimates,” “intends,” “may,” “plans,” “predicts,” “projec</w:t>
      </w:r>
      <w:r>
        <w:rPr>
          <w:sz w:val="20"/>
          <w:szCs w:val="20"/>
        </w:rPr>
        <w:t>ts,” “will,” “would,” and similar expressions, or the negative of these words. These statements are not guarantees of the underlying expectations or future performance and involve risks and uncertainties that are difficult to predict. Readers of this proxy</w:t>
      </w:r>
      <w:r>
        <w:rPr>
          <w:sz w:val="20"/>
          <w:szCs w:val="20"/>
        </w:rPr>
        <w:t xml:space="preserve"> statement are cautioned to consider these risks and uncertainties and not to place undue reliance on any forward-looking statements.</w:t>
      </w:r>
    </w:p>
    <w:p w14:paraId="6B5E8DD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57558C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following factors, among other things, could cause actual results or matters related to the Merger to differ materia</w:t>
      </w:r>
      <w:r>
        <w:rPr>
          <w:sz w:val="20"/>
          <w:szCs w:val="20"/>
        </w:rPr>
        <w:t>lly from what is expressed or forecasted in the forward-looking statements:</w:t>
      </w:r>
    </w:p>
    <w:p w14:paraId="21DB05E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9FE3123" w14:textId="77777777">
        <w:trPr>
          <w:divId w:val="415980837"/>
          <w:tblCellSpacing w:w="0" w:type="dxa"/>
        </w:trPr>
        <w:tc>
          <w:tcPr>
            <w:tcW w:w="720" w:type="dxa"/>
            <w:hideMark/>
          </w:tcPr>
          <w:p w14:paraId="6A7D8F28" w14:textId="77777777" w:rsidR="00000000" w:rsidRDefault="002F725F">
            <w:pPr>
              <w:rPr>
                <w:sz w:val="20"/>
                <w:szCs w:val="20"/>
              </w:rPr>
            </w:pPr>
          </w:p>
        </w:tc>
        <w:tc>
          <w:tcPr>
            <w:tcW w:w="360" w:type="dxa"/>
            <w:hideMark/>
          </w:tcPr>
          <w:p w14:paraId="6DE9EC7C" w14:textId="77777777" w:rsidR="00000000" w:rsidRDefault="002F725F">
            <w:pPr>
              <w:rPr>
                <w:rFonts w:eastAsia="Times New Roman"/>
                <w:sz w:val="20"/>
                <w:szCs w:val="20"/>
              </w:rPr>
            </w:pPr>
            <w:r>
              <w:rPr>
                <w:rFonts w:eastAsia="Times New Roman"/>
                <w:sz w:val="20"/>
                <w:szCs w:val="20"/>
              </w:rPr>
              <w:t>●</w:t>
            </w:r>
          </w:p>
        </w:tc>
        <w:tc>
          <w:tcPr>
            <w:tcW w:w="0" w:type="auto"/>
            <w:hideMark/>
          </w:tcPr>
          <w:p w14:paraId="42225406" w14:textId="77777777" w:rsidR="00000000" w:rsidRDefault="002F725F">
            <w:pPr>
              <w:jc w:val="both"/>
              <w:rPr>
                <w:rFonts w:eastAsia="Times New Roman"/>
                <w:sz w:val="20"/>
                <w:szCs w:val="20"/>
              </w:rPr>
            </w:pPr>
            <w:r>
              <w:rPr>
                <w:rFonts w:eastAsia="Times New Roman"/>
                <w:sz w:val="20"/>
                <w:szCs w:val="20"/>
              </w:rPr>
              <w:t>the satisfaction of the conditions to the consummation of the Merger, including the authorization and approval of the Merger Agreement by our shareholders;</w:t>
            </w:r>
          </w:p>
        </w:tc>
      </w:tr>
    </w:tbl>
    <w:p w14:paraId="67AFE614"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370BD37" w14:textId="77777777">
        <w:trPr>
          <w:divId w:val="415980837"/>
          <w:tblCellSpacing w:w="0" w:type="dxa"/>
        </w:trPr>
        <w:tc>
          <w:tcPr>
            <w:tcW w:w="720" w:type="dxa"/>
            <w:hideMark/>
          </w:tcPr>
          <w:p w14:paraId="621A695A" w14:textId="77777777" w:rsidR="00000000" w:rsidRDefault="002F725F">
            <w:pPr>
              <w:rPr>
                <w:sz w:val="20"/>
                <w:szCs w:val="20"/>
              </w:rPr>
            </w:pPr>
          </w:p>
        </w:tc>
        <w:tc>
          <w:tcPr>
            <w:tcW w:w="360" w:type="dxa"/>
            <w:hideMark/>
          </w:tcPr>
          <w:p w14:paraId="2A48849A" w14:textId="77777777" w:rsidR="00000000" w:rsidRDefault="002F725F">
            <w:pPr>
              <w:rPr>
                <w:rFonts w:eastAsia="Times New Roman"/>
                <w:sz w:val="20"/>
                <w:szCs w:val="20"/>
              </w:rPr>
            </w:pPr>
            <w:r>
              <w:rPr>
                <w:rFonts w:eastAsia="Times New Roman"/>
                <w:sz w:val="20"/>
                <w:szCs w:val="20"/>
              </w:rPr>
              <w:t>●</w:t>
            </w:r>
          </w:p>
        </w:tc>
        <w:tc>
          <w:tcPr>
            <w:tcW w:w="0" w:type="auto"/>
            <w:hideMark/>
          </w:tcPr>
          <w:p w14:paraId="3B13D8CB" w14:textId="77777777" w:rsidR="00000000" w:rsidRDefault="002F725F">
            <w:pPr>
              <w:jc w:val="both"/>
              <w:rPr>
                <w:rFonts w:eastAsia="Times New Roman"/>
                <w:sz w:val="20"/>
                <w:szCs w:val="20"/>
              </w:rPr>
            </w:pPr>
            <w:r>
              <w:rPr>
                <w:rFonts w:eastAsia="Times New Roman"/>
                <w:sz w:val="20"/>
                <w:szCs w:val="20"/>
              </w:rPr>
              <w:t>the occurrenc</w:t>
            </w:r>
            <w:r>
              <w:rPr>
                <w:rFonts w:eastAsia="Times New Roman"/>
                <w:sz w:val="20"/>
                <w:szCs w:val="20"/>
              </w:rPr>
              <w:t>e of any event, change or other circumstance that could give rise to the termination of the Merger Agreement;</w:t>
            </w:r>
          </w:p>
        </w:tc>
      </w:tr>
    </w:tbl>
    <w:p w14:paraId="171795D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FED3235" w14:textId="77777777">
        <w:trPr>
          <w:divId w:val="415980837"/>
          <w:tblCellSpacing w:w="0" w:type="dxa"/>
        </w:trPr>
        <w:tc>
          <w:tcPr>
            <w:tcW w:w="720" w:type="dxa"/>
            <w:hideMark/>
          </w:tcPr>
          <w:p w14:paraId="7EDB1431" w14:textId="77777777" w:rsidR="00000000" w:rsidRDefault="002F725F">
            <w:pPr>
              <w:rPr>
                <w:sz w:val="20"/>
                <w:szCs w:val="20"/>
              </w:rPr>
            </w:pPr>
          </w:p>
        </w:tc>
        <w:tc>
          <w:tcPr>
            <w:tcW w:w="360" w:type="dxa"/>
            <w:hideMark/>
          </w:tcPr>
          <w:p w14:paraId="35A28E84" w14:textId="77777777" w:rsidR="00000000" w:rsidRDefault="002F725F">
            <w:pPr>
              <w:rPr>
                <w:rFonts w:eastAsia="Times New Roman"/>
                <w:sz w:val="20"/>
                <w:szCs w:val="20"/>
              </w:rPr>
            </w:pPr>
            <w:r>
              <w:rPr>
                <w:rFonts w:eastAsia="Times New Roman"/>
                <w:sz w:val="20"/>
                <w:szCs w:val="20"/>
              </w:rPr>
              <w:t>●</w:t>
            </w:r>
          </w:p>
        </w:tc>
        <w:tc>
          <w:tcPr>
            <w:tcW w:w="0" w:type="auto"/>
            <w:hideMark/>
          </w:tcPr>
          <w:p w14:paraId="38423B64" w14:textId="77777777" w:rsidR="00000000" w:rsidRDefault="002F725F">
            <w:pPr>
              <w:jc w:val="both"/>
              <w:rPr>
                <w:rFonts w:eastAsia="Times New Roman"/>
                <w:sz w:val="20"/>
                <w:szCs w:val="20"/>
              </w:rPr>
            </w:pPr>
            <w:r>
              <w:rPr>
                <w:rFonts w:eastAsia="Times New Roman"/>
                <w:sz w:val="20"/>
                <w:szCs w:val="20"/>
              </w:rPr>
              <w:t>equity financing may not be funded at the Effective Time because of the failure of Parent to meet the closing conditions or for other reasons, which may result in the Merger not being completed promptly or at all</w:t>
            </w:r>
            <w:r>
              <w:rPr>
                <w:rFonts w:eastAsia="Times New Roman"/>
                <w:sz w:val="20"/>
                <w:szCs w:val="20"/>
              </w:rPr>
              <w:t>;</w:t>
            </w:r>
          </w:p>
        </w:tc>
      </w:tr>
    </w:tbl>
    <w:p w14:paraId="29AC1504" w14:textId="77777777" w:rsidR="00000000" w:rsidRDefault="002F725F">
      <w:pPr>
        <w:pStyle w:val="NormalWeb"/>
        <w:spacing w:before="0" w:beforeAutospacing="0" w:after="0" w:afterAutospacing="0"/>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BFA727C" w14:textId="77777777">
        <w:trPr>
          <w:divId w:val="415980837"/>
          <w:tblCellSpacing w:w="0" w:type="dxa"/>
        </w:trPr>
        <w:tc>
          <w:tcPr>
            <w:tcW w:w="720" w:type="dxa"/>
            <w:hideMark/>
          </w:tcPr>
          <w:p w14:paraId="49AEF44C" w14:textId="77777777" w:rsidR="00000000" w:rsidRDefault="002F725F">
            <w:pPr>
              <w:rPr>
                <w:sz w:val="20"/>
                <w:szCs w:val="20"/>
              </w:rPr>
            </w:pPr>
          </w:p>
        </w:tc>
        <w:tc>
          <w:tcPr>
            <w:tcW w:w="360" w:type="dxa"/>
            <w:hideMark/>
          </w:tcPr>
          <w:p w14:paraId="57DEEA24" w14:textId="77777777" w:rsidR="00000000" w:rsidRDefault="002F725F">
            <w:pPr>
              <w:rPr>
                <w:rFonts w:eastAsia="Times New Roman"/>
                <w:sz w:val="20"/>
                <w:szCs w:val="20"/>
              </w:rPr>
            </w:pPr>
            <w:r>
              <w:rPr>
                <w:rFonts w:eastAsia="Times New Roman"/>
                <w:sz w:val="20"/>
                <w:szCs w:val="20"/>
              </w:rPr>
              <w:t>●</w:t>
            </w:r>
          </w:p>
        </w:tc>
        <w:tc>
          <w:tcPr>
            <w:tcW w:w="0" w:type="auto"/>
            <w:hideMark/>
          </w:tcPr>
          <w:p w14:paraId="1DC93B73" w14:textId="77777777" w:rsidR="00000000" w:rsidRDefault="002F725F">
            <w:pPr>
              <w:jc w:val="both"/>
              <w:rPr>
                <w:rFonts w:eastAsia="Times New Roman"/>
                <w:sz w:val="20"/>
                <w:szCs w:val="20"/>
              </w:rPr>
            </w:pPr>
            <w:r>
              <w:rPr>
                <w:rFonts w:eastAsia="Times New Roman"/>
                <w:sz w:val="20"/>
                <w:szCs w:val="20"/>
              </w:rPr>
              <w:t>the effect of the announcement or pe</w:t>
            </w:r>
            <w:r>
              <w:rPr>
                <w:rFonts w:eastAsia="Times New Roman"/>
                <w:sz w:val="20"/>
                <w:szCs w:val="20"/>
              </w:rPr>
              <w:t>ndency of the Merger on our business relationships, results of operations and business generally;</w:t>
            </w:r>
          </w:p>
        </w:tc>
      </w:tr>
    </w:tbl>
    <w:p w14:paraId="6206D25E"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E6583EA" w14:textId="77777777">
        <w:trPr>
          <w:divId w:val="415980837"/>
          <w:tblCellSpacing w:w="0" w:type="dxa"/>
        </w:trPr>
        <w:tc>
          <w:tcPr>
            <w:tcW w:w="720" w:type="dxa"/>
            <w:hideMark/>
          </w:tcPr>
          <w:p w14:paraId="3AC13964" w14:textId="77777777" w:rsidR="00000000" w:rsidRDefault="002F725F">
            <w:pPr>
              <w:rPr>
                <w:sz w:val="20"/>
                <w:szCs w:val="20"/>
              </w:rPr>
            </w:pPr>
          </w:p>
        </w:tc>
        <w:tc>
          <w:tcPr>
            <w:tcW w:w="360" w:type="dxa"/>
            <w:hideMark/>
          </w:tcPr>
          <w:p w14:paraId="21C3719E" w14:textId="77777777" w:rsidR="00000000" w:rsidRDefault="002F725F">
            <w:pPr>
              <w:rPr>
                <w:rFonts w:eastAsia="Times New Roman"/>
                <w:sz w:val="20"/>
                <w:szCs w:val="20"/>
              </w:rPr>
            </w:pPr>
            <w:r>
              <w:rPr>
                <w:rFonts w:eastAsia="Times New Roman"/>
                <w:sz w:val="20"/>
                <w:szCs w:val="20"/>
              </w:rPr>
              <w:t>●</w:t>
            </w:r>
          </w:p>
        </w:tc>
        <w:tc>
          <w:tcPr>
            <w:tcW w:w="0" w:type="auto"/>
            <w:hideMark/>
          </w:tcPr>
          <w:p w14:paraId="61EA8E64" w14:textId="77777777" w:rsidR="00000000" w:rsidRDefault="002F725F">
            <w:pPr>
              <w:jc w:val="both"/>
              <w:rPr>
                <w:rFonts w:eastAsia="Times New Roman"/>
                <w:sz w:val="20"/>
                <w:szCs w:val="20"/>
              </w:rPr>
            </w:pPr>
            <w:r>
              <w:rPr>
                <w:rFonts w:eastAsia="Times New Roman"/>
                <w:sz w:val="20"/>
                <w:szCs w:val="20"/>
              </w:rPr>
              <w:t>the risk that the Merger may not be consummated in a timely manner or at all, which may adversely affect our business and the prices of our Shares;</w:t>
            </w:r>
          </w:p>
        </w:tc>
      </w:tr>
    </w:tbl>
    <w:p w14:paraId="1782B64D"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6D7D65B" w14:textId="77777777">
        <w:trPr>
          <w:divId w:val="415980837"/>
          <w:tblCellSpacing w:w="0" w:type="dxa"/>
        </w:trPr>
        <w:tc>
          <w:tcPr>
            <w:tcW w:w="720" w:type="dxa"/>
            <w:hideMark/>
          </w:tcPr>
          <w:p w14:paraId="0C98590E" w14:textId="77777777" w:rsidR="00000000" w:rsidRDefault="002F725F">
            <w:pPr>
              <w:rPr>
                <w:sz w:val="20"/>
                <w:szCs w:val="20"/>
              </w:rPr>
            </w:pPr>
          </w:p>
        </w:tc>
        <w:tc>
          <w:tcPr>
            <w:tcW w:w="360" w:type="dxa"/>
            <w:hideMark/>
          </w:tcPr>
          <w:p w14:paraId="4B9D2096" w14:textId="77777777" w:rsidR="00000000" w:rsidRDefault="002F725F">
            <w:pPr>
              <w:rPr>
                <w:rFonts w:eastAsia="Times New Roman"/>
                <w:sz w:val="20"/>
                <w:szCs w:val="20"/>
              </w:rPr>
            </w:pPr>
            <w:r>
              <w:rPr>
                <w:rFonts w:eastAsia="Times New Roman"/>
                <w:sz w:val="20"/>
                <w:szCs w:val="20"/>
              </w:rPr>
              <w:t>●</w:t>
            </w:r>
          </w:p>
        </w:tc>
        <w:tc>
          <w:tcPr>
            <w:tcW w:w="0" w:type="auto"/>
            <w:hideMark/>
          </w:tcPr>
          <w:p w14:paraId="65F804AA" w14:textId="77777777" w:rsidR="00000000" w:rsidRDefault="002F725F">
            <w:pPr>
              <w:jc w:val="both"/>
              <w:rPr>
                <w:rFonts w:eastAsia="Times New Roman"/>
                <w:sz w:val="20"/>
                <w:szCs w:val="20"/>
              </w:rPr>
            </w:pPr>
            <w:r>
              <w:rPr>
                <w:rFonts w:eastAsia="Times New Roman"/>
                <w:sz w:val="20"/>
                <w:szCs w:val="20"/>
              </w:rPr>
              <w:t>the potential adverse effect on our business, properties and operations because of certain covenants we agreed to in the Merger Agreement;</w:t>
            </w:r>
          </w:p>
        </w:tc>
      </w:tr>
    </w:tbl>
    <w:p w14:paraId="514750C7"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6AFE680" w14:textId="77777777">
        <w:trPr>
          <w:divId w:val="415980837"/>
          <w:tblCellSpacing w:w="0" w:type="dxa"/>
        </w:trPr>
        <w:tc>
          <w:tcPr>
            <w:tcW w:w="720" w:type="dxa"/>
            <w:hideMark/>
          </w:tcPr>
          <w:p w14:paraId="37F2B58A" w14:textId="77777777" w:rsidR="00000000" w:rsidRDefault="002F725F">
            <w:pPr>
              <w:rPr>
                <w:sz w:val="20"/>
                <w:szCs w:val="20"/>
              </w:rPr>
            </w:pPr>
          </w:p>
        </w:tc>
        <w:tc>
          <w:tcPr>
            <w:tcW w:w="360" w:type="dxa"/>
            <w:hideMark/>
          </w:tcPr>
          <w:p w14:paraId="752B4167" w14:textId="77777777" w:rsidR="00000000" w:rsidRDefault="002F725F">
            <w:pPr>
              <w:rPr>
                <w:rFonts w:eastAsia="Times New Roman"/>
                <w:sz w:val="20"/>
                <w:szCs w:val="20"/>
              </w:rPr>
            </w:pPr>
            <w:r>
              <w:rPr>
                <w:rFonts w:eastAsia="Times New Roman"/>
                <w:sz w:val="20"/>
                <w:szCs w:val="20"/>
              </w:rPr>
              <w:t>●</w:t>
            </w:r>
          </w:p>
        </w:tc>
        <w:tc>
          <w:tcPr>
            <w:tcW w:w="0" w:type="auto"/>
            <w:hideMark/>
          </w:tcPr>
          <w:p w14:paraId="1778F732" w14:textId="77777777" w:rsidR="00000000" w:rsidRDefault="002F725F">
            <w:pPr>
              <w:jc w:val="both"/>
              <w:rPr>
                <w:rFonts w:eastAsia="Times New Roman"/>
                <w:sz w:val="20"/>
                <w:szCs w:val="20"/>
              </w:rPr>
            </w:pPr>
            <w:r>
              <w:rPr>
                <w:rFonts w:eastAsia="Times New Roman"/>
                <w:sz w:val="20"/>
                <w:szCs w:val="20"/>
              </w:rPr>
              <w:t>diversion of our management’</w:t>
            </w:r>
            <w:r>
              <w:rPr>
                <w:rFonts w:eastAsia="Times New Roman"/>
                <w:sz w:val="20"/>
                <w:szCs w:val="20"/>
              </w:rPr>
              <w:t>s attention from our ongoing business operations;</w:t>
            </w:r>
          </w:p>
        </w:tc>
      </w:tr>
    </w:tbl>
    <w:p w14:paraId="752A6BDA"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9025444" w14:textId="77777777">
        <w:trPr>
          <w:divId w:val="415980837"/>
          <w:tblCellSpacing w:w="0" w:type="dxa"/>
        </w:trPr>
        <w:tc>
          <w:tcPr>
            <w:tcW w:w="720" w:type="dxa"/>
            <w:hideMark/>
          </w:tcPr>
          <w:p w14:paraId="7778829A" w14:textId="77777777" w:rsidR="00000000" w:rsidRDefault="002F725F">
            <w:pPr>
              <w:rPr>
                <w:sz w:val="20"/>
                <w:szCs w:val="20"/>
              </w:rPr>
            </w:pPr>
          </w:p>
        </w:tc>
        <w:tc>
          <w:tcPr>
            <w:tcW w:w="360" w:type="dxa"/>
            <w:hideMark/>
          </w:tcPr>
          <w:p w14:paraId="65374A40" w14:textId="77777777" w:rsidR="00000000" w:rsidRDefault="002F725F">
            <w:pPr>
              <w:rPr>
                <w:rFonts w:eastAsia="Times New Roman"/>
                <w:sz w:val="20"/>
                <w:szCs w:val="20"/>
              </w:rPr>
            </w:pPr>
            <w:r>
              <w:rPr>
                <w:rFonts w:eastAsia="Times New Roman"/>
                <w:sz w:val="20"/>
                <w:szCs w:val="20"/>
              </w:rPr>
              <w:t>●</w:t>
            </w:r>
          </w:p>
        </w:tc>
        <w:tc>
          <w:tcPr>
            <w:tcW w:w="0" w:type="auto"/>
            <w:hideMark/>
          </w:tcPr>
          <w:p w14:paraId="15286048" w14:textId="77777777" w:rsidR="00000000" w:rsidRDefault="002F725F">
            <w:pPr>
              <w:jc w:val="both"/>
              <w:rPr>
                <w:rFonts w:eastAsia="Times New Roman"/>
                <w:sz w:val="20"/>
                <w:szCs w:val="20"/>
              </w:rPr>
            </w:pPr>
            <w:r>
              <w:rPr>
                <w:rFonts w:eastAsia="Times New Roman"/>
                <w:sz w:val="20"/>
                <w:szCs w:val="20"/>
              </w:rPr>
              <w:t>inability to manage the expanding operations effectively, which could harm our business;</w:t>
            </w:r>
          </w:p>
        </w:tc>
      </w:tr>
    </w:tbl>
    <w:p w14:paraId="796791B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1D7CF0AE" w14:textId="77777777">
        <w:trPr>
          <w:divId w:val="415980837"/>
          <w:tblCellSpacing w:w="0" w:type="dxa"/>
        </w:trPr>
        <w:tc>
          <w:tcPr>
            <w:tcW w:w="720" w:type="dxa"/>
            <w:hideMark/>
          </w:tcPr>
          <w:p w14:paraId="154CF6BD" w14:textId="77777777" w:rsidR="00000000" w:rsidRDefault="002F725F">
            <w:pPr>
              <w:rPr>
                <w:sz w:val="20"/>
                <w:szCs w:val="20"/>
              </w:rPr>
            </w:pPr>
          </w:p>
        </w:tc>
        <w:tc>
          <w:tcPr>
            <w:tcW w:w="360" w:type="dxa"/>
            <w:hideMark/>
          </w:tcPr>
          <w:p w14:paraId="44A2766B" w14:textId="77777777" w:rsidR="00000000" w:rsidRDefault="002F725F">
            <w:pPr>
              <w:rPr>
                <w:rFonts w:eastAsia="Times New Roman"/>
                <w:sz w:val="20"/>
                <w:szCs w:val="20"/>
              </w:rPr>
            </w:pPr>
            <w:r>
              <w:rPr>
                <w:rFonts w:eastAsia="Times New Roman"/>
                <w:sz w:val="20"/>
                <w:szCs w:val="20"/>
              </w:rPr>
              <w:t>●</w:t>
            </w:r>
          </w:p>
        </w:tc>
        <w:tc>
          <w:tcPr>
            <w:tcW w:w="0" w:type="auto"/>
            <w:hideMark/>
          </w:tcPr>
          <w:p w14:paraId="27A5C4D5" w14:textId="77777777" w:rsidR="00000000" w:rsidRDefault="002F725F">
            <w:pPr>
              <w:jc w:val="both"/>
              <w:rPr>
                <w:rFonts w:eastAsia="Times New Roman"/>
                <w:sz w:val="20"/>
                <w:szCs w:val="20"/>
              </w:rPr>
            </w:pPr>
            <w:r>
              <w:rPr>
                <w:rFonts w:eastAsia="Times New Roman"/>
                <w:sz w:val="20"/>
                <w:szCs w:val="20"/>
              </w:rPr>
              <w:t>inability to hire or retain key personnel;</w:t>
            </w:r>
          </w:p>
        </w:tc>
      </w:tr>
    </w:tbl>
    <w:p w14:paraId="5D29F9C2"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F9A0283" w14:textId="77777777">
        <w:trPr>
          <w:divId w:val="415980837"/>
          <w:tblCellSpacing w:w="0" w:type="dxa"/>
        </w:trPr>
        <w:tc>
          <w:tcPr>
            <w:tcW w:w="720" w:type="dxa"/>
            <w:hideMark/>
          </w:tcPr>
          <w:p w14:paraId="2E5F6A4F" w14:textId="77777777" w:rsidR="00000000" w:rsidRDefault="002F725F">
            <w:pPr>
              <w:rPr>
                <w:sz w:val="20"/>
                <w:szCs w:val="20"/>
              </w:rPr>
            </w:pPr>
          </w:p>
        </w:tc>
        <w:tc>
          <w:tcPr>
            <w:tcW w:w="360" w:type="dxa"/>
            <w:hideMark/>
          </w:tcPr>
          <w:p w14:paraId="1D7E2295" w14:textId="77777777" w:rsidR="00000000" w:rsidRDefault="002F725F">
            <w:pPr>
              <w:rPr>
                <w:rFonts w:eastAsia="Times New Roman"/>
                <w:sz w:val="20"/>
                <w:szCs w:val="20"/>
              </w:rPr>
            </w:pPr>
            <w:r>
              <w:rPr>
                <w:rFonts w:eastAsia="Times New Roman"/>
                <w:sz w:val="20"/>
                <w:szCs w:val="20"/>
              </w:rPr>
              <w:t>●</w:t>
            </w:r>
          </w:p>
        </w:tc>
        <w:tc>
          <w:tcPr>
            <w:tcW w:w="0" w:type="auto"/>
            <w:hideMark/>
          </w:tcPr>
          <w:p w14:paraId="0B01655B" w14:textId="77777777" w:rsidR="00000000" w:rsidRDefault="002F725F">
            <w:pPr>
              <w:jc w:val="both"/>
              <w:rPr>
                <w:rFonts w:eastAsia="Times New Roman"/>
                <w:sz w:val="20"/>
                <w:szCs w:val="20"/>
              </w:rPr>
            </w:pPr>
            <w:r>
              <w:rPr>
                <w:rFonts w:eastAsia="Times New Roman"/>
                <w:sz w:val="20"/>
                <w:szCs w:val="20"/>
              </w:rPr>
              <w:t>the amount of the costs, fees, expenses and charges rela</w:t>
            </w:r>
            <w:r>
              <w:rPr>
                <w:rFonts w:eastAsia="Times New Roman"/>
                <w:sz w:val="20"/>
                <w:szCs w:val="20"/>
              </w:rPr>
              <w:t>ted to the Merger and the actual terms of the financings that will be obtained for the Merger;</w:t>
            </w:r>
          </w:p>
        </w:tc>
      </w:tr>
    </w:tbl>
    <w:p w14:paraId="625F4D1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1DAE80E" w14:textId="77777777">
        <w:trPr>
          <w:divId w:val="415980837"/>
          <w:tblCellSpacing w:w="0" w:type="dxa"/>
        </w:trPr>
        <w:tc>
          <w:tcPr>
            <w:tcW w:w="720" w:type="dxa"/>
            <w:hideMark/>
          </w:tcPr>
          <w:p w14:paraId="7D1DE5C3" w14:textId="77777777" w:rsidR="00000000" w:rsidRDefault="002F725F">
            <w:pPr>
              <w:rPr>
                <w:sz w:val="20"/>
                <w:szCs w:val="20"/>
              </w:rPr>
            </w:pPr>
          </w:p>
        </w:tc>
        <w:tc>
          <w:tcPr>
            <w:tcW w:w="360" w:type="dxa"/>
            <w:hideMark/>
          </w:tcPr>
          <w:p w14:paraId="7F046BB0" w14:textId="77777777" w:rsidR="00000000" w:rsidRDefault="002F725F">
            <w:pPr>
              <w:rPr>
                <w:rFonts w:eastAsia="Times New Roman"/>
                <w:sz w:val="20"/>
                <w:szCs w:val="20"/>
              </w:rPr>
            </w:pPr>
            <w:r>
              <w:rPr>
                <w:rFonts w:eastAsia="Times New Roman"/>
                <w:sz w:val="20"/>
                <w:szCs w:val="20"/>
              </w:rPr>
              <w:t>●</w:t>
            </w:r>
          </w:p>
        </w:tc>
        <w:tc>
          <w:tcPr>
            <w:tcW w:w="0" w:type="auto"/>
            <w:hideMark/>
          </w:tcPr>
          <w:p w14:paraId="67A436E5" w14:textId="77777777" w:rsidR="00000000" w:rsidRDefault="002F725F">
            <w:pPr>
              <w:jc w:val="both"/>
              <w:rPr>
                <w:rFonts w:eastAsia="Times New Roman"/>
                <w:sz w:val="20"/>
                <w:szCs w:val="20"/>
              </w:rPr>
            </w:pPr>
            <w:r>
              <w:rPr>
                <w:rFonts w:eastAsia="Times New Roman"/>
                <w:sz w:val="20"/>
                <w:szCs w:val="20"/>
              </w:rPr>
              <w:t>our failure to comply with regulations and changes in regulations;</w:t>
            </w:r>
          </w:p>
        </w:tc>
      </w:tr>
    </w:tbl>
    <w:p w14:paraId="6605140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15FE46C" w14:textId="77777777">
        <w:trPr>
          <w:divId w:val="415980837"/>
          <w:tblCellSpacing w:w="0" w:type="dxa"/>
        </w:trPr>
        <w:tc>
          <w:tcPr>
            <w:tcW w:w="720" w:type="dxa"/>
            <w:hideMark/>
          </w:tcPr>
          <w:p w14:paraId="6BDE8AE3" w14:textId="77777777" w:rsidR="00000000" w:rsidRDefault="002F725F">
            <w:pPr>
              <w:rPr>
                <w:sz w:val="20"/>
                <w:szCs w:val="20"/>
              </w:rPr>
            </w:pPr>
          </w:p>
        </w:tc>
        <w:tc>
          <w:tcPr>
            <w:tcW w:w="360" w:type="dxa"/>
            <w:hideMark/>
          </w:tcPr>
          <w:p w14:paraId="53831CB3" w14:textId="77777777" w:rsidR="00000000" w:rsidRDefault="002F725F">
            <w:pPr>
              <w:rPr>
                <w:rFonts w:eastAsia="Times New Roman"/>
                <w:sz w:val="20"/>
                <w:szCs w:val="20"/>
              </w:rPr>
            </w:pPr>
            <w:r>
              <w:rPr>
                <w:rFonts w:eastAsia="Times New Roman"/>
                <w:sz w:val="20"/>
                <w:szCs w:val="20"/>
              </w:rPr>
              <w:t>●</w:t>
            </w:r>
          </w:p>
        </w:tc>
        <w:tc>
          <w:tcPr>
            <w:tcW w:w="0" w:type="auto"/>
            <w:hideMark/>
          </w:tcPr>
          <w:p w14:paraId="67F0F124" w14:textId="77777777" w:rsidR="00000000" w:rsidRDefault="002F725F">
            <w:pPr>
              <w:jc w:val="both"/>
              <w:rPr>
                <w:rFonts w:eastAsia="Times New Roman"/>
                <w:sz w:val="20"/>
                <w:szCs w:val="20"/>
              </w:rPr>
            </w:pPr>
            <w:r>
              <w:rPr>
                <w:rFonts w:eastAsia="Times New Roman"/>
                <w:sz w:val="20"/>
                <w:szCs w:val="20"/>
              </w:rPr>
              <w:t>the outcome of any legal proceedings, regulatory proceedings or enforcement matters that may be instituted against us and others relating to the Merger; and</w:t>
            </w:r>
          </w:p>
        </w:tc>
      </w:tr>
    </w:tbl>
    <w:p w14:paraId="76CABDC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C25C7F8" w14:textId="77777777">
        <w:trPr>
          <w:divId w:val="415980837"/>
          <w:tblCellSpacing w:w="0" w:type="dxa"/>
        </w:trPr>
        <w:tc>
          <w:tcPr>
            <w:tcW w:w="720" w:type="dxa"/>
            <w:hideMark/>
          </w:tcPr>
          <w:p w14:paraId="5ADE69A2" w14:textId="77777777" w:rsidR="00000000" w:rsidRDefault="002F725F">
            <w:pPr>
              <w:rPr>
                <w:sz w:val="20"/>
                <w:szCs w:val="20"/>
              </w:rPr>
            </w:pPr>
          </w:p>
        </w:tc>
        <w:tc>
          <w:tcPr>
            <w:tcW w:w="360" w:type="dxa"/>
            <w:hideMark/>
          </w:tcPr>
          <w:p w14:paraId="2187417F" w14:textId="77777777" w:rsidR="00000000" w:rsidRDefault="002F725F">
            <w:pPr>
              <w:rPr>
                <w:rFonts w:eastAsia="Times New Roman"/>
                <w:sz w:val="20"/>
                <w:szCs w:val="20"/>
              </w:rPr>
            </w:pPr>
            <w:r>
              <w:rPr>
                <w:rFonts w:eastAsia="Times New Roman"/>
                <w:sz w:val="20"/>
                <w:szCs w:val="20"/>
              </w:rPr>
              <w:t>●</w:t>
            </w:r>
          </w:p>
        </w:tc>
        <w:tc>
          <w:tcPr>
            <w:tcW w:w="0" w:type="auto"/>
            <w:hideMark/>
          </w:tcPr>
          <w:p w14:paraId="5CE87037" w14:textId="77777777" w:rsidR="00000000" w:rsidRDefault="002F725F">
            <w:pPr>
              <w:jc w:val="both"/>
              <w:rPr>
                <w:rFonts w:eastAsia="Times New Roman"/>
                <w:sz w:val="20"/>
                <w:szCs w:val="20"/>
              </w:rPr>
            </w:pPr>
            <w:r>
              <w:rPr>
                <w:rFonts w:eastAsia="Times New Roman"/>
                <w:sz w:val="20"/>
                <w:szCs w:val="20"/>
              </w:rPr>
              <w:t>other risks detailed in our filings with the SEC, including the information set forth under t</w:t>
            </w:r>
            <w:r>
              <w:rPr>
                <w:rFonts w:eastAsia="Times New Roman"/>
                <w:sz w:val="20"/>
                <w:szCs w:val="20"/>
              </w:rPr>
              <w:t>he section entitled “Item 3. Key Information—D. Risk Factors” in the Company’s Annual Report. See “Where You Can Find More Information” beginning on page 108 for additional information.</w:t>
            </w:r>
          </w:p>
        </w:tc>
      </w:tr>
    </w:tbl>
    <w:p w14:paraId="307554B4" w14:textId="77777777" w:rsidR="00000000" w:rsidRDefault="002F725F">
      <w:pPr>
        <w:pStyle w:val="NormalWeb"/>
        <w:spacing w:before="0" w:beforeAutospacing="0" w:after="0" w:afterAutospacing="0"/>
        <w:divId w:val="415980837"/>
        <w:rPr>
          <w:sz w:val="20"/>
          <w:szCs w:val="20"/>
        </w:rPr>
      </w:pPr>
      <w:r>
        <w:rPr>
          <w:sz w:val="20"/>
          <w:szCs w:val="20"/>
        </w:rPr>
        <w:t> </w:t>
      </w:r>
    </w:p>
    <w:p w14:paraId="203F4E8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Furthermore, the forward-looking statements do not reflect the pote</w:t>
      </w:r>
      <w:r>
        <w:rPr>
          <w:sz w:val="20"/>
          <w:szCs w:val="20"/>
        </w:rPr>
        <w:t>ntial impact of any future acquisitions, mergers, dispositions, joint ventures, collaborations, dividends or investments made by the parties. We believe that the assumptions on which our forward-looking statements are based are reasonable. However, forward</w:t>
      </w:r>
      <w:r>
        <w:rPr>
          <w:sz w:val="20"/>
          <w:szCs w:val="20"/>
        </w:rPr>
        <w:t xml:space="preserve">-looking statements involve inherent risks, uncertainties and assumptions. In addition, many of the factors that will determine our future results are, however, beyond our ability to control or predict and we cannot guarantee any future results, levels of </w:t>
      </w:r>
      <w:r>
        <w:rPr>
          <w:sz w:val="20"/>
          <w:szCs w:val="20"/>
        </w:rPr>
        <w:t>activity, performance or achievements. We cannot assure you that the actual results or developments we anticipate will be realized or, if realized, that they will have the expected effects on our business or operations. In light of the significant uncertai</w:t>
      </w:r>
      <w:r>
        <w:rPr>
          <w:sz w:val="20"/>
          <w:szCs w:val="20"/>
        </w:rPr>
        <w:t>nties inherent in the forward-looking statements, readers should not place undue reliance on forward-looking statements, which speak only as of the date on which the statements were made and it should not be assumed that the statements remain accurate as o</w:t>
      </w:r>
      <w:r>
        <w:rPr>
          <w:sz w:val="20"/>
          <w:szCs w:val="20"/>
        </w:rPr>
        <w:t>f any future date. All subsequent written and oral forward-looking statements concerning the Merger or other matters addressed in this proxy statement and attributable to us or any person acting on our behalf are expressly qualified in their entirety by th</w:t>
      </w:r>
      <w:r>
        <w:rPr>
          <w:sz w:val="20"/>
          <w:szCs w:val="20"/>
        </w:rPr>
        <w:t>e cautionary statements contained or referred to in this section. Further, forward-looking statements speak only as of the date they are made and, except as required by applicable law or regulation, we undertake no obligation to update these forward-lookin</w:t>
      </w:r>
      <w:r>
        <w:rPr>
          <w:sz w:val="20"/>
          <w:szCs w:val="20"/>
        </w:rPr>
        <w:t>g statements to reflect future events or circumstances.</w:t>
      </w:r>
    </w:p>
    <w:p w14:paraId="37B4D31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F139DE2" w14:textId="77777777" w:rsidR="00000000" w:rsidRDefault="002F725F">
      <w:pPr>
        <w:pStyle w:val="NormalWeb"/>
        <w:spacing w:before="0" w:beforeAutospacing="0" w:after="0" w:afterAutospacing="0"/>
        <w:jc w:val="center"/>
        <w:divId w:val="1674380835"/>
        <w:rPr>
          <w:sz w:val="20"/>
          <w:szCs w:val="20"/>
        </w:rPr>
      </w:pPr>
      <w:r>
        <w:rPr>
          <w:sz w:val="20"/>
          <w:szCs w:val="20"/>
        </w:rPr>
        <w:t>10</w:t>
      </w:r>
      <w:r>
        <w:rPr>
          <w:sz w:val="20"/>
          <w:szCs w:val="20"/>
        </w:rPr>
        <w:t>7</w:t>
      </w:r>
    </w:p>
    <w:p w14:paraId="1E9CB03C" w14:textId="77777777" w:rsidR="00000000" w:rsidRDefault="002F725F">
      <w:pPr>
        <w:pStyle w:val="NormalWeb"/>
        <w:spacing w:before="0" w:beforeAutospacing="0" w:after="0" w:afterAutospacing="0"/>
        <w:divId w:val="1676565955"/>
        <w:rPr>
          <w:sz w:val="20"/>
          <w:szCs w:val="20"/>
        </w:rPr>
      </w:pPr>
      <w:r>
        <w:rPr>
          <w:sz w:val="20"/>
          <w:szCs w:val="20"/>
        </w:rPr>
        <w:t> </w:t>
      </w:r>
    </w:p>
    <w:p w14:paraId="7C21AC0F"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32D2B97B" w14:textId="77777777" w:rsidR="00000000" w:rsidRDefault="002F725F">
      <w:pPr>
        <w:pStyle w:val="NormalWeb"/>
        <w:spacing w:before="0" w:beforeAutospacing="0" w:after="0" w:afterAutospacing="0"/>
        <w:jc w:val="center"/>
        <w:divId w:val="415980837"/>
        <w:rPr>
          <w:sz w:val="20"/>
          <w:szCs w:val="20"/>
        </w:rPr>
      </w:pPr>
      <w:bookmarkStart w:id="33" w:name="gfpea028961701ex99-a1.htmk_014"/>
      <w:bookmarkEnd w:id="33"/>
      <w:r>
        <w:rPr>
          <w:b/>
          <w:bCs/>
          <w:sz w:val="20"/>
          <w:szCs w:val="20"/>
        </w:rPr>
        <w:t>WHERE YOU CAN FIND MORE INFORMATION</w:t>
      </w:r>
    </w:p>
    <w:p w14:paraId="59226B3D"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878EEE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We are subject to the reporting </w:t>
      </w:r>
      <w:r>
        <w:rPr>
          <w:sz w:val="20"/>
          <w:szCs w:val="20"/>
        </w:rPr>
        <w:t>requirements of the Exchange Act applicable to foreign private issuers and we file or furnish our annual and current reports and other information with the SEC. The information we file or furnish is also available free of charge on the SEC’s website at htt</w:t>
      </w:r>
      <w:r>
        <w:rPr>
          <w:sz w:val="20"/>
          <w:szCs w:val="20"/>
        </w:rPr>
        <w:t>p://www.sec.gov.</w:t>
      </w:r>
    </w:p>
    <w:p w14:paraId="72721BC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E9FEDBF"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xml:space="preserve">You may also obtain free copies of the documents the Company files with the SEC by going to the “Investor Relations” section of our website at https://investors.lakeshorebio.com/index.html. Our website address is provided as an inactive </w:t>
      </w:r>
      <w:r>
        <w:rPr>
          <w:sz w:val="20"/>
          <w:szCs w:val="20"/>
        </w:rPr>
        <w:t>textual reference only. The information provided on our website is not part of this proxy statement, and therefore is not incorporated by reference.</w:t>
      </w:r>
    </w:p>
    <w:p w14:paraId="78706D0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C14CCE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Because the Merger is a going private transaction, the Company and the Buyer Filing Persons have filed wi</w:t>
      </w:r>
      <w:r>
        <w:rPr>
          <w:sz w:val="20"/>
          <w:szCs w:val="20"/>
        </w:rPr>
        <w:t>th the SEC a Transaction Statement on Schedule 13E-3 with respect to the Merger. The Schedule 13E-3, including any amendments and exhibits filed or incorporated by reference therein, is available for inspection as set forth above. The Schedule 13E-3 will b</w:t>
      </w:r>
      <w:r>
        <w:rPr>
          <w:sz w:val="20"/>
          <w:szCs w:val="20"/>
        </w:rPr>
        <w:t>e amended to report promptly any material changes in the information set forth in the most recent Schedule 13E-3 filed with the SEC.</w:t>
      </w:r>
    </w:p>
    <w:p w14:paraId="150504C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C95C1E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Statements contained in this proxy statement regarding the contents of any contract or other document, are not necessaril</w:t>
      </w:r>
      <w:r>
        <w:rPr>
          <w:sz w:val="20"/>
          <w:szCs w:val="20"/>
        </w:rPr>
        <w:t>y complete and each such statement is qualified in its entirety by reference to that contract or other document attached as an exhibit hereto. The SEC allows us to “incorporate by reference” information into this proxy statement. This means that we can dis</w:t>
      </w:r>
      <w:r>
        <w:rPr>
          <w:sz w:val="20"/>
          <w:szCs w:val="20"/>
        </w:rPr>
        <w:t>close important information by referring to another document filed separately with the SEC. The information incorporated by reference is considered to be part of this proxy statement. This proxy statement and the information that we later file with the SEC</w:t>
      </w:r>
      <w:r>
        <w:rPr>
          <w:sz w:val="20"/>
          <w:szCs w:val="20"/>
        </w:rPr>
        <w:t xml:space="preserve"> may update and supersede the information incorporated by reference. Similarly, the information that we later file with the SEC may update and supersede the information in this proxy statement. The Company’s Annual Report is incorporated herein by referenc</w:t>
      </w:r>
      <w:r>
        <w:rPr>
          <w:sz w:val="20"/>
          <w:szCs w:val="20"/>
        </w:rPr>
        <w:t>e. The Company’s reports on Form 6-K furnished to the SEC since July 31, 2025 are incorporated herein by reference. To the extent that any of the periodic reports incorporated by reference in this proxy statement contain references to the safe harbor provi</w:t>
      </w:r>
      <w:r>
        <w:rPr>
          <w:sz w:val="20"/>
          <w:szCs w:val="20"/>
        </w:rPr>
        <w:t>sions of the Private Securities Litigation Reform Act of 1995 with respect to forward-looking statements, we note that these safe harbor provisions do not apply to any forward-looking statements we make in connection with the going private transaction desc</w:t>
      </w:r>
      <w:r>
        <w:rPr>
          <w:sz w:val="20"/>
          <w:szCs w:val="20"/>
        </w:rPr>
        <w:t>ribed in this proxy statement.</w:t>
      </w:r>
    </w:p>
    <w:p w14:paraId="183C92D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6D8EB9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We undertake to provide without charge to each person to whom a copy of this proxy statement has been delivered, upon request, by first-class mail or other equally prompt means, within one business day of receipt of the req</w:t>
      </w:r>
      <w:r>
        <w:rPr>
          <w:sz w:val="20"/>
          <w:szCs w:val="20"/>
        </w:rPr>
        <w:t>uest, a copy of any or all of the documents incorporated by reference into this proxy statement, other than the exhibits to these documents, unless the exhibits are specifically incorporated by reference into the information that this proxy statement incor</w:t>
      </w:r>
      <w:r>
        <w:rPr>
          <w:sz w:val="20"/>
          <w:szCs w:val="20"/>
        </w:rPr>
        <w:t>porates.</w:t>
      </w:r>
    </w:p>
    <w:p w14:paraId="2AD2B1E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FFFF80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Requests for copies of our filings should be directed to our Investor Relations Department, at the email address and phone number provided in this proxy statement.</w:t>
      </w:r>
    </w:p>
    <w:p w14:paraId="49DA3FB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4CA308F"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THIS PROXY STATEMENT DOES NOT CONSTITUTE THE SOLICITATION OF A PROXY IN ANY JUR</w:t>
      </w:r>
      <w:r>
        <w:rPr>
          <w:b/>
          <w:bCs/>
          <w:sz w:val="20"/>
          <w:szCs w:val="20"/>
        </w:rPr>
        <w:t>ISDICTION TO OR FROM ANY PERSON TO WHOM OR FROM WHOM IT IS UNLAWFUL TO MAKE SUCH PROXY SOLICITATION IN THAT JURISDICTION. YOU SHOULD RELY ONLY ON THE INFORMATION CONTAINED OR INCORPORATED BY REFERENCE IN THIS PROXY STATEMENT TO VOTE YOUR SHARES AT THE EXTR</w:t>
      </w:r>
      <w:r>
        <w:rPr>
          <w:b/>
          <w:bCs/>
          <w:sz w:val="20"/>
          <w:szCs w:val="20"/>
        </w:rPr>
        <w:t>AORDINARY GENERAL MEETING. WE HAVE NOT AUTHORIZED ANYONE TO PROVIDE YOU WITH INFORMATION THAT IS DIFFERENT FROM WHAT IS CONTAINED OR INCORPORATED BY REFERENCE IN THIS PROXY STATEMENT.</w:t>
      </w:r>
    </w:p>
    <w:p w14:paraId="6BB5ADD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3DA4342"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rPr>
        <w:t xml:space="preserve">THIS PROXY STATEMENT IS DATED ___________. YOU SHOULD NOT ASSUME THAT </w:t>
      </w:r>
      <w:r>
        <w:rPr>
          <w:b/>
          <w:bCs/>
          <w:sz w:val="20"/>
          <w:szCs w:val="20"/>
        </w:rPr>
        <w:t>THE INFORMATION CONTAINED IN THIS PROXY STATEMENT IS ACCURATE AS OF ANY DATE OTHER THAN THAT DATE, AND THE MAILING OF THIS PROXY STATEMENT TO SHAREHOLDERS DOES NOT CREATE ANY IMPLICATION TO THE CONTRARY.</w:t>
      </w:r>
    </w:p>
    <w:p w14:paraId="5752F91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52AD773" w14:textId="77777777" w:rsidR="00000000" w:rsidRDefault="002F725F">
      <w:pPr>
        <w:pStyle w:val="NormalWeb"/>
        <w:spacing w:before="0" w:beforeAutospacing="0" w:after="0" w:afterAutospacing="0"/>
        <w:jc w:val="center"/>
        <w:divId w:val="499466904"/>
        <w:rPr>
          <w:sz w:val="20"/>
          <w:szCs w:val="20"/>
        </w:rPr>
      </w:pPr>
      <w:r>
        <w:rPr>
          <w:sz w:val="20"/>
          <w:szCs w:val="20"/>
        </w:rPr>
        <w:t>10</w:t>
      </w:r>
      <w:r>
        <w:rPr>
          <w:sz w:val="20"/>
          <w:szCs w:val="20"/>
        </w:rPr>
        <w:t>8</w:t>
      </w:r>
    </w:p>
    <w:p w14:paraId="7798266C" w14:textId="77777777" w:rsidR="00000000" w:rsidRDefault="002F725F">
      <w:pPr>
        <w:pStyle w:val="NormalWeb"/>
        <w:spacing w:before="0" w:beforeAutospacing="0" w:after="0" w:afterAutospacing="0"/>
        <w:divId w:val="1879508481"/>
        <w:rPr>
          <w:sz w:val="20"/>
          <w:szCs w:val="20"/>
        </w:rPr>
      </w:pPr>
      <w:r>
        <w:rPr>
          <w:sz w:val="20"/>
          <w:szCs w:val="20"/>
        </w:rPr>
        <w:t> </w:t>
      </w:r>
    </w:p>
    <w:p w14:paraId="230700A9"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EB11DF2" w14:textId="77777777" w:rsidR="00000000" w:rsidRDefault="002F725F">
      <w:pPr>
        <w:pStyle w:val="NormalWeb"/>
        <w:spacing w:before="0" w:beforeAutospacing="0" w:after="0" w:afterAutospacing="0"/>
        <w:jc w:val="center"/>
        <w:divId w:val="415980837"/>
        <w:rPr>
          <w:sz w:val="20"/>
          <w:szCs w:val="20"/>
        </w:rPr>
      </w:pPr>
      <w:bookmarkStart w:id="34" w:name="gfpea028961701ex99-a1.htma_01"/>
      <w:bookmarkEnd w:id="34"/>
      <w:r>
        <w:rPr>
          <w:b/>
          <w:bCs/>
          <w:sz w:val="20"/>
          <w:szCs w:val="20"/>
          <w:u w:val="single"/>
        </w:rPr>
        <w:t>Annex A</w:t>
      </w:r>
    </w:p>
    <w:p w14:paraId="4BD6C2DA" w14:textId="77777777" w:rsidR="00000000" w:rsidRDefault="002F725F">
      <w:pPr>
        <w:pStyle w:val="NormalWeb"/>
        <w:spacing w:before="0" w:beforeAutospacing="0" w:after="0" w:afterAutospacing="0"/>
        <w:jc w:val="right"/>
        <w:divId w:val="415980837"/>
        <w:rPr>
          <w:sz w:val="20"/>
          <w:szCs w:val="20"/>
        </w:rPr>
      </w:pPr>
      <w:r>
        <w:rPr>
          <w:sz w:val="20"/>
          <w:szCs w:val="20"/>
        </w:rPr>
        <w:t> </w:t>
      </w:r>
    </w:p>
    <w:p w14:paraId="08FDFB4B" w14:textId="77777777" w:rsidR="00000000" w:rsidRDefault="002F725F">
      <w:pPr>
        <w:pStyle w:val="NormalWeb"/>
        <w:spacing w:before="0" w:beforeAutospacing="0" w:after="0" w:afterAutospacing="0"/>
        <w:jc w:val="right"/>
        <w:divId w:val="415980837"/>
        <w:rPr>
          <w:sz w:val="20"/>
          <w:szCs w:val="20"/>
        </w:rPr>
      </w:pPr>
      <w:r>
        <w:rPr>
          <w:sz w:val="20"/>
          <w:szCs w:val="20"/>
        </w:rPr>
        <w:t>Execution Version</w:t>
      </w:r>
    </w:p>
    <w:p w14:paraId="129E1469" w14:textId="77777777" w:rsidR="00000000" w:rsidRDefault="002F725F">
      <w:pPr>
        <w:pStyle w:val="NormalWeb"/>
        <w:spacing w:before="0" w:beforeAutospacing="0" w:after="0" w:afterAutospacing="0"/>
        <w:jc w:val="center"/>
        <w:divId w:val="415980837"/>
        <w:rPr>
          <w:sz w:val="20"/>
          <w:szCs w:val="20"/>
        </w:rPr>
      </w:pPr>
      <w:r>
        <w:rPr>
          <w:b/>
          <w:bCs/>
          <w:sz w:val="20"/>
          <w:szCs w:val="20"/>
        </w:rPr>
        <w:lastRenderedPageBreak/>
        <w:t> </w:t>
      </w:r>
    </w:p>
    <w:p w14:paraId="5581C168"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6DE594A3"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B841399"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34F09B17"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0D7A9847" w14:textId="77777777" w:rsidR="00000000" w:rsidRDefault="002F725F">
      <w:pPr>
        <w:pStyle w:val="NormalWeb"/>
        <w:spacing w:before="0" w:beforeAutospacing="0" w:after="0" w:afterAutospacing="0"/>
        <w:jc w:val="center"/>
        <w:divId w:val="415980837"/>
        <w:rPr>
          <w:sz w:val="20"/>
          <w:szCs w:val="20"/>
        </w:rPr>
      </w:pPr>
      <w:r>
        <w:rPr>
          <w:b/>
          <w:bCs/>
          <w:sz w:val="20"/>
          <w:szCs w:val="20"/>
        </w:rPr>
        <w:t>AGREEMENT AND PLAN OF MERGER</w:t>
      </w:r>
    </w:p>
    <w:p w14:paraId="333083E1"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67402F65" w14:textId="77777777" w:rsidR="00000000" w:rsidRDefault="002F725F">
      <w:pPr>
        <w:pStyle w:val="NormalWeb"/>
        <w:spacing w:before="0" w:beforeAutospacing="0" w:after="0" w:afterAutospacing="0"/>
        <w:jc w:val="center"/>
        <w:divId w:val="415980837"/>
        <w:rPr>
          <w:sz w:val="20"/>
          <w:szCs w:val="20"/>
        </w:rPr>
      </w:pPr>
      <w:r>
        <w:rPr>
          <w:b/>
          <w:bCs/>
          <w:sz w:val="20"/>
          <w:szCs w:val="20"/>
        </w:rPr>
        <w:t>by and among</w:t>
      </w:r>
    </w:p>
    <w:p w14:paraId="24671BAC"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229D5121" w14:textId="77777777" w:rsidR="00000000" w:rsidRDefault="002F725F">
      <w:pPr>
        <w:pStyle w:val="NormalWeb"/>
        <w:spacing w:before="0" w:beforeAutospacing="0" w:after="0" w:afterAutospacing="0"/>
        <w:jc w:val="center"/>
        <w:divId w:val="415980837"/>
        <w:rPr>
          <w:sz w:val="20"/>
          <w:szCs w:val="20"/>
        </w:rPr>
      </w:pPr>
      <w:r>
        <w:rPr>
          <w:b/>
          <w:bCs/>
          <w:sz w:val="20"/>
          <w:szCs w:val="20"/>
        </w:rPr>
        <w:t>OCEANPINE SKYLINE INC.</w:t>
      </w:r>
    </w:p>
    <w:p w14:paraId="083E28F2"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53B58A1B" w14:textId="77777777" w:rsidR="00000000" w:rsidRDefault="002F725F">
      <w:pPr>
        <w:pStyle w:val="NormalWeb"/>
        <w:spacing w:before="0" w:beforeAutospacing="0" w:after="0" w:afterAutospacing="0"/>
        <w:jc w:val="center"/>
        <w:divId w:val="415980837"/>
        <w:rPr>
          <w:sz w:val="20"/>
          <w:szCs w:val="20"/>
        </w:rPr>
      </w:pPr>
      <w:r>
        <w:rPr>
          <w:b/>
          <w:bCs/>
          <w:sz w:val="20"/>
          <w:szCs w:val="20"/>
        </w:rPr>
        <w:t>OCEANPINE MERGER SUB INC.</w:t>
      </w:r>
    </w:p>
    <w:p w14:paraId="767FFE81"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27538CC2" w14:textId="77777777" w:rsidR="00000000" w:rsidRDefault="002F725F">
      <w:pPr>
        <w:pStyle w:val="NormalWeb"/>
        <w:spacing w:before="0" w:beforeAutospacing="0" w:after="0" w:afterAutospacing="0"/>
        <w:jc w:val="center"/>
        <w:divId w:val="415980837"/>
        <w:rPr>
          <w:sz w:val="20"/>
          <w:szCs w:val="20"/>
        </w:rPr>
      </w:pPr>
      <w:r>
        <w:rPr>
          <w:b/>
          <w:bCs/>
          <w:sz w:val="20"/>
          <w:szCs w:val="20"/>
        </w:rPr>
        <w:t>and</w:t>
      </w:r>
    </w:p>
    <w:p w14:paraId="4B4BA58C"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301AD91B" w14:textId="77777777" w:rsidR="00000000" w:rsidRDefault="002F725F">
      <w:pPr>
        <w:pStyle w:val="NormalWeb"/>
        <w:spacing w:before="0" w:beforeAutospacing="0" w:after="0" w:afterAutospacing="0"/>
        <w:jc w:val="center"/>
        <w:divId w:val="415980837"/>
        <w:rPr>
          <w:sz w:val="20"/>
          <w:szCs w:val="20"/>
        </w:rPr>
      </w:pPr>
      <w:r>
        <w:rPr>
          <w:b/>
          <w:bCs/>
          <w:caps/>
          <w:sz w:val="20"/>
          <w:szCs w:val="20"/>
        </w:rPr>
        <w:t>lakeshore biopharma co., ltd</w:t>
      </w:r>
    </w:p>
    <w:p w14:paraId="1107B435" w14:textId="77777777" w:rsidR="00000000" w:rsidRDefault="002F725F">
      <w:pPr>
        <w:pStyle w:val="NormalWeb"/>
        <w:spacing w:before="0" w:beforeAutospacing="0" w:after="0" w:afterAutospacing="0"/>
        <w:divId w:val="415980837"/>
        <w:rPr>
          <w:sz w:val="20"/>
          <w:szCs w:val="20"/>
        </w:rPr>
      </w:pPr>
      <w:r>
        <w:rPr>
          <w:sz w:val="20"/>
          <w:szCs w:val="20"/>
        </w:rPr>
        <w:t> </w:t>
      </w:r>
    </w:p>
    <w:p w14:paraId="6F990F19" w14:textId="77777777" w:rsidR="00000000" w:rsidRDefault="002F725F">
      <w:pPr>
        <w:pStyle w:val="NormalWeb"/>
        <w:spacing w:before="0" w:beforeAutospacing="0" w:after="0" w:afterAutospacing="0"/>
        <w:divId w:val="415980837"/>
        <w:rPr>
          <w:sz w:val="20"/>
          <w:szCs w:val="20"/>
        </w:rPr>
      </w:pPr>
      <w:r>
        <w:rPr>
          <w:sz w:val="20"/>
          <w:szCs w:val="20"/>
        </w:rPr>
        <w:t> </w:t>
      </w:r>
    </w:p>
    <w:p w14:paraId="5DE5149C" w14:textId="77777777" w:rsidR="00000000" w:rsidRDefault="002F725F">
      <w:pPr>
        <w:pStyle w:val="NormalWeb"/>
        <w:spacing w:before="0" w:beforeAutospacing="0" w:after="0" w:afterAutospacing="0"/>
        <w:divId w:val="415980837"/>
        <w:rPr>
          <w:sz w:val="20"/>
          <w:szCs w:val="20"/>
        </w:rPr>
      </w:pPr>
      <w:r>
        <w:rPr>
          <w:sz w:val="20"/>
          <w:szCs w:val="20"/>
        </w:rPr>
        <w:t> </w:t>
      </w:r>
    </w:p>
    <w:p w14:paraId="38549F7B" w14:textId="77777777" w:rsidR="00000000" w:rsidRDefault="002F725F">
      <w:pPr>
        <w:pStyle w:val="NormalWeb"/>
        <w:spacing w:before="0" w:beforeAutospacing="0" w:after="0" w:afterAutospacing="0"/>
        <w:divId w:val="415980837"/>
        <w:rPr>
          <w:sz w:val="20"/>
          <w:szCs w:val="20"/>
        </w:rPr>
      </w:pPr>
      <w:r>
        <w:rPr>
          <w:sz w:val="20"/>
          <w:szCs w:val="20"/>
        </w:rPr>
        <w:t> </w:t>
      </w:r>
    </w:p>
    <w:p w14:paraId="2177005C" w14:textId="77777777" w:rsidR="00000000" w:rsidRDefault="002F725F">
      <w:pPr>
        <w:pStyle w:val="NormalWeb"/>
        <w:spacing w:before="0" w:beforeAutospacing="0" w:after="0" w:afterAutospacing="0"/>
        <w:divId w:val="415980837"/>
        <w:rPr>
          <w:sz w:val="20"/>
          <w:szCs w:val="20"/>
        </w:rPr>
      </w:pPr>
      <w:r>
        <w:rPr>
          <w:sz w:val="20"/>
          <w:szCs w:val="20"/>
        </w:rPr>
        <w:t> </w:t>
      </w:r>
    </w:p>
    <w:p w14:paraId="6D55989E" w14:textId="77777777" w:rsidR="00000000" w:rsidRDefault="002F725F">
      <w:pPr>
        <w:pStyle w:val="NormalWeb"/>
        <w:spacing w:before="0" w:beforeAutospacing="0" w:after="0" w:afterAutospacing="0"/>
        <w:divId w:val="1589578036"/>
        <w:rPr>
          <w:sz w:val="20"/>
          <w:szCs w:val="20"/>
        </w:rPr>
      </w:pPr>
      <w:r>
        <w:rPr>
          <w:sz w:val="20"/>
          <w:szCs w:val="20"/>
        </w:rPr>
        <w:t> </w:t>
      </w:r>
    </w:p>
    <w:p w14:paraId="07CCE561" w14:textId="77777777" w:rsidR="00000000" w:rsidRDefault="002F725F">
      <w:pPr>
        <w:pStyle w:val="NormalWeb"/>
        <w:spacing w:before="0" w:beforeAutospacing="0" w:after="0" w:afterAutospacing="0"/>
        <w:divId w:val="302660738"/>
        <w:rPr>
          <w:sz w:val="20"/>
          <w:szCs w:val="20"/>
        </w:rPr>
      </w:pPr>
      <w:r>
        <w:rPr>
          <w:sz w:val="20"/>
          <w:szCs w:val="20"/>
        </w:rPr>
        <w:t> </w:t>
      </w:r>
    </w:p>
    <w:p w14:paraId="5A887701" w14:textId="77777777" w:rsidR="00000000" w:rsidRDefault="002F725F">
      <w:pPr>
        <w:pStyle w:val="NormalWeb"/>
        <w:spacing w:before="0" w:beforeAutospacing="0" w:after="0" w:afterAutospacing="0"/>
        <w:divId w:val="415980837"/>
        <w:rPr>
          <w:sz w:val="20"/>
          <w:szCs w:val="20"/>
        </w:rPr>
      </w:pPr>
      <w:r>
        <w:rPr>
          <w:sz w:val="20"/>
          <w:szCs w:val="20"/>
        </w:rPr>
        <w:t> </w:t>
      </w:r>
    </w:p>
    <w:p w14:paraId="404A471E" w14:textId="77777777" w:rsidR="00000000" w:rsidRDefault="002F725F">
      <w:pPr>
        <w:pStyle w:val="NormalWeb"/>
        <w:spacing w:before="0" w:beforeAutospacing="0" w:after="0" w:afterAutospacing="0"/>
        <w:jc w:val="center"/>
        <w:divId w:val="415980837"/>
        <w:rPr>
          <w:sz w:val="20"/>
          <w:szCs w:val="20"/>
        </w:rPr>
      </w:pPr>
      <w:r>
        <w:rPr>
          <w:b/>
          <w:bCs/>
          <w:sz w:val="20"/>
          <w:szCs w:val="20"/>
          <w:u w:val="single"/>
        </w:rPr>
        <w:t>TABLE OF CONTENTS</w:t>
      </w:r>
    </w:p>
    <w:p w14:paraId="7C9716FF"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tbl>
      <w:tblPr>
        <w:tblW w:w="5000" w:type="pct"/>
        <w:tblCellMar>
          <w:left w:w="0" w:type="dxa"/>
          <w:right w:w="0" w:type="dxa"/>
        </w:tblCellMar>
        <w:tblLook w:val="04A0" w:firstRow="1" w:lastRow="0" w:firstColumn="1" w:lastColumn="0" w:noHBand="0" w:noVBand="1"/>
      </w:tblPr>
      <w:tblGrid>
        <w:gridCol w:w="1404"/>
        <w:gridCol w:w="7394"/>
        <w:gridCol w:w="562"/>
      </w:tblGrid>
      <w:tr w:rsidR="00000000" w14:paraId="792653D1" w14:textId="77777777">
        <w:trPr>
          <w:divId w:val="415980837"/>
        </w:trPr>
        <w:tc>
          <w:tcPr>
            <w:tcW w:w="0" w:type="auto"/>
            <w:gridSpan w:val="2"/>
            <w:shd w:val="clear" w:color="auto" w:fill="CCEEFF"/>
            <w:hideMark/>
          </w:tcPr>
          <w:p w14:paraId="4B5A3151" w14:textId="77777777" w:rsidR="00000000" w:rsidRDefault="002F725F">
            <w:pPr>
              <w:rPr>
                <w:rFonts w:eastAsia="Times New Roman"/>
                <w:sz w:val="20"/>
                <w:szCs w:val="20"/>
              </w:rPr>
            </w:pPr>
            <w:r>
              <w:rPr>
                <w:rFonts w:eastAsia="Times New Roman"/>
                <w:b/>
                <w:bCs/>
                <w:caps/>
                <w:sz w:val="20"/>
                <w:szCs w:val="20"/>
              </w:rPr>
              <w:t>Article I DEFINITIONS AND TERMS</w:t>
            </w:r>
          </w:p>
        </w:tc>
        <w:tc>
          <w:tcPr>
            <w:tcW w:w="0" w:type="auto"/>
            <w:shd w:val="clear" w:color="auto" w:fill="CCEEFF"/>
            <w:hideMark/>
          </w:tcPr>
          <w:p w14:paraId="5E22D3DB" w14:textId="77777777" w:rsidR="00000000" w:rsidRDefault="002F725F">
            <w:pPr>
              <w:jc w:val="center"/>
              <w:rPr>
                <w:rFonts w:eastAsia="Times New Roman"/>
                <w:sz w:val="20"/>
                <w:szCs w:val="20"/>
              </w:rPr>
            </w:pPr>
            <w:r>
              <w:rPr>
                <w:rFonts w:eastAsia="Times New Roman"/>
                <w:b/>
                <w:bCs/>
                <w:caps/>
                <w:sz w:val="20"/>
                <w:szCs w:val="20"/>
              </w:rPr>
              <w:t>2</w:t>
            </w:r>
          </w:p>
        </w:tc>
      </w:tr>
      <w:tr w:rsidR="00000000" w14:paraId="6FBB03DF" w14:textId="77777777">
        <w:trPr>
          <w:divId w:val="415980837"/>
        </w:trPr>
        <w:tc>
          <w:tcPr>
            <w:tcW w:w="750" w:type="pct"/>
            <w:shd w:val="clear" w:color="auto" w:fill="FFFFFF"/>
            <w:tcMar>
              <w:top w:w="0" w:type="dxa"/>
              <w:left w:w="180" w:type="dxa"/>
              <w:bottom w:w="0" w:type="dxa"/>
              <w:right w:w="0" w:type="dxa"/>
            </w:tcMar>
            <w:hideMark/>
          </w:tcPr>
          <w:p w14:paraId="4E6A8245" w14:textId="77777777" w:rsidR="00000000" w:rsidRDefault="002F725F">
            <w:pPr>
              <w:rPr>
                <w:rFonts w:eastAsia="Times New Roman"/>
                <w:sz w:val="20"/>
                <w:szCs w:val="20"/>
              </w:rPr>
            </w:pPr>
            <w:r>
              <w:rPr>
                <w:rFonts w:eastAsia="Times New Roman"/>
                <w:sz w:val="20"/>
                <w:szCs w:val="20"/>
              </w:rPr>
              <w:t> </w:t>
            </w:r>
          </w:p>
        </w:tc>
        <w:tc>
          <w:tcPr>
            <w:tcW w:w="3950" w:type="pct"/>
            <w:shd w:val="clear" w:color="auto" w:fill="FFFFFF"/>
            <w:hideMark/>
          </w:tcPr>
          <w:p w14:paraId="671468F5" w14:textId="77777777" w:rsidR="00000000" w:rsidRDefault="002F725F">
            <w:pPr>
              <w:rPr>
                <w:rFonts w:eastAsia="Times New Roman"/>
                <w:sz w:val="20"/>
                <w:szCs w:val="20"/>
              </w:rPr>
            </w:pPr>
            <w:r>
              <w:rPr>
                <w:rFonts w:eastAsia="Times New Roman"/>
                <w:sz w:val="20"/>
                <w:szCs w:val="20"/>
              </w:rPr>
              <w:t> </w:t>
            </w:r>
          </w:p>
        </w:tc>
        <w:tc>
          <w:tcPr>
            <w:tcW w:w="300" w:type="pct"/>
            <w:shd w:val="clear" w:color="auto" w:fill="FFFFFF"/>
            <w:hideMark/>
          </w:tcPr>
          <w:p w14:paraId="150B5B52" w14:textId="77777777" w:rsidR="00000000" w:rsidRDefault="002F725F">
            <w:pPr>
              <w:jc w:val="center"/>
              <w:rPr>
                <w:rFonts w:eastAsia="Times New Roman"/>
                <w:sz w:val="20"/>
                <w:szCs w:val="20"/>
              </w:rPr>
            </w:pPr>
            <w:r>
              <w:rPr>
                <w:rFonts w:eastAsia="Times New Roman"/>
                <w:sz w:val="20"/>
                <w:szCs w:val="20"/>
              </w:rPr>
              <w:t> </w:t>
            </w:r>
          </w:p>
        </w:tc>
      </w:tr>
      <w:tr w:rsidR="00000000" w14:paraId="1AAA288A" w14:textId="77777777">
        <w:trPr>
          <w:divId w:val="415980837"/>
        </w:trPr>
        <w:tc>
          <w:tcPr>
            <w:tcW w:w="0" w:type="auto"/>
            <w:shd w:val="clear" w:color="auto" w:fill="CCEEFF"/>
            <w:tcMar>
              <w:top w:w="0" w:type="dxa"/>
              <w:left w:w="180" w:type="dxa"/>
              <w:bottom w:w="0" w:type="dxa"/>
              <w:right w:w="0" w:type="dxa"/>
            </w:tcMar>
            <w:hideMark/>
          </w:tcPr>
          <w:p w14:paraId="74906CDB" w14:textId="77777777" w:rsidR="00000000" w:rsidRDefault="002F725F">
            <w:pPr>
              <w:rPr>
                <w:rFonts w:eastAsia="Times New Roman"/>
                <w:sz w:val="20"/>
                <w:szCs w:val="20"/>
              </w:rPr>
            </w:pPr>
            <w:r>
              <w:rPr>
                <w:rFonts w:eastAsia="Times New Roman"/>
                <w:sz w:val="20"/>
                <w:szCs w:val="20"/>
              </w:rPr>
              <w:t>Section 1.1</w:t>
            </w:r>
          </w:p>
        </w:tc>
        <w:tc>
          <w:tcPr>
            <w:tcW w:w="0" w:type="auto"/>
            <w:shd w:val="clear" w:color="auto" w:fill="CCEEFF"/>
            <w:hideMark/>
          </w:tcPr>
          <w:p w14:paraId="63AD0EA8" w14:textId="77777777" w:rsidR="00000000" w:rsidRDefault="002F725F">
            <w:pPr>
              <w:rPr>
                <w:rFonts w:eastAsia="Times New Roman"/>
                <w:sz w:val="20"/>
                <w:szCs w:val="20"/>
              </w:rPr>
            </w:pPr>
            <w:r>
              <w:rPr>
                <w:rFonts w:eastAsia="Times New Roman"/>
                <w:sz w:val="20"/>
                <w:szCs w:val="20"/>
              </w:rPr>
              <w:t>Definitions</w:t>
            </w:r>
          </w:p>
        </w:tc>
        <w:tc>
          <w:tcPr>
            <w:tcW w:w="0" w:type="auto"/>
            <w:shd w:val="clear" w:color="auto" w:fill="CCEEFF"/>
            <w:hideMark/>
          </w:tcPr>
          <w:p w14:paraId="0118420A" w14:textId="77777777" w:rsidR="00000000" w:rsidRDefault="002F725F">
            <w:pPr>
              <w:jc w:val="center"/>
              <w:rPr>
                <w:rFonts w:eastAsia="Times New Roman"/>
                <w:sz w:val="20"/>
                <w:szCs w:val="20"/>
              </w:rPr>
            </w:pPr>
            <w:r>
              <w:rPr>
                <w:rFonts w:eastAsia="Times New Roman"/>
                <w:sz w:val="20"/>
                <w:szCs w:val="20"/>
              </w:rPr>
              <w:t>3</w:t>
            </w:r>
          </w:p>
        </w:tc>
      </w:tr>
      <w:tr w:rsidR="00000000" w14:paraId="39CE934E" w14:textId="77777777">
        <w:trPr>
          <w:divId w:val="415980837"/>
        </w:trPr>
        <w:tc>
          <w:tcPr>
            <w:tcW w:w="0" w:type="auto"/>
            <w:shd w:val="clear" w:color="auto" w:fill="FFFFFF"/>
            <w:tcMar>
              <w:top w:w="0" w:type="dxa"/>
              <w:left w:w="180" w:type="dxa"/>
              <w:bottom w:w="0" w:type="dxa"/>
              <w:right w:w="0" w:type="dxa"/>
            </w:tcMar>
            <w:hideMark/>
          </w:tcPr>
          <w:p w14:paraId="0CE204BD" w14:textId="77777777" w:rsidR="00000000" w:rsidRDefault="002F725F">
            <w:pPr>
              <w:rPr>
                <w:rFonts w:eastAsia="Times New Roman"/>
                <w:sz w:val="20"/>
                <w:szCs w:val="20"/>
              </w:rPr>
            </w:pPr>
            <w:r>
              <w:rPr>
                <w:rFonts w:eastAsia="Times New Roman"/>
                <w:sz w:val="20"/>
                <w:szCs w:val="20"/>
              </w:rPr>
              <w:t>Section 1.2</w:t>
            </w:r>
          </w:p>
        </w:tc>
        <w:tc>
          <w:tcPr>
            <w:tcW w:w="0" w:type="auto"/>
            <w:shd w:val="clear" w:color="auto" w:fill="FFFFFF"/>
            <w:hideMark/>
          </w:tcPr>
          <w:p w14:paraId="55DC7407" w14:textId="77777777" w:rsidR="00000000" w:rsidRDefault="002F725F">
            <w:pPr>
              <w:rPr>
                <w:rFonts w:eastAsia="Times New Roman"/>
                <w:sz w:val="20"/>
                <w:szCs w:val="20"/>
              </w:rPr>
            </w:pPr>
            <w:r>
              <w:rPr>
                <w:rFonts w:eastAsia="Times New Roman"/>
                <w:sz w:val="20"/>
                <w:szCs w:val="20"/>
              </w:rPr>
              <w:t>Other Definitional Provisions; Interpretation</w:t>
            </w:r>
          </w:p>
        </w:tc>
        <w:tc>
          <w:tcPr>
            <w:tcW w:w="0" w:type="auto"/>
            <w:shd w:val="clear" w:color="auto" w:fill="FFFFFF"/>
            <w:hideMark/>
          </w:tcPr>
          <w:p w14:paraId="055C1CEE" w14:textId="77777777" w:rsidR="00000000" w:rsidRDefault="002F725F">
            <w:pPr>
              <w:jc w:val="center"/>
              <w:rPr>
                <w:rFonts w:eastAsia="Times New Roman"/>
                <w:sz w:val="20"/>
                <w:szCs w:val="20"/>
              </w:rPr>
            </w:pPr>
            <w:r>
              <w:rPr>
                <w:rFonts w:eastAsia="Times New Roman"/>
                <w:sz w:val="20"/>
                <w:szCs w:val="20"/>
              </w:rPr>
              <w:t>13</w:t>
            </w:r>
          </w:p>
        </w:tc>
      </w:tr>
      <w:tr w:rsidR="00000000" w14:paraId="5DFBA4C2" w14:textId="77777777">
        <w:trPr>
          <w:divId w:val="415980837"/>
        </w:trPr>
        <w:tc>
          <w:tcPr>
            <w:tcW w:w="0" w:type="auto"/>
            <w:shd w:val="clear" w:color="auto" w:fill="CCEEFF"/>
            <w:tcMar>
              <w:top w:w="0" w:type="dxa"/>
              <w:left w:w="180" w:type="dxa"/>
              <w:bottom w:w="0" w:type="dxa"/>
              <w:right w:w="0" w:type="dxa"/>
            </w:tcMar>
            <w:hideMark/>
          </w:tcPr>
          <w:p w14:paraId="44F5DDB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2746BEA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600C96A2" w14:textId="77777777" w:rsidR="00000000" w:rsidRDefault="002F725F">
            <w:pPr>
              <w:jc w:val="center"/>
              <w:rPr>
                <w:rFonts w:eastAsia="Times New Roman"/>
                <w:sz w:val="20"/>
                <w:szCs w:val="20"/>
              </w:rPr>
            </w:pPr>
            <w:r>
              <w:rPr>
                <w:rFonts w:eastAsia="Times New Roman"/>
                <w:sz w:val="20"/>
                <w:szCs w:val="20"/>
              </w:rPr>
              <w:t> </w:t>
            </w:r>
          </w:p>
        </w:tc>
      </w:tr>
      <w:tr w:rsidR="00000000" w14:paraId="6319FD7B" w14:textId="77777777">
        <w:trPr>
          <w:divId w:val="415980837"/>
        </w:trPr>
        <w:tc>
          <w:tcPr>
            <w:tcW w:w="0" w:type="auto"/>
            <w:gridSpan w:val="2"/>
            <w:shd w:val="clear" w:color="auto" w:fill="FFFFFF"/>
            <w:hideMark/>
          </w:tcPr>
          <w:p w14:paraId="19EC9380" w14:textId="77777777" w:rsidR="00000000" w:rsidRDefault="002F725F">
            <w:pPr>
              <w:rPr>
                <w:rFonts w:eastAsia="Times New Roman"/>
                <w:sz w:val="20"/>
                <w:szCs w:val="20"/>
              </w:rPr>
            </w:pPr>
            <w:r>
              <w:rPr>
                <w:rFonts w:eastAsia="Times New Roman"/>
                <w:b/>
                <w:bCs/>
                <w:caps/>
                <w:sz w:val="20"/>
                <w:szCs w:val="20"/>
              </w:rPr>
              <w:t xml:space="preserve">Article II THE MERGER </w:t>
            </w:r>
          </w:p>
        </w:tc>
        <w:tc>
          <w:tcPr>
            <w:tcW w:w="0" w:type="auto"/>
            <w:shd w:val="clear" w:color="auto" w:fill="FFFFFF"/>
            <w:hideMark/>
          </w:tcPr>
          <w:p w14:paraId="23E353FE" w14:textId="77777777" w:rsidR="00000000" w:rsidRDefault="002F725F">
            <w:pPr>
              <w:jc w:val="center"/>
              <w:rPr>
                <w:rFonts w:eastAsia="Times New Roman"/>
                <w:sz w:val="20"/>
                <w:szCs w:val="20"/>
              </w:rPr>
            </w:pPr>
            <w:r>
              <w:rPr>
                <w:rFonts w:eastAsia="Times New Roman"/>
                <w:sz w:val="20"/>
                <w:szCs w:val="20"/>
              </w:rPr>
              <w:t>13</w:t>
            </w:r>
          </w:p>
        </w:tc>
      </w:tr>
      <w:tr w:rsidR="00000000" w14:paraId="27056792" w14:textId="77777777">
        <w:trPr>
          <w:divId w:val="415980837"/>
        </w:trPr>
        <w:tc>
          <w:tcPr>
            <w:tcW w:w="0" w:type="auto"/>
            <w:shd w:val="clear" w:color="auto" w:fill="CCEEFF"/>
            <w:tcMar>
              <w:top w:w="0" w:type="dxa"/>
              <w:left w:w="180" w:type="dxa"/>
              <w:bottom w:w="0" w:type="dxa"/>
              <w:right w:w="0" w:type="dxa"/>
            </w:tcMar>
            <w:hideMark/>
          </w:tcPr>
          <w:p w14:paraId="771E391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5D81064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39DB241E" w14:textId="77777777" w:rsidR="00000000" w:rsidRDefault="002F725F">
            <w:pPr>
              <w:jc w:val="center"/>
              <w:rPr>
                <w:rFonts w:eastAsia="Times New Roman"/>
                <w:sz w:val="20"/>
                <w:szCs w:val="20"/>
              </w:rPr>
            </w:pPr>
            <w:r>
              <w:rPr>
                <w:rFonts w:eastAsia="Times New Roman"/>
                <w:sz w:val="20"/>
                <w:szCs w:val="20"/>
              </w:rPr>
              <w:t> </w:t>
            </w:r>
          </w:p>
        </w:tc>
      </w:tr>
      <w:tr w:rsidR="00000000" w14:paraId="0F48138B" w14:textId="77777777">
        <w:trPr>
          <w:divId w:val="415980837"/>
        </w:trPr>
        <w:tc>
          <w:tcPr>
            <w:tcW w:w="0" w:type="auto"/>
            <w:shd w:val="clear" w:color="auto" w:fill="FFFFFF"/>
            <w:tcMar>
              <w:top w:w="0" w:type="dxa"/>
              <w:left w:w="180" w:type="dxa"/>
              <w:bottom w:w="0" w:type="dxa"/>
              <w:right w:w="0" w:type="dxa"/>
            </w:tcMar>
            <w:hideMark/>
          </w:tcPr>
          <w:p w14:paraId="15630942" w14:textId="77777777" w:rsidR="00000000" w:rsidRDefault="002F725F">
            <w:pPr>
              <w:rPr>
                <w:rFonts w:eastAsia="Times New Roman"/>
                <w:sz w:val="20"/>
                <w:szCs w:val="20"/>
              </w:rPr>
            </w:pPr>
            <w:r>
              <w:rPr>
                <w:rFonts w:eastAsia="Times New Roman"/>
                <w:sz w:val="20"/>
                <w:szCs w:val="20"/>
              </w:rPr>
              <w:t>Section 2.1</w:t>
            </w:r>
          </w:p>
        </w:tc>
        <w:tc>
          <w:tcPr>
            <w:tcW w:w="0" w:type="auto"/>
            <w:shd w:val="clear" w:color="auto" w:fill="FFFFFF"/>
            <w:hideMark/>
          </w:tcPr>
          <w:p w14:paraId="1366EBD1" w14:textId="77777777" w:rsidR="00000000" w:rsidRDefault="002F725F">
            <w:pPr>
              <w:rPr>
                <w:rFonts w:eastAsia="Times New Roman"/>
                <w:sz w:val="20"/>
                <w:szCs w:val="20"/>
              </w:rPr>
            </w:pPr>
            <w:r>
              <w:rPr>
                <w:rFonts w:eastAsia="Times New Roman"/>
                <w:sz w:val="20"/>
                <w:szCs w:val="20"/>
              </w:rPr>
              <w:t>The Merger</w:t>
            </w:r>
          </w:p>
        </w:tc>
        <w:tc>
          <w:tcPr>
            <w:tcW w:w="0" w:type="auto"/>
            <w:shd w:val="clear" w:color="auto" w:fill="FFFFFF"/>
            <w:hideMark/>
          </w:tcPr>
          <w:p w14:paraId="6E71654C" w14:textId="77777777" w:rsidR="00000000" w:rsidRDefault="002F725F">
            <w:pPr>
              <w:jc w:val="center"/>
              <w:rPr>
                <w:rFonts w:eastAsia="Times New Roman"/>
                <w:sz w:val="20"/>
                <w:szCs w:val="20"/>
              </w:rPr>
            </w:pPr>
            <w:r>
              <w:rPr>
                <w:rFonts w:eastAsia="Times New Roman"/>
                <w:sz w:val="20"/>
                <w:szCs w:val="20"/>
              </w:rPr>
              <w:t>13</w:t>
            </w:r>
          </w:p>
        </w:tc>
      </w:tr>
      <w:tr w:rsidR="00000000" w14:paraId="32774FA5" w14:textId="77777777">
        <w:trPr>
          <w:divId w:val="415980837"/>
        </w:trPr>
        <w:tc>
          <w:tcPr>
            <w:tcW w:w="0" w:type="auto"/>
            <w:shd w:val="clear" w:color="auto" w:fill="CCEEFF"/>
            <w:tcMar>
              <w:top w:w="0" w:type="dxa"/>
              <w:left w:w="180" w:type="dxa"/>
              <w:bottom w:w="0" w:type="dxa"/>
              <w:right w:w="0" w:type="dxa"/>
            </w:tcMar>
            <w:hideMark/>
          </w:tcPr>
          <w:p w14:paraId="5B226395" w14:textId="77777777" w:rsidR="00000000" w:rsidRDefault="002F725F">
            <w:pPr>
              <w:rPr>
                <w:rFonts w:eastAsia="Times New Roman"/>
                <w:sz w:val="20"/>
                <w:szCs w:val="20"/>
              </w:rPr>
            </w:pPr>
            <w:r>
              <w:rPr>
                <w:rFonts w:eastAsia="Times New Roman"/>
                <w:sz w:val="20"/>
                <w:szCs w:val="20"/>
              </w:rPr>
              <w:t>Section 2.2</w:t>
            </w:r>
          </w:p>
        </w:tc>
        <w:tc>
          <w:tcPr>
            <w:tcW w:w="0" w:type="auto"/>
            <w:shd w:val="clear" w:color="auto" w:fill="CCEEFF"/>
            <w:hideMark/>
          </w:tcPr>
          <w:p w14:paraId="51532BC9" w14:textId="77777777" w:rsidR="00000000" w:rsidRDefault="002F725F">
            <w:pPr>
              <w:rPr>
                <w:rFonts w:eastAsia="Times New Roman"/>
                <w:sz w:val="20"/>
                <w:szCs w:val="20"/>
              </w:rPr>
            </w:pPr>
            <w:r>
              <w:rPr>
                <w:rFonts w:eastAsia="Times New Roman"/>
                <w:sz w:val="20"/>
                <w:szCs w:val="20"/>
              </w:rPr>
              <w:t>Closing; Closing Date</w:t>
            </w:r>
          </w:p>
        </w:tc>
        <w:tc>
          <w:tcPr>
            <w:tcW w:w="0" w:type="auto"/>
            <w:shd w:val="clear" w:color="auto" w:fill="CCEEFF"/>
            <w:hideMark/>
          </w:tcPr>
          <w:p w14:paraId="7EC3A3FE" w14:textId="77777777" w:rsidR="00000000" w:rsidRDefault="002F725F">
            <w:pPr>
              <w:jc w:val="center"/>
              <w:rPr>
                <w:rFonts w:eastAsia="Times New Roman"/>
                <w:sz w:val="20"/>
                <w:szCs w:val="20"/>
              </w:rPr>
            </w:pPr>
            <w:r>
              <w:rPr>
                <w:rFonts w:eastAsia="Times New Roman"/>
                <w:sz w:val="20"/>
                <w:szCs w:val="20"/>
              </w:rPr>
              <w:t>14</w:t>
            </w:r>
          </w:p>
        </w:tc>
      </w:tr>
      <w:tr w:rsidR="00000000" w14:paraId="40337285" w14:textId="77777777">
        <w:trPr>
          <w:divId w:val="415980837"/>
        </w:trPr>
        <w:tc>
          <w:tcPr>
            <w:tcW w:w="0" w:type="auto"/>
            <w:shd w:val="clear" w:color="auto" w:fill="FFFFFF"/>
            <w:tcMar>
              <w:top w:w="0" w:type="dxa"/>
              <w:left w:w="180" w:type="dxa"/>
              <w:bottom w:w="0" w:type="dxa"/>
              <w:right w:w="0" w:type="dxa"/>
            </w:tcMar>
            <w:hideMark/>
          </w:tcPr>
          <w:p w14:paraId="263736E6" w14:textId="77777777" w:rsidR="00000000" w:rsidRDefault="002F725F">
            <w:pPr>
              <w:rPr>
                <w:rFonts w:eastAsia="Times New Roman"/>
                <w:sz w:val="20"/>
                <w:szCs w:val="20"/>
              </w:rPr>
            </w:pPr>
            <w:r>
              <w:rPr>
                <w:rFonts w:eastAsia="Times New Roman"/>
                <w:sz w:val="20"/>
                <w:szCs w:val="20"/>
              </w:rPr>
              <w:t>Section 2.3</w:t>
            </w:r>
          </w:p>
        </w:tc>
        <w:tc>
          <w:tcPr>
            <w:tcW w:w="0" w:type="auto"/>
            <w:shd w:val="clear" w:color="auto" w:fill="FFFFFF"/>
            <w:hideMark/>
          </w:tcPr>
          <w:p w14:paraId="2F41D3BF" w14:textId="77777777" w:rsidR="00000000" w:rsidRDefault="002F725F">
            <w:pPr>
              <w:rPr>
                <w:rFonts w:eastAsia="Times New Roman"/>
                <w:sz w:val="20"/>
                <w:szCs w:val="20"/>
              </w:rPr>
            </w:pPr>
            <w:r>
              <w:rPr>
                <w:rFonts w:eastAsia="Times New Roman"/>
                <w:sz w:val="20"/>
                <w:szCs w:val="20"/>
              </w:rPr>
              <w:t>Effective Time</w:t>
            </w:r>
          </w:p>
        </w:tc>
        <w:tc>
          <w:tcPr>
            <w:tcW w:w="0" w:type="auto"/>
            <w:shd w:val="clear" w:color="auto" w:fill="FFFFFF"/>
            <w:hideMark/>
          </w:tcPr>
          <w:p w14:paraId="0B651717" w14:textId="77777777" w:rsidR="00000000" w:rsidRDefault="002F725F">
            <w:pPr>
              <w:jc w:val="center"/>
              <w:rPr>
                <w:rFonts w:eastAsia="Times New Roman"/>
                <w:sz w:val="20"/>
                <w:szCs w:val="20"/>
              </w:rPr>
            </w:pPr>
            <w:r>
              <w:rPr>
                <w:rFonts w:eastAsia="Times New Roman"/>
                <w:sz w:val="20"/>
                <w:szCs w:val="20"/>
              </w:rPr>
              <w:t>14</w:t>
            </w:r>
          </w:p>
        </w:tc>
      </w:tr>
      <w:tr w:rsidR="00000000" w14:paraId="4E55801D" w14:textId="77777777">
        <w:trPr>
          <w:divId w:val="415980837"/>
        </w:trPr>
        <w:tc>
          <w:tcPr>
            <w:tcW w:w="0" w:type="auto"/>
            <w:shd w:val="clear" w:color="auto" w:fill="CCEEFF"/>
            <w:tcMar>
              <w:top w:w="0" w:type="dxa"/>
              <w:left w:w="180" w:type="dxa"/>
              <w:bottom w:w="0" w:type="dxa"/>
              <w:right w:w="0" w:type="dxa"/>
            </w:tcMar>
            <w:hideMark/>
          </w:tcPr>
          <w:p w14:paraId="10BD35C1" w14:textId="77777777" w:rsidR="00000000" w:rsidRDefault="002F725F">
            <w:pPr>
              <w:rPr>
                <w:rFonts w:eastAsia="Times New Roman"/>
                <w:sz w:val="20"/>
                <w:szCs w:val="20"/>
              </w:rPr>
            </w:pPr>
            <w:r>
              <w:rPr>
                <w:rFonts w:eastAsia="Times New Roman"/>
                <w:sz w:val="20"/>
                <w:szCs w:val="20"/>
              </w:rPr>
              <w:t>Section 2.4</w:t>
            </w:r>
          </w:p>
        </w:tc>
        <w:tc>
          <w:tcPr>
            <w:tcW w:w="0" w:type="auto"/>
            <w:shd w:val="clear" w:color="auto" w:fill="CCEEFF"/>
            <w:hideMark/>
          </w:tcPr>
          <w:p w14:paraId="45C3F3FF" w14:textId="77777777" w:rsidR="00000000" w:rsidRDefault="002F725F">
            <w:pPr>
              <w:rPr>
                <w:rFonts w:eastAsia="Times New Roman"/>
                <w:sz w:val="20"/>
                <w:szCs w:val="20"/>
              </w:rPr>
            </w:pPr>
            <w:r>
              <w:rPr>
                <w:rFonts w:eastAsia="Times New Roman"/>
                <w:sz w:val="20"/>
                <w:szCs w:val="20"/>
              </w:rPr>
              <w:t>Effects of the Merger</w:t>
            </w:r>
          </w:p>
        </w:tc>
        <w:tc>
          <w:tcPr>
            <w:tcW w:w="0" w:type="auto"/>
            <w:shd w:val="clear" w:color="auto" w:fill="CCEEFF"/>
            <w:hideMark/>
          </w:tcPr>
          <w:p w14:paraId="09745109" w14:textId="77777777" w:rsidR="00000000" w:rsidRDefault="002F725F">
            <w:pPr>
              <w:jc w:val="center"/>
              <w:rPr>
                <w:rFonts w:eastAsia="Times New Roman"/>
                <w:sz w:val="20"/>
                <w:szCs w:val="20"/>
              </w:rPr>
            </w:pPr>
            <w:r>
              <w:rPr>
                <w:rFonts w:eastAsia="Times New Roman"/>
                <w:sz w:val="20"/>
                <w:szCs w:val="20"/>
              </w:rPr>
              <w:t>14</w:t>
            </w:r>
          </w:p>
        </w:tc>
      </w:tr>
      <w:tr w:rsidR="00000000" w14:paraId="2AE00EFF" w14:textId="77777777">
        <w:trPr>
          <w:divId w:val="415980837"/>
        </w:trPr>
        <w:tc>
          <w:tcPr>
            <w:tcW w:w="0" w:type="auto"/>
            <w:shd w:val="clear" w:color="auto" w:fill="FFFFFF"/>
            <w:tcMar>
              <w:top w:w="0" w:type="dxa"/>
              <w:left w:w="180" w:type="dxa"/>
              <w:bottom w:w="0" w:type="dxa"/>
              <w:right w:w="0" w:type="dxa"/>
            </w:tcMar>
            <w:hideMark/>
          </w:tcPr>
          <w:p w14:paraId="4120BB11" w14:textId="77777777" w:rsidR="00000000" w:rsidRDefault="002F725F">
            <w:pPr>
              <w:rPr>
                <w:rFonts w:eastAsia="Times New Roman"/>
                <w:sz w:val="20"/>
                <w:szCs w:val="20"/>
              </w:rPr>
            </w:pPr>
            <w:r>
              <w:rPr>
                <w:rFonts w:eastAsia="Times New Roman"/>
                <w:sz w:val="20"/>
                <w:szCs w:val="20"/>
              </w:rPr>
              <w:t>Section 2.5</w:t>
            </w:r>
          </w:p>
        </w:tc>
        <w:tc>
          <w:tcPr>
            <w:tcW w:w="0" w:type="auto"/>
            <w:shd w:val="clear" w:color="auto" w:fill="FFFFFF"/>
            <w:hideMark/>
          </w:tcPr>
          <w:p w14:paraId="1FB54F8C" w14:textId="77777777" w:rsidR="00000000" w:rsidRDefault="002F725F">
            <w:pPr>
              <w:rPr>
                <w:rFonts w:eastAsia="Times New Roman"/>
                <w:sz w:val="20"/>
                <w:szCs w:val="20"/>
              </w:rPr>
            </w:pPr>
            <w:r>
              <w:rPr>
                <w:rFonts w:eastAsia="Times New Roman"/>
                <w:sz w:val="20"/>
                <w:szCs w:val="20"/>
              </w:rPr>
              <w:t>Memorandum and Articles of Association of the Surviving Company</w:t>
            </w:r>
          </w:p>
        </w:tc>
        <w:tc>
          <w:tcPr>
            <w:tcW w:w="0" w:type="auto"/>
            <w:shd w:val="clear" w:color="auto" w:fill="FFFFFF"/>
            <w:hideMark/>
          </w:tcPr>
          <w:p w14:paraId="09B97592" w14:textId="77777777" w:rsidR="00000000" w:rsidRDefault="002F725F">
            <w:pPr>
              <w:jc w:val="center"/>
              <w:rPr>
                <w:rFonts w:eastAsia="Times New Roman"/>
                <w:sz w:val="20"/>
                <w:szCs w:val="20"/>
              </w:rPr>
            </w:pPr>
            <w:r>
              <w:rPr>
                <w:rFonts w:eastAsia="Times New Roman"/>
                <w:sz w:val="20"/>
                <w:szCs w:val="20"/>
              </w:rPr>
              <w:t>14</w:t>
            </w:r>
          </w:p>
        </w:tc>
      </w:tr>
      <w:tr w:rsidR="00000000" w14:paraId="5BCA8A1A" w14:textId="77777777">
        <w:trPr>
          <w:divId w:val="415980837"/>
        </w:trPr>
        <w:tc>
          <w:tcPr>
            <w:tcW w:w="0" w:type="auto"/>
            <w:shd w:val="clear" w:color="auto" w:fill="CCEEFF"/>
            <w:tcMar>
              <w:top w:w="0" w:type="dxa"/>
              <w:left w:w="180" w:type="dxa"/>
              <w:bottom w:w="0" w:type="dxa"/>
              <w:right w:w="0" w:type="dxa"/>
            </w:tcMar>
            <w:hideMark/>
          </w:tcPr>
          <w:p w14:paraId="70AC25E0" w14:textId="77777777" w:rsidR="00000000" w:rsidRDefault="002F725F">
            <w:pPr>
              <w:rPr>
                <w:rFonts w:eastAsia="Times New Roman"/>
                <w:sz w:val="20"/>
                <w:szCs w:val="20"/>
              </w:rPr>
            </w:pPr>
            <w:r>
              <w:rPr>
                <w:rFonts w:eastAsia="Times New Roman"/>
                <w:sz w:val="20"/>
                <w:szCs w:val="20"/>
              </w:rPr>
              <w:t>Section 2.6</w:t>
            </w:r>
          </w:p>
        </w:tc>
        <w:tc>
          <w:tcPr>
            <w:tcW w:w="0" w:type="auto"/>
            <w:shd w:val="clear" w:color="auto" w:fill="CCEEFF"/>
            <w:hideMark/>
          </w:tcPr>
          <w:p w14:paraId="1735E908" w14:textId="77777777" w:rsidR="00000000" w:rsidRDefault="002F725F">
            <w:pPr>
              <w:rPr>
                <w:rFonts w:eastAsia="Times New Roman"/>
                <w:sz w:val="20"/>
                <w:szCs w:val="20"/>
              </w:rPr>
            </w:pPr>
            <w:r>
              <w:rPr>
                <w:rFonts w:eastAsia="Times New Roman"/>
                <w:sz w:val="20"/>
                <w:szCs w:val="20"/>
              </w:rPr>
              <w:t>Directors and Officers of the Surviving Company</w:t>
            </w:r>
          </w:p>
        </w:tc>
        <w:tc>
          <w:tcPr>
            <w:tcW w:w="0" w:type="auto"/>
            <w:shd w:val="clear" w:color="auto" w:fill="CCEEFF"/>
            <w:hideMark/>
          </w:tcPr>
          <w:p w14:paraId="0A3985B1" w14:textId="77777777" w:rsidR="00000000" w:rsidRDefault="002F725F">
            <w:pPr>
              <w:jc w:val="center"/>
              <w:rPr>
                <w:rFonts w:eastAsia="Times New Roman"/>
                <w:sz w:val="20"/>
                <w:szCs w:val="20"/>
              </w:rPr>
            </w:pPr>
            <w:r>
              <w:rPr>
                <w:rFonts w:eastAsia="Times New Roman"/>
                <w:sz w:val="20"/>
                <w:szCs w:val="20"/>
              </w:rPr>
              <w:t>15</w:t>
            </w:r>
          </w:p>
        </w:tc>
      </w:tr>
      <w:tr w:rsidR="00000000" w14:paraId="373E19EB" w14:textId="77777777">
        <w:trPr>
          <w:divId w:val="415980837"/>
        </w:trPr>
        <w:tc>
          <w:tcPr>
            <w:tcW w:w="0" w:type="auto"/>
            <w:shd w:val="clear" w:color="auto" w:fill="FFFFFF"/>
            <w:tcMar>
              <w:top w:w="0" w:type="dxa"/>
              <w:left w:w="180" w:type="dxa"/>
              <w:bottom w:w="0" w:type="dxa"/>
              <w:right w:w="0" w:type="dxa"/>
            </w:tcMar>
            <w:hideMark/>
          </w:tcPr>
          <w:p w14:paraId="0420E72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7D4FB51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75E397A9" w14:textId="77777777" w:rsidR="00000000" w:rsidRDefault="002F725F">
            <w:pPr>
              <w:jc w:val="center"/>
              <w:rPr>
                <w:rFonts w:eastAsia="Times New Roman"/>
                <w:sz w:val="20"/>
                <w:szCs w:val="20"/>
              </w:rPr>
            </w:pPr>
            <w:r>
              <w:rPr>
                <w:rFonts w:eastAsia="Times New Roman"/>
                <w:sz w:val="20"/>
                <w:szCs w:val="20"/>
              </w:rPr>
              <w:t> </w:t>
            </w:r>
          </w:p>
        </w:tc>
      </w:tr>
      <w:tr w:rsidR="00000000" w14:paraId="72E69E83" w14:textId="77777777">
        <w:trPr>
          <w:divId w:val="415980837"/>
        </w:trPr>
        <w:tc>
          <w:tcPr>
            <w:tcW w:w="0" w:type="auto"/>
            <w:gridSpan w:val="2"/>
            <w:shd w:val="clear" w:color="auto" w:fill="CCEEFF"/>
            <w:hideMark/>
          </w:tcPr>
          <w:p w14:paraId="64751905" w14:textId="77777777" w:rsidR="00000000" w:rsidRDefault="002F725F">
            <w:pPr>
              <w:rPr>
                <w:rFonts w:eastAsia="Times New Roman"/>
                <w:sz w:val="20"/>
                <w:szCs w:val="20"/>
              </w:rPr>
            </w:pPr>
            <w:r>
              <w:rPr>
                <w:rFonts w:eastAsia="Times New Roman"/>
                <w:b/>
                <w:bCs/>
                <w:caps/>
                <w:sz w:val="20"/>
                <w:szCs w:val="20"/>
              </w:rPr>
              <w:t>Article III CONVERSION OF SHARES</w:t>
            </w:r>
          </w:p>
        </w:tc>
        <w:tc>
          <w:tcPr>
            <w:tcW w:w="0" w:type="auto"/>
            <w:shd w:val="clear" w:color="auto" w:fill="CCEEFF"/>
            <w:hideMark/>
          </w:tcPr>
          <w:p w14:paraId="7B4DCE0C" w14:textId="77777777" w:rsidR="00000000" w:rsidRDefault="002F725F">
            <w:pPr>
              <w:jc w:val="center"/>
              <w:rPr>
                <w:rFonts w:eastAsia="Times New Roman"/>
                <w:sz w:val="20"/>
                <w:szCs w:val="20"/>
              </w:rPr>
            </w:pPr>
            <w:r>
              <w:rPr>
                <w:rFonts w:eastAsia="Times New Roman"/>
                <w:b/>
                <w:bCs/>
                <w:caps/>
                <w:sz w:val="20"/>
                <w:szCs w:val="20"/>
              </w:rPr>
              <w:t>15</w:t>
            </w:r>
          </w:p>
        </w:tc>
      </w:tr>
      <w:tr w:rsidR="00000000" w14:paraId="5FAC426D" w14:textId="77777777">
        <w:trPr>
          <w:divId w:val="415980837"/>
        </w:trPr>
        <w:tc>
          <w:tcPr>
            <w:tcW w:w="0" w:type="auto"/>
            <w:shd w:val="clear" w:color="auto" w:fill="FFFFFF"/>
            <w:tcMar>
              <w:top w:w="0" w:type="dxa"/>
              <w:left w:w="180" w:type="dxa"/>
              <w:bottom w:w="0" w:type="dxa"/>
              <w:right w:w="0" w:type="dxa"/>
            </w:tcMar>
            <w:hideMark/>
          </w:tcPr>
          <w:p w14:paraId="145C070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298709C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3C8F473A" w14:textId="77777777" w:rsidR="00000000" w:rsidRDefault="002F725F">
            <w:pPr>
              <w:jc w:val="center"/>
              <w:rPr>
                <w:rFonts w:eastAsia="Times New Roman"/>
                <w:sz w:val="20"/>
                <w:szCs w:val="20"/>
              </w:rPr>
            </w:pPr>
            <w:r>
              <w:rPr>
                <w:rFonts w:eastAsia="Times New Roman"/>
                <w:sz w:val="20"/>
                <w:szCs w:val="20"/>
              </w:rPr>
              <w:t> </w:t>
            </w:r>
          </w:p>
        </w:tc>
      </w:tr>
      <w:tr w:rsidR="00000000" w14:paraId="60DF54DA" w14:textId="77777777">
        <w:trPr>
          <w:divId w:val="415980837"/>
        </w:trPr>
        <w:tc>
          <w:tcPr>
            <w:tcW w:w="0" w:type="auto"/>
            <w:shd w:val="clear" w:color="auto" w:fill="CCEEFF"/>
            <w:tcMar>
              <w:top w:w="0" w:type="dxa"/>
              <w:left w:w="180" w:type="dxa"/>
              <w:bottom w:w="0" w:type="dxa"/>
              <w:right w:w="0" w:type="dxa"/>
            </w:tcMar>
            <w:hideMark/>
          </w:tcPr>
          <w:p w14:paraId="6E7D3EF0" w14:textId="77777777" w:rsidR="00000000" w:rsidRDefault="002F725F">
            <w:pPr>
              <w:rPr>
                <w:rFonts w:eastAsia="Times New Roman"/>
                <w:sz w:val="20"/>
                <w:szCs w:val="20"/>
              </w:rPr>
            </w:pPr>
            <w:r>
              <w:rPr>
                <w:rFonts w:eastAsia="Times New Roman"/>
                <w:sz w:val="20"/>
                <w:szCs w:val="20"/>
              </w:rPr>
              <w:t>Section 3.1</w:t>
            </w:r>
          </w:p>
        </w:tc>
        <w:tc>
          <w:tcPr>
            <w:tcW w:w="0" w:type="auto"/>
            <w:shd w:val="clear" w:color="auto" w:fill="CCEEFF"/>
            <w:hideMark/>
          </w:tcPr>
          <w:p w14:paraId="55E47A3E" w14:textId="77777777" w:rsidR="00000000" w:rsidRDefault="002F725F">
            <w:pPr>
              <w:rPr>
                <w:rFonts w:eastAsia="Times New Roman"/>
                <w:sz w:val="20"/>
                <w:szCs w:val="20"/>
              </w:rPr>
            </w:pPr>
            <w:r>
              <w:rPr>
                <w:rFonts w:eastAsia="Times New Roman"/>
                <w:sz w:val="20"/>
                <w:szCs w:val="20"/>
              </w:rPr>
              <w:t>Treatment of Company Securities and Merger Considerations</w:t>
            </w:r>
          </w:p>
        </w:tc>
        <w:tc>
          <w:tcPr>
            <w:tcW w:w="0" w:type="auto"/>
            <w:shd w:val="clear" w:color="auto" w:fill="CCEEFF"/>
            <w:hideMark/>
          </w:tcPr>
          <w:p w14:paraId="39327C82" w14:textId="77777777" w:rsidR="00000000" w:rsidRDefault="002F725F">
            <w:pPr>
              <w:jc w:val="center"/>
              <w:rPr>
                <w:rFonts w:eastAsia="Times New Roman"/>
                <w:sz w:val="20"/>
                <w:szCs w:val="20"/>
              </w:rPr>
            </w:pPr>
            <w:r>
              <w:rPr>
                <w:rFonts w:eastAsia="Times New Roman"/>
                <w:sz w:val="20"/>
                <w:szCs w:val="20"/>
              </w:rPr>
              <w:t>15</w:t>
            </w:r>
          </w:p>
        </w:tc>
      </w:tr>
      <w:tr w:rsidR="00000000" w14:paraId="20FD032D" w14:textId="77777777">
        <w:trPr>
          <w:divId w:val="415980837"/>
        </w:trPr>
        <w:tc>
          <w:tcPr>
            <w:tcW w:w="0" w:type="auto"/>
            <w:shd w:val="clear" w:color="auto" w:fill="FFFFFF"/>
            <w:tcMar>
              <w:top w:w="0" w:type="dxa"/>
              <w:left w:w="180" w:type="dxa"/>
              <w:bottom w:w="0" w:type="dxa"/>
              <w:right w:w="0" w:type="dxa"/>
            </w:tcMar>
            <w:hideMark/>
          </w:tcPr>
          <w:p w14:paraId="72C70FED" w14:textId="77777777" w:rsidR="00000000" w:rsidRDefault="002F725F">
            <w:pPr>
              <w:rPr>
                <w:rFonts w:eastAsia="Times New Roman"/>
                <w:sz w:val="20"/>
                <w:szCs w:val="20"/>
              </w:rPr>
            </w:pPr>
            <w:r>
              <w:rPr>
                <w:rFonts w:eastAsia="Times New Roman"/>
                <w:sz w:val="20"/>
                <w:szCs w:val="20"/>
              </w:rPr>
              <w:t>Section 3.2</w:t>
            </w:r>
          </w:p>
        </w:tc>
        <w:tc>
          <w:tcPr>
            <w:tcW w:w="0" w:type="auto"/>
            <w:shd w:val="clear" w:color="auto" w:fill="FFFFFF"/>
            <w:noWrap/>
            <w:hideMark/>
          </w:tcPr>
          <w:p w14:paraId="59BAE40B" w14:textId="77777777" w:rsidR="00000000" w:rsidRDefault="002F725F">
            <w:pPr>
              <w:rPr>
                <w:rFonts w:eastAsia="Times New Roman"/>
                <w:sz w:val="20"/>
                <w:szCs w:val="20"/>
              </w:rPr>
            </w:pPr>
            <w:r>
              <w:rPr>
                <w:rFonts w:eastAsia="Times New Roman"/>
                <w:sz w:val="20"/>
                <w:szCs w:val="20"/>
              </w:rPr>
              <w:t>Exchange of Certificates Representing Shares; Payments</w:t>
            </w:r>
          </w:p>
        </w:tc>
        <w:tc>
          <w:tcPr>
            <w:tcW w:w="0" w:type="auto"/>
            <w:shd w:val="clear" w:color="auto" w:fill="FFFFFF"/>
            <w:hideMark/>
          </w:tcPr>
          <w:p w14:paraId="71CB5807" w14:textId="77777777" w:rsidR="00000000" w:rsidRDefault="002F725F">
            <w:pPr>
              <w:jc w:val="center"/>
              <w:rPr>
                <w:rFonts w:eastAsia="Times New Roman"/>
                <w:sz w:val="20"/>
                <w:szCs w:val="20"/>
              </w:rPr>
            </w:pPr>
            <w:r>
              <w:rPr>
                <w:rFonts w:eastAsia="Times New Roman"/>
                <w:sz w:val="20"/>
                <w:szCs w:val="20"/>
              </w:rPr>
              <w:t>16</w:t>
            </w:r>
          </w:p>
        </w:tc>
      </w:tr>
      <w:tr w:rsidR="00000000" w14:paraId="3694FD4A" w14:textId="77777777">
        <w:trPr>
          <w:divId w:val="415980837"/>
        </w:trPr>
        <w:tc>
          <w:tcPr>
            <w:tcW w:w="0" w:type="auto"/>
            <w:shd w:val="clear" w:color="auto" w:fill="CCEEFF"/>
            <w:tcMar>
              <w:top w:w="0" w:type="dxa"/>
              <w:left w:w="180" w:type="dxa"/>
              <w:bottom w:w="0" w:type="dxa"/>
              <w:right w:w="0" w:type="dxa"/>
            </w:tcMar>
            <w:hideMark/>
          </w:tcPr>
          <w:p w14:paraId="256F87ED" w14:textId="77777777" w:rsidR="00000000" w:rsidRDefault="002F725F">
            <w:pPr>
              <w:rPr>
                <w:rFonts w:eastAsia="Times New Roman"/>
                <w:sz w:val="20"/>
                <w:szCs w:val="20"/>
              </w:rPr>
            </w:pPr>
            <w:r>
              <w:rPr>
                <w:rFonts w:eastAsia="Times New Roman"/>
                <w:sz w:val="20"/>
                <w:szCs w:val="20"/>
              </w:rPr>
              <w:t>Section 3.3</w:t>
            </w:r>
          </w:p>
        </w:tc>
        <w:tc>
          <w:tcPr>
            <w:tcW w:w="0" w:type="auto"/>
            <w:shd w:val="clear" w:color="auto" w:fill="CCEEFF"/>
            <w:hideMark/>
          </w:tcPr>
          <w:p w14:paraId="42BE59E0" w14:textId="77777777" w:rsidR="00000000" w:rsidRDefault="002F725F">
            <w:pPr>
              <w:rPr>
                <w:rFonts w:eastAsia="Times New Roman"/>
                <w:sz w:val="20"/>
                <w:szCs w:val="20"/>
              </w:rPr>
            </w:pPr>
            <w:r>
              <w:rPr>
                <w:rFonts w:eastAsia="Times New Roman"/>
                <w:sz w:val="20"/>
                <w:szCs w:val="20"/>
              </w:rPr>
              <w:t>Treatment of Equity Awards</w:t>
            </w:r>
          </w:p>
        </w:tc>
        <w:tc>
          <w:tcPr>
            <w:tcW w:w="0" w:type="auto"/>
            <w:shd w:val="clear" w:color="auto" w:fill="CCEEFF"/>
            <w:hideMark/>
          </w:tcPr>
          <w:p w14:paraId="1B8ACADB" w14:textId="77777777" w:rsidR="00000000" w:rsidRDefault="002F725F">
            <w:pPr>
              <w:jc w:val="center"/>
              <w:rPr>
                <w:rFonts w:eastAsia="Times New Roman"/>
                <w:sz w:val="20"/>
                <w:szCs w:val="20"/>
              </w:rPr>
            </w:pPr>
            <w:r>
              <w:rPr>
                <w:rFonts w:eastAsia="Times New Roman"/>
                <w:sz w:val="20"/>
                <w:szCs w:val="20"/>
              </w:rPr>
              <w:t>18</w:t>
            </w:r>
          </w:p>
        </w:tc>
      </w:tr>
      <w:tr w:rsidR="00000000" w14:paraId="071368A4" w14:textId="77777777">
        <w:trPr>
          <w:divId w:val="415980837"/>
        </w:trPr>
        <w:tc>
          <w:tcPr>
            <w:tcW w:w="0" w:type="auto"/>
            <w:shd w:val="clear" w:color="auto" w:fill="FFFFFF"/>
            <w:tcMar>
              <w:top w:w="0" w:type="dxa"/>
              <w:left w:w="180" w:type="dxa"/>
              <w:bottom w:w="0" w:type="dxa"/>
              <w:right w:w="0" w:type="dxa"/>
            </w:tcMar>
            <w:hideMark/>
          </w:tcPr>
          <w:p w14:paraId="0CC5CF89" w14:textId="77777777" w:rsidR="00000000" w:rsidRDefault="002F725F">
            <w:pPr>
              <w:rPr>
                <w:rFonts w:eastAsia="Times New Roman"/>
                <w:sz w:val="20"/>
                <w:szCs w:val="20"/>
              </w:rPr>
            </w:pPr>
            <w:r>
              <w:rPr>
                <w:rFonts w:eastAsia="Times New Roman"/>
                <w:sz w:val="20"/>
                <w:szCs w:val="20"/>
              </w:rPr>
              <w:t>Section 3.4</w:t>
            </w:r>
          </w:p>
        </w:tc>
        <w:tc>
          <w:tcPr>
            <w:tcW w:w="0" w:type="auto"/>
            <w:shd w:val="clear" w:color="auto" w:fill="FFFFFF"/>
            <w:hideMark/>
          </w:tcPr>
          <w:p w14:paraId="1BB77178" w14:textId="77777777" w:rsidR="00000000" w:rsidRDefault="002F725F">
            <w:pPr>
              <w:rPr>
                <w:rFonts w:eastAsia="Times New Roman"/>
                <w:sz w:val="20"/>
                <w:szCs w:val="20"/>
              </w:rPr>
            </w:pPr>
            <w:r>
              <w:rPr>
                <w:rFonts w:eastAsia="Times New Roman"/>
                <w:sz w:val="20"/>
                <w:szCs w:val="20"/>
              </w:rPr>
              <w:t>Dissenting Shares</w:t>
            </w:r>
          </w:p>
        </w:tc>
        <w:tc>
          <w:tcPr>
            <w:tcW w:w="0" w:type="auto"/>
            <w:shd w:val="clear" w:color="auto" w:fill="FFFFFF"/>
            <w:hideMark/>
          </w:tcPr>
          <w:p w14:paraId="6788D2FF" w14:textId="77777777" w:rsidR="00000000" w:rsidRDefault="002F725F">
            <w:pPr>
              <w:jc w:val="center"/>
              <w:rPr>
                <w:rFonts w:eastAsia="Times New Roman"/>
                <w:sz w:val="20"/>
                <w:szCs w:val="20"/>
              </w:rPr>
            </w:pPr>
            <w:r>
              <w:rPr>
                <w:rFonts w:eastAsia="Times New Roman"/>
                <w:sz w:val="20"/>
                <w:szCs w:val="20"/>
              </w:rPr>
              <w:t>19</w:t>
            </w:r>
          </w:p>
        </w:tc>
      </w:tr>
      <w:tr w:rsidR="00000000" w14:paraId="1187431E" w14:textId="77777777">
        <w:trPr>
          <w:divId w:val="415980837"/>
        </w:trPr>
        <w:tc>
          <w:tcPr>
            <w:tcW w:w="0" w:type="auto"/>
            <w:shd w:val="clear" w:color="auto" w:fill="CCEEFF"/>
            <w:tcMar>
              <w:top w:w="0" w:type="dxa"/>
              <w:left w:w="180" w:type="dxa"/>
              <w:bottom w:w="0" w:type="dxa"/>
              <w:right w:w="0" w:type="dxa"/>
            </w:tcMar>
            <w:hideMark/>
          </w:tcPr>
          <w:p w14:paraId="0EA2138E" w14:textId="77777777" w:rsidR="00000000" w:rsidRDefault="002F725F">
            <w:pPr>
              <w:rPr>
                <w:rFonts w:eastAsia="Times New Roman"/>
                <w:sz w:val="20"/>
                <w:szCs w:val="20"/>
              </w:rPr>
            </w:pPr>
            <w:r>
              <w:rPr>
                <w:rFonts w:eastAsia="Times New Roman"/>
                <w:sz w:val="20"/>
                <w:szCs w:val="20"/>
              </w:rPr>
              <w:t>Section 3.5</w:t>
            </w:r>
          </w:p>
        </w:tc>
        <w:tc>
          <w:tcPr>
            <w:tcW w:w="0" w:type="auto"/>
            <w:shd w:val="clear" w:color="auto" w:fill="CCEEFF"/>
            <w:hideMark/>
          </w:tcPr>
          <w:p w14:paraId="7AD4D5FF" w14:textId="77777777" w:rsidR="00000000" w:rsidRDefault="002F725F">
            <w:pPr>
              <w:rPr>
                <w:rFonts w:eastAsia="Times New Roman"/>
                <w:sz w:val="20"/>
                <w:szCs w:val="20"/>
              </w:rPr>
            </w:pPr>
            <w:r>
              <w:rPr>
                <w:rFonts w:eastAsia="Times New Roman"/>
                <w:sz w:val="20"/>
                <w:szCs w:val="20"/>
              </w:rPr>
              <w:t>Withholding Rights</w:t>
            </w:r>
          </w:p>
        </w:tc>
        <w:tc>
          <w:tcPr>
            <w:tcW w:w="0" w:type="auto"/>
            <w:shd w:val="clear" w:color="auto" w:fill="CCEEFF"/>
            <w:hideMark/>
          </w:tcPr>
          <w:p w14:paraId="5222864E" w14:textId="77777777" w:rsidR="00000000" w:rsidRDefault="002F725F">
            <w:pPr>
              <w:jc w:val="center"/>
              <w:rPr>
                <w:rFonts w:eastAsia="Times New Roman"/>
                <w:sz w:val="20"/>
                <w:szCs w:val="20"/>
              </w:rPr>
            </w:pPr>
            <w:r>
              <w:rPr>
                <w:rFonts w:eastAsia="Times New Roman"/>
                <w:sz w:val="20"/>
                <w:szCs w:val="20"/>
              </w:rPr>
              <w:t>20</w:t>
            </w:r>
          </w:p>
        </w:tc>
      </w:tr>
      <w:tr w:rsidR="00000000" w14:paraId="732E1A4F" w14:textId="77777777">
        <w:trPr>
          <w:divId w:val="415980837"/>
        </w:trPr>
        <w:tc>
          <w:tcPr>
            <w:tcW w:w="0" w:type="auto"/>
            <w:shd w:val="clear" w:color="auto" w:fill="FFFFFF"/>
            <w:tcMar>
              <w:top w:w="0" w:type="dxa"/>
              <w:left w:w="180" w:type="dxa"/>
              <w:bottom w:w="0" w:type="dxa"/>
              <w:right w:w="0" w:type="dxa"/>
            </w:tcMar>
            <w:hideMark/>
          </w:tcPr>
          <w:p w14:paraId="0D269524" w14:textId="77777777" w:rsidR="00000000" w:rsidRDefault="002F725F">
            <w:pPr>
              <w:rPr>
                <w:rFonts w:eastAsia="Times New Roman"/>
                <w:sz w:val="20"/>
                <w:szCs w:val="20"/>
              </w:rPr>
            </w:pPr>
            <w:r>
              <w:rPr>
                <w:rFonts w:eastAsia="Times New Roman"/>
                <w:sz w:val="20"/>
                <w:szCs w:val="20"/>
              </w:rPr>
              <w:t>Section 3.6</w:t>
            </w:r>
          </w:p>
        </w:tc>
        <w:tc>
          <w:tcPr>
            <w:tcW w:w="0" w:type="auto"/>
            <w:shd w:val="clear" w:color="auto" w:fill="FFFFFF"/>
            <w:hideMark/>
          </w:tcPr>
          <w:p w14:paraId="1C34453F" w14:textId="77777777" w:rsidR="00000000" w:rsidRDefault="002F725F">
            <w:pPr>
              <w:rPr>
                <w:rFonts w:eastAsia="Times New Roman"/>
                <w:sz w:val="20"/>
                <w:szCs w:val="20"/>
              </w:rPr>
            </w:pPr>
            <w:r>
              <w:rPr>
                <w:rFonts w:eastAsia="Times New Roman"/>
                <w:sz w:val="20"/>
                <w:szCs w:val="20"/>
              </w:rPr>
              <w:t>No Further Dividends</w:t>
            </w:r>
          </w:p>
        </w:tc>
        <w:tc>
          <w:tcPr>
            <w:tcW w:w="0" w:type="auto"/>
            <w:shd w:val="clear" w:color="auto" w:fill="FFFFFF"/>
            <w:hideMark/>
          </w:tcPr>
          <w:p w14:paraId="1C513A16" w14:textId="77777777" w:rsidR="00000000" w:rsidRDefault="002F725F">
            <w:pPr>
              <w:jc w:val="center"/>
              <w:rPr>
                <w:rFonts w:eastAsia="Times New Roman"/>
                <w:sz w:val="20"/>
                <w:szCs w:val="20"/>
              </w:rPr>
            </w:pPr>
            <w:r>
              <w:rPr>
                <w:rFonts w:eastAsia="Times New Roman"/>
                <w:sz w:val="20"/>
                <w:szCs w:val="20"/>
              </w:rPr>
              <w:t>21</w:t>
            </w:r>
          </w:p>
        </w:tc>
      </w:tr>
      <w:tr w:rsidR="00000000" w14:paraId="6B1B1F5B" w14:textId="77777777">
        <w:trPr>
          <w:divId w:val="415980837"/>
        </w:trPr>
        <w:tc>
          <w:tcPr>
            <w:tcW w:w="0" w:type="auto"/>
            <w:shd w:val="clear" w:color="auto" w:fill="CCEEFF"/>
            <w:tcMar>
              <w:top w:w="0" w:type="dxa"/>
              <w:left w:w="180" w:type="dxa"/>
              <w:bottom w:w="0" w:type="dxa"/>
              <w:right w:w="0" w:type="dxa"/>
            </w:tcMar>
            <w:hideMark/>
          </w:tcPr>
          <w:p w14:paraId="4AB42B01" w14:textId="77777777" w:rsidR="00000000" w:rsidRDefault="002F725F">
            <w:pPr>
              <w:rPr>
                <w:rFonts w:eastAsia="Times New Roman"/>
                <w:sz w:val="20"/>
                <w:szCs w:val="20"/>
              </w:rPr>
            </w:pPr>
            <w:r>
              <w:rPr>
                <w:rFonts w:eastAsia="Times New Roman"/>
                <w:sz w:val="20"/>
                <w:szCs w:val="20"/>
              </w:rPr>
              <w:t>Section 3.7</w:t>
            </w:r>
          </w:p>
        </w:tc>
        <w:tc>
          <w:tcPr>
            <w:tcW w:w="0" w:type="auto"/>
            <w:shd w:val="clear" w:color="auto" w:fill="CCEEFF"/>
            <w:hideMark/>
          </w:tcPr>
          <w:p w14:paraId="7CE2AB30" w14:textId="77777777" w:rsidR="00000000" w:rsidRDefault="002F725F">
            <w:pPr>
              <w:rPr>
                <w:rFonts w:eastAsia="Times New Roman"/>
                <w:sz w:val="20"/>
                <w:szCs w:val="20"/>
              </w:rPr>
            </w:pPr>
            <w:r>
              <w:rPr>
                <w:rFonts w:eastAsia="Times New Roman"/>
                <w:sz w:val="20"/>
                <w:szCs w:val="20"/>
              </w:rPr>
              <w:t>Merger Consideration and Fair Value</w:t>
            </w:r>
          </w:p>
        </w:tc>
        <w:tc>
          <w:tcPr>
            <w:tcW w:w="0" w:type="auto"/>
            <w:shd w:val="clear" w:color="auto" w:fill="CCEEFF"/>
            <w:hideMark/>
          </w:tcPr>
          <w:p w14:paraId="1ECE4ADF" w14:textId="77777777" w:rsidR="00000000" w:rsidRDefault="002F725F">
            <w:pPr>
              <w:jc w:val="center"/>
              <w:rPr>
                <w:rFonts w:eastAsia="Times New Roman"/>
                <w:sz w:val="20"/>
                <w:szCs w:val="20"/>
              </w:rPr>
            </w:pPr>
            <w:r>
              <w:rPr>
                <w:rFonts w:eastAsia="Times New Roman"/>
                <w:sz w:val="20"/>
                <w:szCs w:val="20"/>
              </w:rPr>
              <w:t>21</w:t>
            </w:r>
          </w:p>
        </w:tc>
      </w:tr>
      <w:tr w:rsidR="00000000" w14:paraId="7C196F8E" w14:textId="77777777">
        <w:trPr>
          <w:divId w:val="415980837"/>
        </w:trPr>
        <w:tc>
          <w:tcPr>
            <w:tcW w:w="0" w:type="auto"/>
            <w:shd w:val="clear" w:color="auto" w:fill="FFFFFF"/>
            <w:tcMar>
              <w:top w:w="0" w:type="dxa"/>
              <w:left w:w="180" w:type="dxa"/>
              <w:bottom w:w="0" w:type="dxa"/>
              <w:right w:w="0" w:type="dxa"/>
            </w:tcMar>
            <w:hideMark/>
          </w:tcPr>
          <w:p w14:paraId="0A8ED7C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24F9A32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17F3B953" w14:textId="77777777" w:rsidR="00000000" w:rsidRDefault="002F725F">
            <w:pPr>
              <w:jc w:val="center"/>
              <w:rPr>
                <w:rFonts w:eastAsia="Times New Roman"/>
                <w:sz w:val="20"/>
                <w:szCs w:val="20"/>
              </w:rPr>
            </w:pPr>
            <w:r>
              <w:rPr>
                <w:rFonts w:eastAsia="Times New Roman"/>
                <w:sz w:val="20"/>
                <w:szCs w:val="20"/>
              </w:rPr>
              <w:t> </w:t>
            </w:r>
          </w:p>
        </w:tc>
      </w:tr>
      <w:tr w:rsidR="00000000" w14:paraId="19D49CDE" w14:textId="77777777">
        <w:trPr>
          <w:divId w:val="415980837"/>
        </w:trPr>
        <w:tc>
          <w:tcPr>
            <w:tcW w:w="0" w:type="auto"/>
            <w:gridSpan w:val="2"/>
            <w:shd w:val="clear" w:color="auto" w:fill="CCEEFF"/>
            <w:hideMark/>
          </w:tcPr>
          <w:p w14:paraId="76D98295" w14:textId="77777777" w:rsidR="00000000" w:rsidRDefault="002F725F">
            <w:pPr>
              <w:rPr>
                <w:rFonts w:eastAsia="Times New Roman"/>
                <w:sz w:val="20"/>
                <w:szCs w:val="20"/>
              </w:rPr>
            </w:pPr>
            <w:r>
              <w:rPr>
                <w:rFonts w:eastAsia="Times New Roman"/>
                <w:b/>
                <w:bCs/>
                <w:caps/>
                <w:sz w:val="20"/>
                <w:szCs w:val="20"/>
              </w:rPr>
              <w:t>Article IV REPRESENTATIONS AND WARRANTIES OF THE COMPANY</w:t>
            </w:r>
          </w:p>
        </w:tc>
        <w:tc>
          <w:tcPr>
            <w:tcW w:w="0" w:type="auto"/>
            <w:shd w:val="clear" w:color="auto" w:fill="CCEEFF"/>
            <w:hideMark/>
          </w:tcPr>
          <w:p w14:paraId="117392D5" w14:textId="77777777" w:rsidR="00000000" w:rsidRDefault="002F725F">
            <w:pPr>
              <w:jc w:val="center"/>
              <w:rPr>
                <w:rFonts w:eastAsia="Times New Roman"/>
                <w:sz w:val="20"/>
                <w:szCs w:val="20"/>
              </w:rPr>
            </w:pPr>
            <w:r>
              <w:rPr>
                <w:rFonts w:eastAsia="Times New Roman"/>
                <w:b/>
                <w:bCs/>
                <w:caps/>
                <w:sz w:val="20"/>
                <w:szCs w:val="20"/>
              </w:rPr>
              <w:t>21</w:t>
            </w:r>
          </w:p>
        </w:tc>
      </w:tr>
      <w:tr w:rsidR="00000000" w14:paraId="333BAB74" w14:textId="77777777">
        <w:trPr>
          <w:divId w:val="415980837"/>
        </w:trPr>
        <w:tc>
          <w:tcPr>
            <w:tcW w:w="0" w:type="auto"/>
            <w:shd w:val="clear" w:color="auto" w:fill="FFFFFF"/>
            <w:tcMar>
              <w:top w:w="0" w:type="dxa"/>
              <w:left w:w="180" w:type="dxa"/>
              <w:bottom w:w="0" w:type="dxa"/>
              <w:right w:w="0" w:type="dxa"/>
            </w:tcMar>
            <w:hideMark/>
          </w:tcPr>
          <w:p w14:paraId="0C92BFE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74D9A15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5C0E7F6F" w14:textId="77777777" w:rsidR="00000000" w:rsidRDefault="002F725F">
            <w:pPr>
              <w:jc w:val="center"/>
              <w:rPr>
                <w:rFonts w:eastAsia="Times New Roman"/>
                <w:sz w:val="20"/>
                <w:szCs w:val="20"/>
              </w:rPr>
            </w:pPr>
            <w:r>
              <w:rPr>
                <w:rFonts w:eastAsia="Times New Roman"/>
                <w:sz w:val="20"/>
                <w:szCs w:val="20"/>
              </w:rPr>
              <w:t> </w:t>
            </w:r>
          </w:p>
        </w:tc>
      </w:tr>
      <w:tr w:rsidR="00000000" w14:paraId="1A551E81" w14:textId="77777777">
        <w:trPr>
          <w:divId w:val="415980837"/>
        </w:trPr>
        <w:tc>
          <w:tcPr>
            <w:tcW w:w="0" w:type="auto"/>
            <w:shd w:val="clear" w:color="auto" w:fill="CCEEFF"/>
            <w:tcMar>
              <w:top w:w="0" w:type="dxa"/>
              <w:left w:w="180" w:type="dxa"/>
              <w:bottom w:w="0" w:type="dxa"/>
              <w:right w:w="0" w:type="dxa"/>
            </w:tcMar>
            <w:hideMark/>
          </w:tcPr>
          <w:p w14:paraId="132D4AB9" w14:textId="77777777" w:rsidR="00000000" w:rsidRDefault="002F725F">
            <w:pPr>
              <w:rPr>
                <w:rFonts w:eastAsia="Times New Roman"/>
                <w:sz w:val="20"/>
                <w:szCs w:val="20"/>
              </w:rPr>
            </w:pPr>
            <w:r>
              <w:rPr>
                <w:rFonts w:eastAsia="Times New Roman"/>
                <w:sz w:val="20"/>
                <w:szCs w:val="20"/>
              </w:rPr>
              <w:t>Section 4.1</w:t>
            </w:r>
          </w:p>
        </w:tc>
        <w:tc>
          <w:tcPr>
            <w:tcW w:w="0" w:type="auto"/>
            <w:shd w:val="clear" w:color="auto" w:fill="CCEEFF"/>
            <w:hideMark/>
          </w:tcPr>
          <w:p w14:paraId="4B985CEB" w14:textId="77777777" w:rsidR="00000000" w:rsidRDefault="002F725F">
            <w:pPr>
              <w:rPr>
                <w:rFonts w:eastAsia="Times New Roman"/>
                <w:sz w:val="20"/>
                <w:szCs w:val="20"/>
              </w:rPr>
            </w:pPr>
            <w:r>
              <w:rPr>
                <w:rFonts w:eastAsia="Times New Roman"/>
                <w:sz w:val="20"/>
                <w:szCs w:val="20"/>
              </w:rPr>
              <w:t>Organization</w:t>
            </w:r>
          </w:p>
        </w:tc>
        <w:tc>
          <w:tcPr>
            <w:tcW w:w="0" w:type="auto"/>
            <w:shd w:val="clear" w:color="auto" w:fill="CCEEFF"/>
            <w:hideMark/>
          </w:tcPr>
          <w:p w14:paraId="2F3188AD" w14:textId="77777777" w:rsidR="00000000" w:rsidRDefault="002F725F">
            <w:pPr>
              <w:jc w:val="center"/>
              <w:rPr>
                <w:rFonts w:eastAsia="Times New Roman"/>
                <w:sz w:val="20"/>
                <w:szCs w:val="20"/>
              </w:rPr>
            </w:pPr>
            <w:r>
              <w:rPr>
                <w:rFonts w:eastAsia="Times New Roman"/>
                <w:sz w:val="20"/>
                <w:szCs w:val="20"/>
              </w:rPr>
              <w:t>21</w:t>
            </w:r>
          </w:p>
        </w:tc>
      </w:tr>
      <w:tr w:rsidR="00000000" w14:paraId="7BF284AE" w14:textId="77777777">
        <w:trPr>
          <w:divId w:val="415980837"/>
        </w:trPr>
        <w:tc>
          <w:tcPr>
            <w:tcW w:w="0" w:type="auto"/>
            <w:shd w:val="clear" w:color="auto" w:fill="FFFFFF"/>
            <w:tcMar>
              <w:top w:w="0" w:type="dxa"/>
              <w:left w:w="180" w:type="dxa"/>
              <w:bottom w:w="0" w:type="dxa"/>
              <w:right w:w="0" w:type="dxa"/>
            </w:tcMar>
            <w:hideMark/>
          </w:tcPr>
          <w:p w14:paraId="4E80038B" w14:textId="77777777" w:rsidR="00000000" w:rsidRDefault="002F725F">
            <w:pPr>
              <w:rPr>
                <w:rFonts w:eastAsia="Times New Roman"/>
                <w:sz w:val="20"/>
                <w:szCs w:val="20"/>
              </w:rPr>
            </w:pPr>
            <w:r>
              <w:rPr>
                <w:rFonts w:eastAsia="Times New Roman"/>
                <w:sz w:val="20"/>
                <w:szCs w:val="20"/>
              </w:rPr>
              <w:lastRenderedPageBreak/>
              <w:t>Section 4.2</w:t>
            </w:r>
          </w:p>
        </w:tc>
        <w:tc>
          <w:tcPr>
            <w:tcW w:w="0" w:type="auto"/>
            <w:shd w:val="clear" w:color="auto" w:fill="FFFFFF"/>
            <w:hideMark/>
          </w:tcPr>
          <w:p w14:paraId="2014CCAE" w14:textId="77777777" w:rsidR="00000000" w:rsidRDefault="002F725F">
            <w:pPr>
              <w:rPr>
                <w:rFonts w:eastAsia="Times New Roman"/>
                <w:sz w:val="20"/>
                <w:szCs w:val="20"/>
              </w:rPr>
            </w:pPr>
            <w:r>
              <w:rPr>
                <w:rFonts w:eastAsia="Times New Roman"/>
                <w:sz w:val="20"/>
                <w:szCs w:val="20"/>
              </w:rPr>
              <w:t>Memorandum and Articles of Association</w:t>
            </w:r>
          </w:p>
        </w:tc>
        <w:tc>
          <w:tcPr>
            <w:tcW w:w="0" w:type="auto"/>
            <w:shd w:val="clear" w:color="auto" w:fill="FFFFFF"/>
            <w:hideMark/>
          </w:tcPr>
          <w:p w14:paraId="58FCF93D" w14:textId="77777777" w:rsidR="00000000" w:rsidRDefault="002F725F">
            <w:pPr>
              <w:jc w:val="center"/>
              <w:rPr>
                <w:rFonts w:eastAsia="Times New Roman"/>
                <w:sz w:val="20"/>
                <w:szCs w:val="20"/>
              </w:rPr>
            </w:pPr>
            <w:r>
              <w:rPr>
                <w:rFonts w:eastAsia="Times New Roman"/>
                <w:sz w:val="20"/>
                <w:szCs w:val="20"/>
              </w:rPr>
              <w:t>21</w:t>
            </w:r>
          </w:p>
        </w:tc>
      </w:tr>
      <w:tr w:rsidR="00000000" w14:paraId="365C9090" w14:textId="77777777">
        <w:trPr>
          <w:divId w:val="415980837"/>
        </w:trPr>
        <w:tc>
          <w:tcPr>
            <w:tcW w:w="0" w:type="auto"/>
            <w:shd w:val="clear" w:color="auto" w:fill="CCEEFF"/>
            <w:tcMar>
              <w:top w:w="0" w:type="dxa"/>
              <w:left w:w="180" w:type="dxa"/>
              <w:bottom w:w="0" w:type="dxa"/>
              <w:right w:w="0" w:type="dxa"/>
            </w:tcMar>
            <w:hideMark/>
          </w:tcPr>
          <w:p w14:paraId="21D8FA27" w14:textId="77777777" w:rsidR="00000000" w:rsidRDefault="002F725F">
            <w:pPr>
              <w:rPr>
                <w:rFonts w:eastAsia="Times New Roman"/>
                <w:sz w:val="20"/>
                <w:szCs w:val="20"/>
              </w:rPr>
            </w:pPr>
            <w:r>
              <w:rPr>
                <w:rFonts w:eastAsia="Times New Roman"/>
                <w:sz w:val="20"/>
                <w:szCs w:val="20"/>
              </w:rPr>
              <w:t>Section 4.3</w:t>
            </w:r>
          </w:p>
        </w:tc>
        <w:tc>
          <w:tcPr>
            <w:tcW w:w="0" w:type="auto"/>
            <w:shd w:val="clear" w:color="auto" w:fill="CCEEFF"/>
            <w:hideMark/>
          </w:tcPr>
          <w:p w14:paraId="1C017639" w14:textId="77777777" w:rsidR="00000000" w:rsidRDefault="002F725F">
            <w:pPr>
              <w:rPr>
                <w:rFonts w:eastAsia="Times New Roman"/>
                <w:sz w:val="20"/>
                <w:szCs w:val="20"/>
              </w:rPr>
            </w:pPr>
            <w:r>
              <w:rPr>
                <w:rFonts w:eastAsia="Times New Roman"/>
                <w:sz w:val="20"/>
                <w:szCs w:val="20"/>
              </w:rPr>
              <w:t>Capitalization</w:t>
            </w:r>
          </w:p>
        </w:tc>
        <w:tc>
          <w:tcPr>
            <w:tcW w:w="0" w:type="auto"/>
            <w:shd w:val="clear" w:color="auto" w:fill="CCEEFF"/>
            <w:hideMark/>
          </w:tcPr>
          <w:p w14:paraId="7F212A31" w14:textId="77777777" w:rsidR="00000000" w:rsidRDefault="002F725F">
            <w:pPr>
              <w:jc w:val="center"/>
              <w:rPr>
                <w:rFonts w:eastAsia="Times New Roman"/>
                <w:sz w:val="20"/>
                <w:szCs w:val="20"/>
              </w:rPr>
            </w:pPr>
            <w:r>
              <w:rPr>
                <w:rFonts w:eastAsia="Times New Roman"/>
                <w:sz w:val="20"/>
                <w:szCs w:val="20"/>
              </w:rPr>
              <w:t>21</w:t>
            </w:r>
          </w:p>
        </w:tc>
      </w:tr>
      <w:tr w:rsidR="00000000" w14:paraId="5CA6C039" w14:textId="77777777">
        <w:trPr>
          <w:divId w:val="415980837"/>
        </w:trPr>
        <w:tc>
          <w:tcPr>
            <w:tcW w:w="0" w:type="auto"/>
            <w:shd w:val="clear" w:color="auto" w:fill="FFFFFF"/>
            <w:tcMar>
              <w:top w:w="0" w:type="dxa"/>
              <w:left w:w="180" w:type="dxa"/>
              <w:bottom w:w="0" w:type="dxa"/>
              <w:right w:w="0" w:type="dxa"/>
            </w:tcMar>
            <w:hideMark/>
          </w:tcPr>
          <w:p w14:paraId="1822BA68" w14:textId="77777777" w:rsidR="00000000" w:rsidRDefault="002F725F">
            <w:pPr>
              <w:rPr>
                <w:rFonts w:eastAsia="Times New Roman"/>
                <w:sz w:val="20"/>
                <w:szCs w:val="20"/>
              </w:rPr>
            </w:pPr>
            <w:r>
              <w:rPr>
                <w:rFonts w:eastAsia="Times New Roman"/>
                <w:sz w:val="20"/>
                <w:szCs w:val="20"/>
              </w:rPr>
              <w:t>Section 4.4</w:t>
            </w:r>
          </w:p>
        </w:tc>
        <w:tc>
          <w:tcPr>
            <w:tcW w:w="0" w:type="auto"/>
            <w:shd w:val="clear" w:color="auto" w:fill="FFFFFF"/>
            <w:hideMark/>
          </w:tcPr>
          <w:p w14:paraId="0755F64F" w14:textId="77777777" w:rsidR="00000000" w:rsidRDefault="002F725F">
            <w:pPr>
              <w:rPr>
                <w:rFonts w:eastAsia="Times New Roman"/>
                <w:sz w:val="20"/>
                <w:szCs w:val="20"/>
              </w:rPr>
            </w:pPr>
            <w:r>
              <w:rPr>
                <w:rFonts w:eastAsia="Times New Roman"/>
                <w:sz w:val="20"/>
                <w:szCs w:val="20"/>
              </w:rPr>
              <w:t>Authorization; Validity of Agreement; Opinion of Financial Advisor</w:t>
            </w:r>
          </w:p>
        </w:tc>
        <w:tc>
          <w:tcPr>
            <w:tcW w:w="0" w:type="auto"/>
            <w:shd w:val="clear" w:color="auto" w:fill="FFFFFF"/>
            <w:hideMark/>
          </w:tcPr>
          <w:p w14:paraId="07D6F5F7" w14:textId="77777777" w:rsidR="00000000" w:rsidRDefault="002F725F">
            <w:pPr>
              <w:jc w:val="center"/>
              <w:rPr>
                <w:rFonts w:eastAsia="Times New Roman"/>
                <w:sz w:val="20"/>
                <w:szCs w:val="20"/>
              </w:rPr>
            </w:pPr>
            <w:r>
              <w:rPr>
                <w:rFonts w:eastAsia="Times New Roman"/>
                <w:sz w:val="20"/>
                <w:szCs w:val="20"/>
              </w:rPr>
              <w:t>22</w:t>
            </w:r>
          </w:p>
        </w:tc>
      </w:tr>
      <w:tr w:rsidR="00000000" w14:paraId="36E80973" w14:textId="77777777">
        <w:trPr>
          <w:divId w:val="415980837"/>
        </w:trPr>
        <w:tc>
          <w:tcPr>
            <w:tcW w:w="0" w:type="auto"/>
            <w:shd w:val="clear" w:color="auto" w:fill="CCEEFF"/>
            <w:tcMar>
              <w:top w:w="0" w:type="dxa"/>
              <w:left w:w="180" w:type="dxa"/>
              <w:bottom w:w="0" w:type="dxa"/>
              <w:right w:w="0" w:type="dxa"/>
            </w:tcMar>
            <w:hideMark/>
          </w:tcPr>
          <w:p w14:paraId="04292D18" w14:textId="77777777" w:rsidR="00000000" w:rsidRDefault="002F725F">
            <w:pPr>
              <w:rPr>
                <w:rFonts w:eastAsia="Times New Roman"/>
                <w:sz w:val="20"/>
                <w:szCs w:val="20"/>
              </w:rPr>
            </w:pPr>
            <w:r>
              <w:rPr>
                <w:rFonts w:eastAsia="Times New Roman"/>
                <w:sz w:val="20"/>
                <w:szCs w:val="20"/>
              </w:rPr>
              <w:t>Section 4.5</w:t>
            </w:r>
          </w:p>
        </w:tc>
        <w:tc>
          <w:tcPr>
            <w:tcW w:w="0" w:type="auto"/>
            <w:shd w:val="clear" w:color="auto" w:fill="CCEEFF"/>
            <w:hideMark/>
          </w:tcPr>
          <w:p w14:paraId="3AB391CA" w14:textId="77777777" w:rsidR="00000000" w:rsidRDefault="002F725F">
            <w:pPr>
              <w:rPr>
                <w:rFonts w:eastAsia="Times New Roman"/>
                <w:sz w:val="20"/>
                <w:szCs w:val="20"/>
              </w:rPr>
            </w:pPr>
            <w:r>
              <w:rPr>
                <w:rFonts w:eastAsia="Times New Roman"/>
                <w:sz w:val="20"/>
                <w:szCs w:val="20"/>
              </w:rPr>
              <w:t>Subsidiaries</w:t>
            </w:r>
          </w:p>
        </w:tc>
        <w:tc>
          <w:tcPr>
            <w:tcW w:w="0" w:type="auto"/>
            <w:shd w:val="clear" w:color="auto" w:fill="CCEEFF"/>
            <w:hideMark/>
          </w:tcPr>
          <w:p w14:paraId="15ECC256" w14:textId="77777777" w:rsidR="00000000" w:rsidRDefault="002F725F">
            <w:pPr>
              <w:jc w:val="center"/>
              <w:rPr>
                <w:rFonts w:eastAsia="Times New Roman"/>
                <w:sz w:val="20"/>
                <w:szCs w:val="20"/>
              </w:rPr>
            </w:pPr>
            <w:r>
              <w:rPr>
                <w:rFonts w:eastAsia="Times New Roman"/>
                <w:sz w:val="20"/>
                <w:szCs w:val="20"/>
              </w:rPr>
              <w:t>22</w:t>
            </w:r>
          </w:p>
        </w:tc>
      </w:tr>
      <w:tr w:rsidR="00000000" w14:paraId="02926221" w14:textId="77777777">
        <w:trPr>
          <w:divId w:val="415980837"/>
        </w:trPr>
        <w:tc>
          <w:tcPr>
            <w:tcW w:w="0" w:type="auto"/>
            <w:shd w:val="clear" w:color="auto" w:fill="FFFFFF"/>
            <w:tcMar>
              <w:top w:w="0" w:type="dxa"/>
              <w:left w:w="180" w:type="dxa"/>
              <w:bottom w:w="0" w:type="dxa"/>
              <w:right w:w="0" w:type="dxa"/>
            </w:tcMar>
            <w:hideMark/>
          </w:tcPr>
          <w:p w14:paraId="7EBF610F" w14:textId="77777777" w:rsidR="00000000" w:rsidRDefault="002F725F">
            <w:pPr>
              <w:rPr>
                <w:rFonts w:eastAsia="Times New Roman"/>
                <w:sz w:val="20"/>
                <w:szCs w:val="20"/>
              </w:rPr>
            </w:pPr>
            <w:r>
              <w:rPr>
                <w:rFonts w:eastAsia="Times New Roman"/>
                <w:sz w:val="20"/>
                <w:szCs w:val="20"/>
              </w:rPr>
              <w:t>Section 4.6</w:t>
            </w:r>
          </w:p>
        </w:tc>
        <w:tc>
          <w:tcPr>
            <w:tcW w:w="0" w:type="auto"/>
            <w:shd w:val="clear" w:color="auto" w:fill="FFFFFF"/>
            <w:hideMark/>
          </w:tcPr>
          <w:p w14:paraId="0EFB65F4" w14:textId="77777777" w:rsidR="00000000" w:rsidRDefault="002F725F">
            <w:pPr>
              <w:rPr>
                <w:rFonts w:eastAsia="Times New Roman"/>
                <w:sz w:val="20"/>
                <w:szCs w:val="20"/>
              </w:rPr>
            </w:pPr>
            <w:r>
              <w:rPr>
                <w:rFonts w:eastAsia="Times New Roman"/>
                <w:sz w:val="20"/>
                <w:szCs w:val="20"/>
              </w:rPr>
              <w:t>Consents and Approvals; No Violation</w:t>
            </w:r>
          </w:p>
        </w:tc>
        <w:tc>
          <w:tcPr>
            <w:tcW w:w="0" w:type="auto"/>
            <w:shd w:val="clear" w:color="auto" w:fill="FFFFFF"/>
            <w:hideMark/>
          </w:tcPr>
          <w:p w14:paraId="5D82EB86" w14:textId="77777777" w:rsidR="00000000" w:rsidRDefault="002F725F">
            <w:pPr>
              <w:jc w:val="center"/>
              <w:rPr>
                <w:rFonts w:eastAsia="Times New Roman"/>
                <w:sz w:val="20"/>
                <w:szCs w:val="20"/>
              </w:rPr>
            </w:pPr>
            <w:r>
              <w:rPr>
                <w:rFonts w:eastAsia="Times New Roman"/>
                <w:sz w:val="20"/>
                <w:szCs w:val="20"/>
              </w:rPr>
              <w:t>23</w:t>
            </w:r>
          </w:p>
        </w:tc>
      </w:tr>
      <w:tr w:rsidR="00000000" w14:paraId="244FEE0D" w14:textId="77777777">
        <w:trPr>
          <w:divId w:val="415980837"/>
        </w:trPr>
        <w:tc>
          <w:tcPr>
            <w:tcW w:w="0" w:type="auto"/>
            <w:shd w:val="clear" w:color="auto" w:fill="CCEEFF"/>
            <w:tcMar>
              <w:top w:w="0" w:type="dxa"/>
              <w:left w:w="180" w:type="dxa"/>
              <w:bottom w:w="0" w:type="dxa"/>
              <w:right w:w="0" w:type="dxa"/>
            </w:tcMar>
            <w:hideMark/>
          </w:tcPr>
          <w:p w14:paraId="44CB356C" w14:textId="77777777" w:rsidR="00000000" w:rsidRDefault="002F725F">
            <w:pPr>
              <w:rPr>
                <w:rFonts w:eastAsia="Times New Roman"/>
                <w:sz w:val="20"/>
                <w:szCs w:val="20"/>
              </w:rPr>
            </w:pPr>
            <w:r>
              <w:rPr>
                <w:rFonts w:eastAsia="Times New Roman"/>
                <w:sz w:val="20"/>
                <w:szCs w:val="20"/>
              </w:rPr>
              <w:t>Section 4.7</w:t>
            </w:r>
          </w:p>
        </w:tc>
        <w:tc>
          <w:tcPr>
            <w:tcW w:w="0" w:type="auto"/>
            <w:shd w:val="clear" w:color="auto" w:fill="CCEEFF"/>
            <w:hideMark/>
          </w:tcPr>
          <w:p w14:paraId="42CD5B3C" w14:textId="77777777" w:rsidR="00000000" w:rsidRDefault="002F725F">
            <w:pPr>
              <w:rPr>
                <w:rFonts w:eastAsia="Times New Roman"/>
                <w:sz w:val="20"/>
                <w:szCs w:val="20"/>
              </w:rPr>
            </w:pPr>
            <w:r>
              <w:rPr>
                <w:rFonts w:eastAsia="Times New Roman"/>
                <w:sz w:val="20"/>
                <w:szCs w:val="20"/>
              </w:rPr>
              <w:t>SEC Reports; Internal Control</w:t>
            </w:r>
          </w:p>
        </w:tc>
        <w:tc>
          <w:tcPr>
            <w:tcW w:w="0" w:type="auto"/>
            <w:shd w:val="clear" w:color="auto" w:fill="CCEEFF"/>
            <w:hideMark/>
          </w:tcPr>
          <w:p w14:paraId="5B31E5F6" w14:textId="77777777" w:rsidR="00000000" w:rsidRDefault="002F725F">
            <w:pPr>
              <w:jc w:val="center"/>
              <w:rPr>
                <w:rFonts w:eastAsia="Times New Roman"/>
                <w:sz w:val="20"/>
                <w:szCs w:val="20"/>
              </w:rPr>
            </w:pPr>
            <w:r>
              <w:rPr>
                <w:rFonts w:eastAsia="Times New Roman"/>
                <w:sz w:val="20"/>
                <w:szCs w:val="20"/>
              </w:rPr>
              <w:t>23</w:t>
            </w:r>
          </w:p>
        </w:tc>
      </w:tr>
      <w:tr w:rsidR="00000000" w14:paraId="0A1FD3C1" w14:textId="77777777">
        <w:trPr>
          <w:divId w:val="415980837"/>
        </w:trPr>
        <w:tc>
          <w:tcPr>
            <w:tcW w:w="0" w:type="auto"/>
            <w:shd w:val="clear" w:color="auto" w:fill="FFFFFF"/>
            <w:tcMar>
              <w:top w:w="0" w:type="dxa"/>
              <w:left w:w="180" w:type="dxa"/>
              <w:bottom w:w="0" w:type="dxa"/>
              <w:right w:w="0" w:type="dxa"/>
            </w:tcMar>
            <w:hideMark/>
          </w:tcPr>
          <w:p w14:paraId="296C40D7" w14:textId="77777777" w:rsidR="00000000" w:rsidRDefault="002F725F">
            <w:pPr>
              <w:rPr>
                <w:rFonts w:eastAsia="Times New Roman"/>
                <w:sz w:val="20"/>
                <w:szCs w:val="20"/>
              </w:rPr>
            </w:pPr>
            <w:r>
              <w:rPr>
                <w:rFonts w:eastAsia="Times New Roman"/>
                <w:sz w:val="20"/>
                <w:szCs w:val="20"/>
              </w:rPr>
              <w:t>Section 4.8</w:t>
            </w:r>
          </w:p>
        </w:tc>
        <w:tc>
          <w:tcPr>
            <w:tcW w:w="0" w:type="auto"/>
            <w:shd w:val="clear" w:color="auto" w:fill="FFFFFF"/>
            <w:hideMark/>
          </w:tcPr>
          <w:p w14:paraId="390042F6" w14:textId="77777777" w:rsidR="00000000" w:rsidRDefault="002F725F">
            <w:pPr>
              <w:rPr>
                <w:rFonts w:eastAsia="Times New Roman"/>
                <w:sz w:val="20"/>
                <w:szCs w:val="20"/>
              </w:rPr>
            </w:pPr>
            <w:r>
              <w:rPr>
                <w:rFonts w:eastAsia="Times New Roman"/>
                <w:sz w:val="20"/>
                <w:szCs w:val="20"/>
              </w:rPr>
              <w:t>Proxy Statement; Other Information</w:t>
            </w:r>
          </w:p>
        </w:tc>
        <w:tc>
          <w:tcPr>
            <w:tcW w:w="0" w:type="auto"/>
            <w:shd w:val="clear" w:color="auto" w:fill="FFFFFF"/>
            <w:hideMark/>
          </w:tcPr>
          <w:p w14:paraId="5A159C73" w14:textId="77777777" w:rsidR="00000000" w:rsidRDefault="002F725F">
            <w:pPr>
              <w:jc w:val="center"/>
              <w:rPr>
                <w:rFonts w:eastAsia="Times New Roman"/>
                <w:sz w:val="20"/>
                <w:szCs w:val="20"/>
              </w:rPr>
            </w:pPr>
            <w:r>
              <w:rPr>
                <w:rFonts w:eastAsia="Times New Roman"/>
                <w:sz w:val="20"/>
                <w:szCs w:val="20"/>
              </w:rPr>
              <w:t>24</w:t>
            </w:r>
          </w:p>
        </w:tc>
      </w:tr>
      <w:tr w:rsidR="00000000" w14:paraId="41F3A0FB" w14:textId="77777777">
        <w:trPr>
          <w:divId w:val="415980837"/>
        </w:trPr>
        <w:tc>
          <w:tcPr>
            <w:tcW w:w="0" w:type="auto"/>
            <w:shd w:val="clear" w:color="auto" w:fill="CCEEFF"/>
            <w:tcMar>
              <w:top w:w="0" w:type="dxa"/>
              <w:left w:w="180" w:type="dxa"/>
              <w:bottom w:w="0" w:type="dxa"/>
              <w:right w:w="0" w:type="dxa"/>
            </w:tcMar>
            <w:hideMark/>
          </w:tcPr>
          <w:p w14:paraId="020B3CC7" w14:textId="77777777" w:rsidR="00000000" w:rsidRDefault="002F725F">
            <w:pPr>
              <w:rPr>
                <w:rFonts w:eastAsia="Times New Roman"/>
                <w:sz w:val="20"/>
                <w:szCs w:val="20"/>
              </w:rPr>
            </w:pPr>
            <w:r>
              <w:rPr>
                <w:rFonts w:eastAsia="Times New Roman"/>
                <w:sz w:val="20"/>
                <w:szCs w:val="20"/>
              </w:rPr>
              <w:t>Section 4.9</w:t>
            </w:r>
          </w:p>
        </w:tc>
        <w:tc>
          <w:tcPr>
            <w:tcW w:w="0" w:type="auto"/>
            <w:shd w:val="clear" w:color="auto" w:fill="CCEEFF"/>
            <w:hideMark/>
          </w:tcPr>
          <w:p w14:paraId="04275179" w14:textId="77777777" w:rsidR="00000000" w:rsidRDefault="002F725F">
            <w:pPr>
              <w:rPr>
                <w:rFonts w:eastAsia="Times New Roman"/>
                <w:sz w:val="20"/>
                <w:szCs w:val="20"/>
              </w:rPr>
            </w:pPr>
            <w:r>
              <w:rPr>
                <w:rFonts w:eastAsia="Times New Roman"/>
                <w:sz w:val="20"/>
                <w:szCs w:val="20"/>
              </w:rPr>
              <w:t>No Undisclosed Liabilities</w:t>
            </w:r>
          </w:p>
        </w:tc>
        <w:tc>
          <w:tcPr>
            <w:tcW w:w="0" w:type="auto"/>
            <w:shd w:val="clear" w:color="auto" w:fill="CCEEFF"/>
            <w:hideMark/>
          </w:tcPr>
          <w:p w14:paraId="736D44C1" w14:textId="77777777" w:rsidR="00000000" w:rsidRDefault="002F725F">
            <w:pPr>
              <w:jc w:val="center"/>
              <w:rPr>
                <w:rFonts w:eastAsia="Times New Roman"/>
                <w:sz w:val="20"/>
                <w:szCs w:val="20"/>
              </w:rPr>
            </w:pPr>
            <w:r>
              <w:rPr>
                <w:rFonts w:eastAsia="Times New Roman"/>
                <w:sz w:val="20"/>
                <w:szCs w:val="20"/>
              </w:rPr>
              <w:t>24</w:t>
            </w:r>
          </w:p>
        </w:tc>
      </w:tr>
      <w:tr w:rsidR="00000000" w14:paraId="388A41A2" w14:textId="77777777">
        <w:trPr>
          <w:divId w:val="415980837"/>
        </w:trPr>
        <w:tc>
          <w:tcPr>
            <w:tcW w:w="0" w:type="auto"/>
            <w:shd w:val="clear" w:color="auto" w:fill="FFFFFF"/>
            <w:tcMar>
              <w:top w:w="0" w:type="dxa"/>
              <w:left w:w="180" w:type="dxa"/>
              <w:bottom w:w="0" w:type="dxa"/>
              <w:right w:w="0" w:type="dxa"/>
            </w:tcMar>
            <w:hideMark/>
          </w:tcPr>
          <w:p w14:paraId="3A739813" w14:textId="77777777" w:rsidR="00000000" w:rsidRDefault="002F725F">
            <w:pPr>
              <w:rPr>
                <w:rFonts w:eastAsia="Times New Roman"/>
                <w:sz w:val="20"/>
                <w:szCs w:val="20"/>
              </w:rPr>
            </w:pPr>
            <w:r>
              <w:rPr>
                <w:rFonts w:eastAsia="Times New Roman"/>
                <w:sz w:val="20"/>
                <w:szCs w:val="20"/>
              </w:rPr>
              <w:t>Section 4.10</w:t>
            </w:r>
          </w:p>
        </w:tc>
        <w:tc>
          <w:tcPr>
            <w:tcW w:w="0" w:type="auto"/>
            <w:shd w:val="clear" w:color="auto" w:fill="FFFFFF"/>
            <w:hideMark/>
          </w:tcPr>
          <w:p w14:paraId="7F9DD10A" w14:textId="77777777" w:rsidR="00000000" w:rsidRDefault="002F725F">
            <w:pPr>
              <w:rPr>
                <w:rFonts w:eastAsia="Times New Roman"/>
                <w:sz w:val="20"/>
                <w:szCs w:val="20"/>
              </w:rPr>
            </w:pPr>
            <w:r>
              <w:rPr>
                <w:rFonts w:eastAsia="Times New Roman"/>
                <w:sz w:val="20"/>
                <w:szCs w:val="20"/>
              </w:rPr>
              <w:t>Absence of Certain Changes</w:t>
            </w:r>
          </w:p>
        </w:tc>
        <w:tc>
          <w:tcPr>
            <w:tcW w:w="0" w:type="auto"/>
            <w:shd w:val="clear" w:color="auto" w:fill="FFFFFF"/>
            <w:hideMark/>
          </w:tcPr>
          <w:p w14:paraId="6469590D" w14:textId="77777777" w:rsidR="00000000" w:rsidRDefault="002F725F">
            <w:pPr>
              <w:jc w:val="center"/>
              <w:rPr>
                <w:rFonts w:eastAsia="Times New Roman"/>
                <w:sz w:val="20"/>
                <w:szCs w:val="20"/>
              </w:rPr>
            </w:pPr>
            <w:r>
              <w:rPr>
                <w:rFonts w:eastAsia="Times New Roman"/>
                <w:sz w:val="20"/>
                <w:szCs w:val="20"/>
              </w:rPr>
              <w:t>24</w:t>
            </w:r>
          </w:p>
        </w:tc>
      </w:tr>
      <w:tr w:rsidR="00000000" w14:paraId="6B82B730" w14:textId="77777777">
        <w:trPr>
          <w:divId w:val="415980837"/>
        </w:trPr>
        <w:tc>
          <w:tcPr>
            <w:tcW w:w="0" w:type="auto"/>
            <w:shd w:val="clear" w:color="auto" w:fill="CCEEFF"/>
            <w:tcMar>
              <w:top w:w="0" w:type="dxa"/>
              <w:left w:w="180" w:type="dxa"/>
              <w:bottom w:w="0" w:type="dxa"/>
              <w:right w:w="0" w:type="dxa"/>
            </w:tcMar>
            <w:hideMark/>
          </w:tcPr>
          <w:p w14:paraId="2B04ABA2" w14:textId="77777777" w:rsidR="00000000" w:rsidRDefault="002F725F">
            <w:pPr>
              <w:rPr>
                <w:rFonts w:eastAsia="Times New Roman"/>
                <w:sz w:val="20"/>
                <w:szCs w:val="20"/>
              </w:rPr>
            </w:pPr>
            <w:r>
              <w:rPr>
                <w:rFonts w:eastAsia="Times New Roman"/>
                <w:sz w:val="20"/>
                <w:szCs w:val="20"/>
              </w:rPr>
              <w:t>Section 4.11</w:t>
            </w:r>
          </w:p>
        </w:tc>
        <w:tc>
          <w:tcPr>
            <w:tcW w:w="0" w:type="auto"/>
            <w:shd w:val="clear" w:color="auto" w:fill="CCEEFF"/>
            <w:hideMark/>
          </w:tcPr>
          <w:p w14:paraId="6D394023" w14:textId="77777777" w:rsidR="00000000" w:rsidRDefault="002F725F">
            <w:pPr>
              <w:rPr>
                <w:rFonts w:eastAsia="Times New Roman"/>
                <w:sz w:val="20"/>
                <w:szCs w:val="20"/>
              </w:rPr>
            </w:pPr>
            <w:r>
              <w:rPr>
                <w:rFonts w:eastAsia="Times New Roman"/>
                <w:sz w:val="20"/>
                <w:szCs w:val="20"/>
              </w:rPr>
              <w:t>Litigation; Orders</w:t>
            </w:r>
          </w:p>
        </w:tc>
        <w:tc>
          <w:tcPr>
            <w:tcW w:w="0" w:type="auto"/>
            <w:shd w:val="clear" w:color="auto" w:fill="CCEEFF"/>
            <w:hideMark/>
          </w:tcPr>
          <w:p w14:paraId="485E7A32" w14:textId="77777777" w:rsidR="00000000" w:rsidRDefault="002F725F">
            <w:pPr>
              <w:jc w:val="center"/>
              <w:rPr>
                <w:rFonts w:eastAsia="Times New Roman"/>
                <w:sz w:val="20"/>
                <w:szCs w:val="20"/>
              </w:rPr>
            </w:pPr>
            <w:r>
              <w:rPr>
                <w:rFonts w:eastAsia="Times New Roman"/>
                <w:sz w:val="20"/>
                <w:szCs w:val="20"/>
              </w:rPr>
              <w:t>24</w:t>
            </w:r>
          </w:p>
        </w:tc>
      </w:tr>
      <w:tr w:rsidR="00000000" w14:paraId="3C28653D" w14:textId="77777777">
        <w:trPr>
          <w:divId w:val="415980837"/>
        </w:trPr>
        <w:tc>
          <w:tcPr>
            <w:tcW w:w="0" w:type="auto"/>
            <w:shd w:val="clear" w:color="auto" w:fill="FFFFFF"/>
            <w:tcMar>
              <w:top w:w="0" w:type="dxa"/>
              <w:left w:w="180" w:type="dxa"/>
              <w:bottom w:w="0" w:type="dxa"/>
              <w:right w:w="0" w:type="dxa"/>
            </w:tcMar>
            <w:hideMark/>
          </w:tcPr>
          <w:p w14:paraId="10BAA347" w14:textId="77777777" w:rsidR="00000000" w:rsidRDefault="002F725F">
            <w:pPr>
              <w:rPr>
                <w:rFonts w:eastAsia="Times New Roman"/>
                <w:sz w:val="20"/>
                <w:szCs w:val="20"/>
              </w:rPr>
            </w:pPr>
            <w:r>
              <w:rPr>
                <w:rFonts w:eastAsia="Times New Roman"/>
                <w:sz w:val="20"/>
                <w:szCs w:val="20"/>
              </w:rPr>
              <w:t>Section 4.12</w:t>
            </w:r>
          </w:p>
        </w:tc>
        <w:tc>
          <w:tcPr>
            <w:tcW w:w="0" w:type="auto"/>
            <w:shd w:val="clear" w:color="auto" w:fill="FFFFFF"/>
            <w:hideMark/>
          </w:tcPr>
          <w:p w14:paraId="63169190" w14:textId="77777777" w:rsidR="00000000" w:rsidRDefault="002F725F">
            <w:pPr>
              <w:rPr>
                <w:rFonts w:eastAsia="Times New Roman"/>
                <w:sz w:val="20"/>
                <w:szCs w:val="20"/>
              </w:rPr>
            </w:pPr>
            <w:r>
              <w:rPr>
                <w:rFonts w:eastAsia="Times New Roman"/>
                <w:sz w:val="20"/>
                <w:szCs w:val="20"/>
              </w:rPr>
              <w:t>Compliance with Law</w:t>
            </w:r>
          </w:p>
        </w:tc>
        <w:tc>
          <w:tcPr>
            <w:tcW w:w="0" w:type="auto"/>
            <w:shd w:val="clear" w:color="auto" w:fill="FFFFFF"/>
            <w:hideMark/>
          </w:tcPr>
          <w:p w14:paraId="73DB390C" w14:textId="77777777" w:rsidR="00000000" w:rsidRDefault="002F725F">
            <w:pPr>
              <w:jc w:val="center"/>
              <w:rPr>
                <w:rFonts w:eastAsia="Times New Roman"/>
                <w:sz w:val="20"/>
                <w:szCs w:val="20"/>
              </w:rPr>
            </w:pPr>
            <w:r>
              <w:rPr>
                <w:rFonts w:eastAsia="Times New Roman"/>
                <w:sz w:val="20"/>
                <w:szCs w:val="20"/>
              </w:rPr>
              <w:t>25</w:t>
            </w:r>
          </w:p>
        </w:tc>
      </w:tr>
      <w:tr w:rsidR="00000000" w14:paraId="3D5553FC" w14:textId="77777777">
        <w:trPr>
          <w:divId w:val="415980837"/>
        </w:trPr>
        <w:tc>
          <w:tcPr>
            <w:tcW w:w="0" w:type="auto"/>
            <w:shd w:val="clear" w:color="auto" w:fill="CCEEFF"/>
            <w:tcMar>
              <w:top w:w="0" w:type="dxa"/>
              <w:left w:w="180" w:type="dxa"/>
              <w:bottom w:w="0" w:type="dxa"/>
              <w:right w:w="0" w:type="dxa"/>
            </w:tcMar>
            <w:hideMark/>
          </w:tcPr>
          <w:p w14:paraId="74C0B3F1" w14:textId="77777777" w:rsidR="00000000" w:rsidRDefault="002F725F">
            <w:pPr>
              <w:rPr>
                <w:rFonts w:eastAsia="Times New Roman"/>
                <w:sz w:val="20"/>
                <w:szCs w:val="20"/>
              </w:rPr>
            </w:pPr>
            <w:r>
              <w:rPr>
                <w:rFonts w:eastAsia="Times New Roman"/>
                <w:sz w:val="20"/>
                <w:szCs w:val="20"/>
              </w:rPr>
              <w:t>Section 4.13</w:t>
            </w:r>
          </w:p>
        </w:tc>
        <w:tc>
          <w:tcPr>
            <w:tcW w:w="0" w:type="auto"/>
            <w:shd w:val="clear" w:color="auto" w:fill="CCEEFF"/>
            <w:hideMark/>
          </w:tcPr>
          <w:p w14:paraId="1FC41C23" w14:textId="77777777" w:rsidR="00000000" w:rsidRDefault="002F725F">
            <w:pPr>
              <w:rPr>
                <w:rFonts w:eastAsia="Times New Roman"/>
                <w:sz w:val="20"/>
                <w:szCs w:val="20"/>
              </w:rPr>
            </w:pPr>
            <w:r>
              <w:rPr>
                <w:rFonts w:eastAsia="Times New Roman"/>
                <w:sz w:val="20"/>
                <w:szCs w:val="20"/>
              </w:rPr>
              <w:t>Taxes</w:t>
            </w:r>
          </w:p>
        </w:tc>
        <w:tc>
          <w:tcPr>
            <w:tcW w:w="0" w:type="auto"/>
            <w:shd w:val="clear" w:color="auto" w:fill="CCEEFF"/>
            <w:hideMark/>
          </w:tcPr>
          <w:p w14:paraId="417840A8" w14:textId="77777777" w:rsidR="00000000" w:rsidRDefault="002F725F">
            <w:pPr>
              <w:jc w:val="center"/>
              <w:rPr>
                <w:rFonts w:eastAsia="Times New Roman"/>
                <w:sz w:val="20"/>
                <w:szCs w:val="20"/>
              </w:rPr>
            </w:pPr>
            <w:r>
              <w:rPr>
                <w:rFonts w:eastAsia="Times New Roman"/>
                <w:sz w:val="20"/>
                <w:szCs w:val="20"/>
              </w:rPr>
              <w:t>25</w:t>
            </w:r>
          </w:p>
        </w:tc>
      </w:tr>
      <w:tr w:rsidR="00000000" w14:paraId="3DCA1D55" w14:textId="77777777">
        <w:trPr>
          <w:divId w:val="415980837"/>
        </w:trPr>
        <w:tc>
          <w:tcPr>
            <w:tcW w:w="0" w:type="auto"/>
            <w:shd w:val="clear" w:color="auto" w:fill="FFFFFF"/>
            <w:tcMar>
              <w:top w:w="0" w:type="dxa"/>
              <w:left w:w="180" w:type="dxa"/>
              <w:bottom w:w="0" w:type="dxa"/>
              <w:right w:w="0" w:type="dxa"/>
            </w:tcMar>
            <w:hideMark/>
          </w:tcPr>
          <w:p w14:paraId="0D83B40E" w14:textId="77777777" w:rsidR="00000000" w:rsidRDefault="002F725F">
            <w:pPr>
              <w:rPr>
                <w:rFonts w:eastAsia="Times New Roman"/>
                <w:sz w:val="20"/>
                <w:szCs w:val="20"/>
              </w:rPr>
            </w:pPr>
            <w:r>
              <w:rPr>
                <w:rFonts w:eastAsia="Times New Roman"/>
                <w:sz w:val="20"/>
                <w:szCs w:val="20"/>
              </w:rPr>
              <w:t>Section 4.14</w:t>
            </w:r>
          </w:p>
        </w:tc>
        <w:tc>
          <w:tcPr>
            <w:tcW w:w="0" w:type="auto"/>
            <w:shd w:val="clear" w:color="auto" w:fill="FFFFFF"/>
            <w:hideMark/>
          </w:tcPr>
          <w:p w14:paraId="109F37D5" w14:textId="77777777" w:rsidR="00000000" w:rsidRDefault="002F725F">
            <w:pPr>
              <w:rPr>
                <w:rFonts w:eastAsia="Times New Roman"/>
                <w:sz w:val="20"/>
                <w:szCs w:val="20"/>
              </w:rPr>
            </w:pPr>
            <w:r>
              <w:rPr>
                <w:rFonts w:eastAsia="Times New Roman"/>
                <w:sz w:val="20"/>
                <w:szCs w:val="20"/>
              </w:rPr>
              <w:t>Material Contracts</w:t>
            </w:r>
          </w:p>
        </w:tc>
        <w:tc>
          <w:tcPr>
            <w:tcW w:w="0" w:type="auto"/>
            <w:shd w:val="clear" w:color="auto" w:fill="FFFFFF"/>
            <w:hideMark/>
          </w:tcPr>
          <w:p w14:paraId="472DA971" w14:textId="77777777" w:rsidR="00000000" w:rsidRDefault="002F725F">
            <w:pPr>
              <w:jc w:val="center"/>
              <w:rPr>
                <w:rFonts w:eastAsia="Times New Roman"/>
                <w:sz w:val="20"/>
                <w:szCs w:val="20"/>
              </w:rPr>
            </w:pPr>
            <w:r>
              <w:rPr>
                <w:rFonts w:eastAsia="Times New Roman"/>
                <w:sz w:val="20"/>
                <w:szCs w:val="20"/>
              </w:rPr>
              <w:t>26</w:t>
            </w:r>
          </w:p>
        </w:tc>
      </w:tr>
      <w:tr w:rsidR="00000000" w14:paraId="4080954A" w14:textId="77777777">
        <w:trPr>
          <w:divId w:val="415980837"/>
        </w:trPr>
        <w:tc>
          <w:tcPr>
            <w:tcW w:w="0" w:type="auto"/>
            <w:shd w:val="clear" w:color="auto" w:fill="CCEEFF"/>
            <w:tcMar>
              <w:top w:w="0" w:type="dxa"/>
              <w:left w:w="180" w:type="dxa"/>
              <w:bottom w:w="0" w:type="dxa"/>
              <w:right w:w="0" w:type="dxa"/>
            </w:tcMar>
            <w:hideMark/>
          </w:tcPr>
          <w:p w14:paraId="0DD41216" w14:textId="77777777" w:rsidR="00000000" w:rsidRDefault="002F725F">
            <w:pPr>
              <w:rPr>
                <w:rFonts w:eastAsia="Times New Roman"/>
                <w:sz w:val="20"/>
                <w:szCs w:val="20"/>
              </w:rPr>
            </w:pPr>
            <w:r>
              <w:rPr>
                <w:rFonts w:eastAsia="Times New Roman"/>
                <w:sz w:val="20"/>
                <w:szCs w:val="20"/>
              </w:rPr>
              <w:t>Section 4.15</w:t>
            </w:r>
          </w:p>
        </w:tc>
        <w:tc>
          <w:tcPr>
            <w:tcW w:w="0" w:type="auto"/>
            <w:shd w:val="clear" w:color="auto" w:fill="CCEEFF"/>
            <w:hideMark/>
          </w:tcPr>
          <w:p w14:paraId="1BC67F0E" w14:textId="77777777" w:rsidR="00000000" w:rsidRDefault="002F725F">
            <w:pPr>
              <w:rPr>
                <w:rFonts w:eastAsia="Times New Roman"/>
                <w:sz w:val="20"/>
                <w:szCs w:val="20"/>
              </w:rPr>
            </w:pPr>
            <w:r>
              <w:rPr>
                <w:rFonts w:eastAsia="Times New Roman"/>
                <w:sz w:val="20"/>
                <w:szCs w:val="20"/>
              </w:rPr>
              <w:t>Intellectual Property</w:t>
            </w:r>
          </w:p>
        </w:tc>
        <w:tc>
          <w:tcPr>
            <w:tcW w:w="0" w:type="auto"/>
            <w:shd w:val="clear" w:color="auto" w:fill="CCEEFF"/>
            <w:hideMark/>
          </w:tcPr>
          <w:p w14:paraId="2905043E" w14:textId="77777777" w:rsidR="00000000" w:rsidRDefault="002F725F">
            <w:pPr>
              <w:jc w:val="center"/>
              <w:rPr>
                <w:rFonts w:eastAsia="Times New Roman"/>
                <w:sz w:val="20"/>
                <w:szCs w:val="20"/>
              </w:rPr>
            </w:pPr>
            <w:r>
              <w:rPr>
                <w:rFonts w:eastAsia="Times New Roman"/>
                <w:sz w:val="20"/>
                <w:szCs w:val="20"/>
              </w:rPr>
              <w:t>26</w:t>
            </w:r>
          </w:p>
        </w:tc>
      </w:tr>
      <w:tr w:rsidR="00000000" w14:paraId="68FB9F7E" w14:textId="77777777">
        <w:trPr>
          <w:divId w:val="415980837"/>
        </w:trPr>
        <w:tc>
          <w:tcPr>
            <w:tcW w:w="0" w:type="auto"/>
            <w:shd w:val="clear" w:color="auto" w:fill="FFFFFF"/>
            <w:tcMar>
              <w:top w:w="0" w:type="dxa"/>
              <w:left w:w="180" w:type="dxa"/>
              <w:bottom w:w="0" w:type="dxa"/>
              <w:right w:w="0" w:type="dxa"/>
            </w:tcMar>
            <w:hideMark/>
          </w:tcPr>
          <w:p w14:paraId="1FEC1EC3" w14:textId="77777777" w:rsidR="00000000" w:rsidRDefault="002F725F">
            <w:pPr>
              <w:rPr>
                <w:rFonts w:eastAsia="Times New Roman"/>
                <w:sz w:val="20"/>
                <w:szCs w:val="20"/>
              </w:rPr>
            </w:pPr>
            <w:r>
              <w:rPr>
                <w:rFonts w:eastAsia="Times New Roman"/>
                <w:sz w:val="20"/>
                <w:szCs w:val="20"/>
              </w:rPr>
              <w:t>Section 4.16</w:t>
            </w:r>
          </w:p>
        </w:tc>
        <w:tc>
          <w:tcPr>
            <w:tcW w:w="0" w:type="auto"/>
            <w:shd w:val="clear" w:color="auto" w:fill="FFFFFF"/>
            <w:hideMark/>
          </w:tcPr>
          <w:p w14:paraId="4064E160" w14:textId="77777777" w:rsidR="00000000" w:rsidRDefault="002F725F">
            <w:pPr>
              <w:rPr>
                <w:rFonts w:eastAsia="Times New Roman"/>
                <w:sz w:val="20"/>
                <w:szCs w:val="20"/>
              </w:rPr>
            </w:pPr>
            <w:r>
              <w:rPr>
                <w:rFonts w:eastAsia="Times New Roman"/>
                <w:sz w:val="20"/>
                <w:szCs w:val="20"/>
              </w:rPr>
              <w:t>Real Property</w:t>
            </w:r>
          </w:p>
        </w:tc>
        <w:tc>
          <w:tcPr>
            <w:tcW w:w="0" w:type="auto"/>
            <w:shd w:val="clear" w:color="auto" w:fill="FFFFFF"/>
            <w:hideMark/>
          </w:tcPr>
          <w:p w14:paraId="7927051A" w14:textId="77777777" w:rsidR="00000000" w:rsidRDefault="002F725F">
            <w:pPr>
              <w:jc w:val="center"/>
              <w:rPr>
                <w:rFonts w:eastAsia="Times New Roman"/>
                <w:sz w:val="20"/>
                <w:szCs w:val="20"/>
              </w:rPr>
            </w:pPr>
            <w:r>
              <w:rPr>
                <w:rFonts w:eastAsia="Times New Roman"/>
                <w:sz w:val="20"/>
                <w:szCs w:val="20"/>
              </w:rPr>
              <w:t>27</w:t>
            </w:r>
          </w:p>
        </w:tc>
      </w:tr>
      <w:tr w:rsidR="00000000" w14:paraId="5A85E19C" w14:textId="77777777">
        <w:trPr>
          <w:divId w:val="415980837"/>
        </w:trPr>
        <w:tc>
          <w:tcPr>
            <w:tcW w:w="0" w:type="auto"/>
            <w:shd w:val="clear" w:color="auto" w:fill="CCEEFF"/>
            <w:tcMar>
              <w:top w:w="0" w:type="dxa"/>
              <w:left w:w="180" w:type="dxa"/>
              <w:bottom w:w="0" w:type="dxa"/>
              <w:right w:w="0" w:type="dxa"/>
            </w:tcMar>
            <w:hideMark/>
          </w:tcPr>
          <w:p w14:paraId="18229817" w14:textId="77777777" w:rsidR="00000000" w:rsidRDefault="002F725F">
            <w:pPr>
              <w:rPr>
                <w:rFonts w:eastAsia="Times New Roman"/>
                <w:sz w:val="20"/>
                <w:szCs w:val="20"/>
              </w:rPr>
            </w:pPr>
            <w:r>
              <w:rPr>
                <w:rFonts w:eastAsia="Times New Roman"/>
                <w:sz w:val="20"/>
                <w:szCs w:val="20"/>
              </w:rPr>
              <w:t>Section 4.17</w:t>
            </w:r>
          </w:p>
        </w:tc>
        <w:tc>
          <w:tcPr>
            <w:tcW w:w="0" w:type="auto"/>
            <w:shd w:val="clear" w:color="auto" w:fill="CCEEFF"/>
            <w:hideMark/>
          </w:tcPr>
          <w:p w14:paraId="023172BE" w14:textId="77777777" w:rsidR="00000000" w:rsidRDefault="002F725F">
            <w:pPr>
              <w:rPr>
                <w:rFonts w:eastAsia="Times New Roman"/>
                <w:sz w:val="20"/>
                <w:szCs w:val="20"/>
              </w:rPr>
            </w:pPr>
            <w:r>
              <w:rPr>
                <w:rFonts w:eastAsia="Times New Roman"/>
                <w:sz w:val="20"/>
                <w:szCs w:val="20"/>
              </w:rPr>
              <w:t>Brokers or Finders</w:t>
            </w:r>
          </w:p>
        </w:tc>
        <w:tc>
          <w:tcPr>
            <w:tcW w:w="0" w:type="auto"/>
            <w:shd w:val="clear" w:color="auto" w:fill="CCEEFF"/>
            <w:hideMark/>
          </w:tcPr>
          <w:p w14:paraId="3E0B81F8" w14:textId="77777777" w:rsidR="00000000" w:rsidRDefault="002F725F">
            <w:pPr>
              <w:jc w:val="center"/>
              <w:rPr>
                <w:rFonts w:eastAsia="Times New Roman"/>
                <w:sz w:val="20"/>
                <w:szCs w:val="20"/>
              </w:rPr>
            </w:pPr>
            <w:r>
              <w:rPr>
                <w:rFonts w:eastAsia="Times New Roman"/>
                <w:sz w:val="20"/>
                <w:szCs w:val="20"/>
              </w:rPr>
              <w:t>28</w:t>
            </w:r>
          </w:p>
        </w:tc>
      </w:tr>
      <w:tr w:rsidR="00000000" w14:paraId="12ACDB64" w14:textId="77777777">
        <w:trPr>
          <w:divId w:val="415980837"/>
        </w:trPr>
        <w:tc>
          <w:tcPr>
            <w:tcW w:w="0" w:type="auto"/>
            <w:shd w:val="clear" w:color="auto" w:fill="FFFFFF"/>
            <w:tcMar>
              <w:top w:w="0" w:type="dxa"/>
              <w:left w:w="180" w:type="dxa"/>
              <w:bottom w:w="0" w:type="dxa"/>
              <w:right w:w="0" w:type="dxa"/>
            </w:tcMar>
            <w:hideMark/>
          </w:tcPr>
          <w:p w14:paraId="5D2CF855" w14:textId="77777777" w:rsidR="00000000" w:rsidRDefault="002F725F">
            <w:pPr>
              <w:rPr>
                <w:rFonts w:eastAsia="Times New Roman"/>
                <w:sz w:val="20"/>
                <w:szCs w:val="20"/>
              </w:rPr>
            </w:pPr>
            <w:r>
              <w:rPr>
                <w:rFonts w:eastAsia="Times New Roman"/>
                <w:sz w:val="20"/>
                <w:szCs w:val="20"/>
              </w:rPr>
              <w:t>Section 4.18</w:t>
            </w:r>
          </w:p>
        </w:tc>
        <w:tc>
          <w:tcPr>
            <w:tcW w:w="0" w:type="auto"/>
            <w:shd w:val="clear" w:color="auto" w:fill="FFFFFF"/>
            <w:hideMark/>
          </w:tcPr>
          <w:p w14:paraId="213FCCD7" w14:textId="77777777" w:rsidR="00000000" w:rsidRDefault="002F725F">
            <w:pPr>
              <w:rPr>
                <w:rFonts w:eastAsia="Times New Roman"/>
                <w:sz w:val="20"/>
                <w:szCs w:val="20"/>
              </w:rPr>
            </w:pPr>
            <w:r>
              <w:rPr>
                <w:rFonts w:eastAsia="Times New Roman"/>
                <w:sz w:val="20"/>
                <w:szCs w:val="20"/>
              </w:rPr>
              <w:t>Insurance</w:t>
            </w:r>
          </w:p>
        </w:tc>
        <w:tc>
          <w:tcPr>
            <w:tcW w:w="0" w:type="auto"/>
            <w:shd w:val="clear" w:color="auto" w:fill="FFFFFF"/>
            <w:hideMark/>
          </w:tcPr>
          <w:p w14:paraId="27A22687" w14:textId="77777777" w:rsidR="00000000" w:rsidRDefault="002F725F">
            <w:pPr>
              <w:jc w:val="center"/>
              <w:rPr>
                <w:rFonts w:eastAsia="Times New Roman"/>
                <w:sz w:val="20"/>
                <w:szCs w:val="20"/>
              </w:rPr>
            </w:pPr>
            <w:r>
              <w:rPr>
                <w:rFonts w:eastAsia="Times New Roman"/>
                <w:sz w:val="20"/>
                <w:szCs w:val="20"/>
              </w:rPr>
              <w:t>28</w:t>
            </w:r>
          </w:p>
        </w:tc>
      </w:tr>
      <w:tr w:rsidR="00000000" w14:paraId="552E564E" w14:textId="77777777">
        <w:trPr>
          <w:divId w:val="415980837"/>
        </w:trPr>
        <w:tc>
          <w:tcPr>
            <w:tcW w:w="0" w:type="auto"/>
            <w:shd w:val="clear" w:color="auto" w:fill="CCEEFF"/>
            <w:tcMar>
              <w:top w:w="0" w:type="dxa"/>
              <w:left w:w="180" w:type="dxa"/>
              <w:bottom w:w="0" w:type="dxa"/>
              <w:right w:w="0" w:type="dxa"/>
            </w:tcMar>
            <w:hideMark/>
          </w:tcPr>
          <w:p w14:paraId="0C6956B6" w14:textId="77777777" w:rsidR="00000000" w:rsidRDefault="002F725F">
            <w:pPr>
              <w:rPr>
                <w:rFonts w:eastAsia="Times New Roman"/>
                <w:sz w:val="20"/>
                <w:szCs w:val="20"/>
              </w:rPr>
            </w:pPr>
            <w:r>
              <w:rPr>
                <w:rFonts w:eastAsia="Times New Roman"/>
                <w:sz w:val="20"/>
                <w:szCs w:val="20"/>
              </w:rPr>
              <w:t>Section 4.19</w:t>
            </w:r>
          </w:p>
        </w:tc>
        <w:tc>
          <w:tcPr>
            <w:tcW w:w="0" w:type="auto"/>
            <w:shd w:val="clear" w:color="auto" w:fill="CCEEFF"/>
            <w:hideMark/>
          </w:tcPr>
          <w:p w14:paraId="40302D41" w14:textId="77777777" w:rsidR="00000000" w:rsidRDefault="002F725F">
            <w:pPr>
              <w:rPr>
                <w:rFonts w:eastAsia="Times New Roman"/>
                <w:sz w:val="20"/>
                <w:szCs w:val="20"/>
              </w:rPr>
            </w:pPr>
            <w:r>
              <w:rPr>
                <w:rFonts w:eastAsia="Times New Roman"/>
                <w:sz w:val="20"/>
                <w:szCs w:val="20"/>
              </w:rPr>
              <w:t>Employee Matters</w:t>
            </w:r>
          </w:p>
        </w:tc>
        <w:tc>
          <w:tcPr>
            <w:tcW w:w="0" w:type="auto"/>
            <w:shd w:val="clear" w:color="auto" w:fill="CCEEFF"/>
            <w:hideMark/>
          </w:tcPr>
          <w:p w14:paraId="1344E5BE" w14:textId="77777777" w:rsidR="00000000" w:rsidRDefault="002F725F">
            <w:pPr>
              <w:jc w:val="center"/>
              <w:rPr>
                <w:rFonts w:eastAsia="Times New Roman"/>
                <w:sz w:val="20"/>
                <w:szCs w:val="20"/>
              </w:rPr>
            </w:pPr>
            <w:r>
              <w:rPr>
                <w:rFonts w:eastAsia="Times New Roman"/>
                <w:sz w:val="20"/>
                <w:szCs w:val="20"/>
              </w:rPr>
              <w:t>28</w:t>
            </w:r>
          </w:p>
        </w:tc>
      </w:tr>
      <w:tr w:rsidR="00000000" w14:paraId="467F40A5" w14:textId="77777777">
        <w:trPr>
          <w:divId w:val="415980837"/>
        </w:trPr>
        <w:tc>
          <w:tcPr>
            <w:tcW w:w="0" w:type="auto"/>
            <w:shd w:val="clear" w:color="auto" w:fill="FFFFFF"/>
            <w:tcMar>
              <w:top w:w="0" w:type="dxa"/>
              <w:left w:w="180" w:type="dxa"/>
              <w:bottom w:w="0" w:type="dxa"/>
              <w:right w:w="0" w:type="dxa"/>
            </w:tcMar>
            <w:hideMark/>
          </w:tcPr>
          <w:p w14:paraId="6DB1D596" w14:textId="77777777" w:rsidR="00000000" w:rsidRDefault="002F725F">
            <w:pPr>
              <w:rPr>
                <w:rFonts w:eastAsia="Times New Roman"/>
                <w:sz w:val="20"/>
                <w:szCs w:val="20"/>
              </w:rPr>
            </w:pPr>
            <w:r>
              <w:rPr>
                <w:rFonts w:eastAsia="Times New Roman"/>
                <w:sz w:val="20"/>
                <w:szCs w:val="20"/>
              </w:rPr>
              <w:t>Section 4.20</w:t>
            </w:r>
          </w:p>
        </w:tc>
        <w:tc>
          <w:tcPr>
            <w:tcW w:w="0" w:type="auto"/>
            <w:shd w:val="clear" w:color="auto" w:fill="FFFFFF"/>
            <w:hideMark/>
          </w:tcPr>
          <w:p w14:paraId="5A5BC0DE" w14:textId="77777777" w:rsidR="00000000" w:rsidRDefault="002F725F">
            <w:pPr>
              <w:rPr>
                <w:rFonts w:eastAsia="Times New Roman"/>
                <w:sz w:val="20"/>
                <w:szCs w:val="20"/>
              </w:rPr>
            </w:pPr>
            <w:r>
              <w:rPr>
                <w:rFonts w:eastAsia="Times New Roman"/>
                <w:sz w:val="20"/>
                <w:szCs w:val="20"/>
              </w:rPr>
              <w:t>Environmental Matters</w:t>
            </w:r>
          </w:p>
        </w:tc>
        <w:tc>
          <w:tcPr>
            <w:tcW w:w="0" w:type="auto"/>
            <w:shd w:val="clear" w:color="auto" w:fill="FFFFFF"/>
            <w:hideMark/>
          </w:tcPr>
          <w:p w14:paraId="0D02FBB7" w14:textId="77777777" w:rsidR="00000000" w:rsidRDefault="002F725F">
            <w:pPr>
              <w:jc w:val="center"/>
              <w:rPr>
                <w:rFonts w:eastAsia="Times New Roman"/>
                <w:sz w:val="20"/>
                <w:szCs w:val="20"/>
              </w:rPr>
            </w:pPr>
            <w:r>
              <w:rPr>
                <w:rFonts w:eastAsia="Times New Roman"/>
                <w:sz w:val="20"/>
                <w:szCs w:val="20"/>
              </w:rPr>
              <w:t>28</w:t>
            </w:r>
          </w:p>
        </w:tc>
      </w:tr>
      <w:tr w:rsidR="00000000" w14:paraId="4627A83D" w14:textId="77777777">
        <w:trPr>
          <w:divId w:val="415980837"/>
        </w:trPr>
        <w:tc>
          <w:tcPr>
            <w:tcW w:w="0" w:type="auto"/>
            <w:shd w:val="clear" w:color="auto" w:fill="CCEEFF"/>
            <w:tcMar>
              <w:top w:w="0" w:type="dxa"/>
              <w:left w:w="180" w:type="dxa"/>
              <w:bottom w:w="0" w:type="dxa"/>
              <w:right w:w="0" w:type="dxa"/>
            </w:tcMar>
            <w:hideMark/>
          </w:tcPr>
          <w:p w14:paraId="1ADFD761" w14:textId="77777777" w:rsidR="00000000" w:rsidRDefault="002F725F">
            <w:pPr>
              <w:rPr>
                <w:rFonts w:eastAsia="Times New Roman"/>
                <w:sz w:val="20"/>
                <w:szCs w:val="20"/>
              </w:rPr>
            </w:pPr>
            <w:r>
              <w:rPr>
                <w:rFonts w:eastAsia="Times New Roman"/>
                <w:sz w:val="20"/>
                <w:szCs w:val="20"/>
              </w:rPr>
              <w:t>Section 4.21</w:t>
            </w:r>
          </w:p>
        </w:tc>
        <w:tc>
          <w:tcPr>
            <w:tcW w:w="0" w:type="auto"/>
            <w:shd w:val="clear" w:color="auto" w:fill="CCEEFF"/>
            <w:hideMark/>
          </w:tcPr>
          <w:p w14:paraId="18566B20" w14:textId="77777777" w:rsidR="00000000" w:rsidRDefault="002F725F">
            <w:pPr>
              <w:rPr>
                <w:rFonts w:eastAsia="Times New Roman"/>
                <w:sz w:val="20"/>
                <w:szCs w:val="20"/>
              </w:rPr>
            </w:pPr>
            <w:r>
              <w:rPr>
                <w:rFonts w:eastAsia="Times New Roman"/>
                <w:sz w:val="20"/>
                <w:szCs w:val="20"/>
              </w:rPr>
              <w:t>No Other Representations</w:t>
            </w:r>
          </w:p>
        </w:tc>
        <w:tc>
          <w:tcPr>
            <w:tcW w:w="0" w:type="auto"/>
            <w:shd w:val="clear" w:color="auto" w:fill="CCEEFF"/>
            <w:hideMark/>
          </w:tcPr>
          <w:p w14:paraId="465857A8" w14:textId="77777777" w:rsidR="00000000" w:rsidRDefault="002F725F">
            <w:pPr>
              <w:jc w:val="center"/>
              <w:rPr>
                <w:rFonts w:eastAsia="Times New Roman"/>
                <w:sz w:val="20"/>
                <w:szCs w:val="20"/>
              </w:rPr>
            </w:pPr>
            <w:r>
              <w:rPr>
                <w:rFonts w:eastAsia="Times New Roman"/>
                <w:sz w:val="20"/>
                <w:szCs w:val="20"/>
              </w:rPr>
              <w:t>28</w:t>
            </w:r>
          </w:p>
        </w:tc>
      </w:tr>
    </w:tbl>
    <w:p w14:paraId="7A6E0EB0" w14:textId="77777777" w:rsidR="00000000" w:rsidRDefault="002F725F">
      <w:pPr>
        <w:pStyle w:val="NormalWeb"/>
        <w:spacing w:before="0" w:beforeAutospacing="0" w:after="0" w:afterAutospacing="0"/>
        <w:divId w:val="415980837"/>
        <w:rPr>
          <w:sz w:val="20"/>
          <w:szCs w:val="20"/>
        </w:rPr>
      </w:pPr>
      <w:r>
        <w:rPr>
          <w:sz w:val="20"/>
          <w:szCs w:val="20"/>
        </w:rPr>
        <w:t> </w:t>
      </w:r>
    </w:p>
    <w:p w14:paraId="6B3670AB" w14:textId="77777777" w:rsidR="00000000" w:rsidRDefault="002F725F">
      <w:pPr>
        <w:pStyle w:val="NormalWeb"/>
        <w:spacing w:before="0" w:beforeAutospacing="0" w:after="0" w:afterAutospacing="0"/>
        <w:jc w:val="center"/>
        <w:divId w:val="1503275225"/>
        <w:rPr>
          <w:sz w:val="20"/>
          <w:szCs w:val="20"/>
        </w:rPr>
      </w:pPr>
      <w:r>
        <w:rPr>
          <w:sz w:val="20"/>
          <w:szCs w:val="20"/>
        </w:rPr>
        <w:t>A</w:t>
      </w:r>
      <w:r>
        <w:rPr>
          <w:sz w:val="20"/>
          <w:szCs w:val="20"/>
        </w:rPr>
        <w:t>-</w:t>
      </w:r>
      <w:r>
        <w:rPr>
          <w:sz w:val="20"/>
          <w:szCs w:val="20"/>
        </w:rPr>
        <w:t>i</w:t>
      </w:r>
    </w:p>
    <w:p w14:paraId="228D3E58" w14:textId="77777777" w:rsidR="00000000" w:rsidRDefault="002F725F">
      <w:pPr>
        <w:pStyle w:val="NormalWeb"/>
        <w:spacing w:before="0" w:beforeAutospacing="0" w:after="0" w:afterAutospacing="0"/>
        <w:divId w:val="683560279"/>
        <w:rPr>
          <w:sz w:val="20"/>
          <w:szCs w:val="20"/>
        </w:rPr>
      </w:pPr>
      <w:r>
        <w:rPr>
          <w:sz w:val="20"/>
          <w:szCs w:val="20"/>
        </w:rPr>
        <w:t> </w:t>
      </w:r>
    </w:p>
    <w:p w14:paraId="1F9D70F1"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1404"/>
        <w:gridCol w:w="7394"/>
        <w:gridCol w:w="562"/>
      </w:tblGrid>
      <w:tr w:rsidR="00000000" w14:paraId="7966AF2D" w14:textId="77777777">
        <w:trPr>
          <w:divId w:val="415980837"/>
        </w:trPr>
        <w:tc>
          <w:tcPr>
            <w:tcW w:w="0" w:type="auto"/>
            <w:gridSpan w:val="2"/>
            <w:shd w:val="clear" w:color="auto" w:fill="CCEEFF"/>
            <w:hideMark/>
          </w:tcPr>
          <w:p w14:paraId="76027F26" w14:textId="77777777" w:rsidR="00000000" w:rsidRDefault="002F725F">
            <w:pPr>
              <w:rPr>
                <w:rFonts w:eastAsia="Times New Roman"/>
                <w:sz w:val="20"/>
                <w:szCs w:val="20"/>
              </w:rPr>
            </w:pPr>
            <w:r>
              <w:rPr>
                <w:rFonts w:eastAsia="Times New Roman"/>
                <w:b/>
                <w:bCs/>
                <w:caps/>
                <w:sz w:val="20"/>
                <w:szCs w:val="20"/>
              </w:rPr>
              <w:t>Article V REPRESENTATIONS AND WARRANTIES OF PARENT AND MERGER SUB</w:t>
            </w:r>
          </w:p>
        </w:tc>
        <w:tc>
          <w:tcPr>
            <w:tcW w:w="0" w:type="auto"/>
            <w:shd w:val="clear" w:color="auto" w:fill="CCEEFF"/>
            <w:hideMark/>
          </w:tcPr>
          <w:p w14:paraId="58D4DE72" w14:textId="77777777" w:rsidR="00000000" w:rsidRDefault="002F725F">
            <w:pPr>
              <w:jc w:val="center"/>
              <w:rPr>
                <w:rFonts w:eastAsia="Times New Roman"/>
                <w:sz w:val="20"/>
                <w:szCs w:val="20"/>
              </w:rPr>
            </w:pPr>
            <w:r>
              <w:rPr>
                <w:rFonts w:eastAsia="Times New Roman"/>
                <w:b/>
                <w:bCs/>
                <w:caps/>
                <w:sz w:val="20"/>
                <w:szCs w:val="20"/>
              </w:rPr>
              <w:t>29</w:t>
            </w:r>
          </w:p>
        </w:tc>
      </w:tr>
      <w:tr w:rsidR="00000000" w14:paraId="5927454E" w14:textId="77777777">
        <w:trPr>
          <w:divId w:val="415980837"/>
        </w:trPr>
        <w:tc>
          <w:tcPr>
            <w:tcW w:w="750" w:type="pct"/>
            <w:shd w:val="clear" w:color="auto" w:fill="FFFFFF"/>
            <w:tcMar>
              <w:top w:w="0" w:type="dxa"/>
              <w:left w:w="180" w:type="dxa"/>
              <w:bottom w:w="0" w:type="dxa"/>
              <w:right w:w="0" w:type="dxa"/>
            </w:tcMar>
            <w:hideMark/>
          </w:tcPr>
          <w:p w14:paraId="735B4389" w14:textId="77777777" w:rsidR="00000000" w:rsidRDefault="002F725F">
            <w:pPr>
              <w:rPr>
                <w:rFonts w:eastAsia="Times New Roman"/>
                <w:sz w:val="20"/>
                <w:szCs w:val="20"/>
              </w:rPr>
            </w:pPr>
            <w:r>
              <w:rPr>
                <w:rFonts w:eastAsia="Times New Roman"/>
                <w:sz w:val="20"/>
                <w:szCs w:val="20"/>
              </w:rPr>
              <w:t> </w:t>
            </w:r>
          </w:p>
        </w:tc>
        <w:tc>
          <w:tcPr>
            <w:tcW w:w="3950" w:type="pct"/>
            <w:shd w:val="clear" w:color="auto" w:fill="FFFFFF"/>
            <w:hideMark/>
          </w:tcPr>
          <w:p w14:paraId="0F3AD815" w14:textId="77777777" w:rsidR="00000000" w:rsidRDefault="002F725F">
            <w:pPr>
              <w:rPr>
                <w:rFonts w:eastAsia="Times New Roman"/>
                <w:sz w:val="20"/>
                <w:szCs w:val="20"/>
              </w:rPr>
            </w:pPr>
            <w:r>
              <w:rPr>
                <w:rFonts w:eastAsia="Times New Roman"/>
                <w:sz w:val="20"/>
                <w:szCs w:val="20"/>
              </w:rPr>
              <w:t> </w:t>
            </w:r>
          </w:p>
        </w:tc>
        <w:tc>
          <w:tcPr>
            <w:tcW w:w="300" w:type="pct"/>
            <w:shd w:val="clear" w:color="auto" w:fill="FFFFFF"/>
            <w:hideMark/>
          </w:tcPr>
          <w:p w14:paraId="5F80541A" w14:textId="77777777" w:rsidR="00000000" w:rsidRDefault="002F725F">
            <w:pPr>
              <w:jc w:val="center"/>
              <w:rPr>
                <w:rFonts w:eastAsia="Times New Roman"/>
                <w:sz w:val="20"/>
                <w:szCs w:val="20"/>
              </w:rPr>
            </w:pPr>
            <w:r>
              <w:rPr>
                <w:rFonts w:eastAsia="Times New Roman"/>
                <w:sz w:val="20"/>
                <w:szCs w:val="20"/>
              </w:rPr>
              <w:t> </w:t>
            </w:r>
          </w:p>
        </w:tc>
      </w:tr>
      <w:tr w:rsidR="00000000" w14:paraId="4E0B5342" w14:textId="77777777">
        <w:trPr>
          <w:divId w:val="415980837"/>
        </w:trPr>
        <w:tc>
          <w:tcPr>
            <w:tcW w:w="0" w:type="auto"/>
            <w:shd w:val="clear" w:color="auto" w:fill="CCEEFF"/>
            <w:tcMar>
              <w:top w:w="0" w:type="dxa"/>
              <w:left w:w="180" w:type="dxa"/>
              <w:bottom w:w="0" w:type="dxa"/>
              <w:right w:w="0" w:type="dxa"/>
            </w:tcMar>
            <w:hideMark/>
          </w:tcPr>
          <w:p w14:paraId="529AB5B3" w14:textId="77777777" w:rsidR="00000000" w:rsidRDefault="002F725F">
            <w:pPr>
              <w:rPr>
                <w:rFonts w:eastAsia="Times New Roman"/>
                <w:sz w:val="20"/>
                <w:szCs w:val="20"/>
              </w:rPr>
            </w:pPr>
            <w:r>
              <w:rPr>
                <w:rFonts w:eastAsia="Times New Roman"/>
                <w:sz w:val="20"/>
                <w:szCs w:val="20"/>
              </w:rPr>
              <w:t>Section 5.1</w:t>
            </w:r>
          </w:p>
        </w:tc>
        <w:tc>
          <w:tcPr>
            <w:tcW w:w="0" w:type="auto"/>
            <w:shd w:val="clear" w:color="auto" w:fill="CCEEFF"/>
            <w:hideMark/>
          </w:tcPr>
          <w:p w14:paraId="1439713E" w14:textId="77777777" w:rsidR="00000000" w:rsidRDefault="002F725F">
            <w:pPr>
              <w:rPr>
                <w:rFonts w:eastAsia="Times New Roman"/>
                <w:sz w:val="20"/>
                <w:szCs w:val="20"/>
              </w:rPr>
            </w:pPr>
            <w:r>
              <w:rPr>
                <w:rFonts w:eastAsia="Times New Roman"/>
                <w:sz w:val="20"/>
                <w:szCs w:val="20"/>
              </w:rPr>
              <w:t>Organization</w:t>
            </w:r>
          </w:p>
        </w:tc>
        <w:tc>
          <w:tcPr>
            <w:tcW w:w="0" w:type="auto"/>
            <w:shd w:val="clear" w:color="auto" w:fill="CCEEFF"/>
            <w:hideMark/>
          </w:tcPr>
          <w:p w14:paraId="7ABA097F" w14:textId="77777777" w:rsidR="00000000" w:rsidRDefault="002F725F">
            <w:pPr>
              <w:jc w:val="center"/>
              <w:rPr>
                <w:rFonts w:eastAsia="Times New Roman"/>
                <w:sz w:val="20"/>
                <w:szCs w:val="20"/>
              </w:rPr>
            </w:pPr>
            <w:r>
              <w:rPr>
                <w:rFonts w:eastAsia="Times New Roman"/>
                <w:sz w:val="20"/>
                <w:szCs w:val="20"/>
              </w:rPr>
              <w:t>29</w:t>
            </w:r>
          </w:p>
        </w:tc>
      </w:tr>
      <w:tr w:rsidR="00000000" w14:paraId="74478A47" w14:textId="77777777">
        <w:trPr>
          <w:divId w:val="415980837"/>
        </w:trPr>
        <w:tc>
          <w:tcPr>
            <w:tcW w:w="0" w:type="auto"/>
            <w:shd w:val="clear" w:color="auto" w:fill="FFFFFF"/>
            <w:tcMar>
              <w:top w:w="0" w:type="dxa"/>
              <w:left w:w="180" w:type="dxa"/>
              <w:bottom w:w="0" w:type="dxa"/>
              <w:right w:w="0" w:type="dxa"/>
            </w:tcMar>
            <w:hideMark/>
          </w:tcPr>
          <w:p w14:paraId="2385EA36" w14:textId="77777777" w:rsidR="00000000" w:rsidRDefault="002F725F">
            <w:pPr>
              <w:rPr>
                <w:rFonts w:eastAsia="Times New Roman"/>
                <w:sz w:val="20"/>
                <w:szCs w:val="20"/>
              </w:rPr>
            </w:pPr>
            <w:r>
              <w:rPr>
                <w:rFonts w:eastAsia="Times New Roman"/>
                <w:sz w:val="20"/>
                <w:szCs w:val="20"/>
              </w:rPr>
              <w:t>Section 5.2</w:t>
            </w:r>
          </w:p>
        </w:tc>
        <w:tc>
          <w:tcPr>
            <w:tcW w:w="0" w:type="auto"/>
            <w:shd w:val="clear" w:color="auto" w:fill="FFFFFF"/>
            <w:hideMark/>
          </w:tcPr>
          <w:p w14:paraId="6376EE49" w14:textId="77777777" w:rsidR="00000000" w:rsidRDefault="002F725F">
            <w:pPr>
              <w:rPr>
                <w:rFonts w:eastAsia="Times New Roman"/>
                <w:sz w:val="20"/>
                <w:szCs w:val="20"/>
              </w:rPr>
            </w:pPr>
            <w:r>
              <w:rPr>
                <w:rFonts w:eastAsia="Times New Roman"/>
                <w:sz w:val="20"/>
                <w:szCs w:val="20"/>
              </w:rPr>
              <w:t>Authorization; Validity of Agreement; Necessary Action</w:t>
            </w:r>
          </w:p>
        </w:tc>
        <w:tc>
          <w:tcPr>
            <w:tcW w:w="0" w:type="auto"/>
            <w:shd w:val="clear" w:color="auto" w:fill="FFFFFF"/>
            <w:hideMark/>
          </w:tcPr>
          <w:p w14:paraId="64A04A19" w14:textId="77777777" w:rsidR="00000000" w:rsidRDefault="002F725F">
            <w:pPr>
              <w:jc w:val="center"/>
              <w:rPr>
                <w:rFonts w:eastAsia="Times New Roman"/>
                <w:sz w:val="20"/>
                <w:szCs w:val="20"/>
              </w:rPr>
            </w:pPr>
            <w:r>
              <w:rPr>
                <w:rFonts w:eastAsia="Times New Roman"/>
                <w:sz w:val="20"/>
                <w:szCs w:val="20"/>
              </w:rPr>
              <w:t>29</w:t>
            </w:r>
          </w:p>
        </w:tc>
      </w:tr>
      <w:tr w:rsidR="00000000" w14:paraId="01BA5DC7" w14:textId="77777777">
        <w:trPr>
          <w:divId w:val="415980837"/>
        </w:trPr>
        <w:tc>
          <w:tcPr>
            <w:tcW w:w="0" w:type="auto"/>
            <w:shd w:val="clear" w:color="auto" w:fill="CCEEFF"/>
            <w:tcMar>
              <w:top w:w="0" w:type="dxa"/>
              <w:left w:w="180" w:type="dxa"/>
              <w:bottom w:w="0" w:type="dxa"/>
              <w:right w:w="0" w:type="dxa"/>
            </w:tcMar>
            <w:hideMark/>
          </w:tcPr>
          <w:p w14:paraId="7790C6E4" w14:textId="77777777" w:rsidR="00000000" w:rsidRDefault="002F725F">
            <w:pPr>
              <w:rPr>
                <w:rFonts w:eastAsia="Times New Roman"/>
                <w:sz w:val="20"/>
                <w:szCs w:val="20"/>
              </w:rPr>
            </w:pPr>
            <w:r>
              <w:rPr>
                <w:rFonts w:eastAsia="Times New Roman"/>
                <w:sz w:val="20"/>
                <w:szCs w:val="20"/>
              </w:rPr>
              <w:t>Section 5.3</w:t>
            </w:r>
          </w:p>
        </w:tc>
        <w:tc>
          <w:tcPr>
            <w:tcW w:w="0" w:type="auto"/>
            <w:shd w:val="clear" w:color="auto" w:fill="CCEEFF"/>
            <w:hideMark/>
          </w:tcPr>
          <w:p w14:paraId="082B17D6" w14:textId="77777777" w:rsidR="00000000" w:rsidRDefault="002F725F">
            <w:pPr>
              <w:rPr>
                <w:rFonts w:eastAsia="Times New Roman"/>
                <w:sz w:val="20"/>
                <w:szCs w:val="20"/>
              </w:rPr>
            </w:pPr>
            <w:r>
              <w:rPr>
                <w:rFonts w:eastAsia="Times New Roman"/>
                <w:sz w:val="20"/>
                <w:szCs w:val="20"/>
              </w:rPr>
              <w:t>Capitalization</w:t>
            </w:r>
          </w:p>
        </w:tc>
        <w:tc>
          <w:tcPr>
            <w:tcW w:w="0" w:type="auto"/>
            <w:shd w:val="clear" w:color="auto" w:fill="CCEEFF"/>
            <w:hideMark/>
          </w:tcPr>
          <w:p w14:paraId="783E1BB8" w14:textId="77777777" w:rsidR="00000000" w:rsidRDefault="002F725F">
            <w:pPr>
              <w:jc w:val="center"/>
              <w:rPr>
                <w:rFonts w:eastAsia="Times New Roman"/>
                <w:sz w:val="20"/>
                <w:szCs w:val="20"/>
              </w:rPr>
            </w:pPr>
            <w:r>
              <w:rPr>
                <w:rFonts w:eastAsia="Times New Roman"/>
                <w:sz w:val="20"/>
                <w:szCs w:val="20"/>
              </w:rPr>
              <w:t>29</w:t>
            </w:r>
          </w:p>
        </w:tc>
      </w:tr>
      <w:tr w:rsidR="00000000" w14:paraId="7EAC5329" w14:textId="77777777">
        <w:trPr>
          <w:divId w:val="415980837"/>
        </w:trPr>
        <w:tc>
          <w:tcPr>
            <w:tcW w:w="0" w:type="auto"/>
            <w:shd w:val="clear" w:color="auto" w:fill="FFFFFF"/>
            <w:tcMar>
              <w:top w:w="0" w:type="dxa"/>
              <w:left w:w="180" w:type="dxa"/>
              <w:bottom w:w="0" w:type="dxa"/>
              <w:right w:w="0" w:type="dxa"/>
            </w:tcMar>
            <w:hideMark/>
          </w:tcPr>
          <w:p w14:paraId="65AC5F8D" w14:textId="77777777" w:rsidR="00000000" w:rsidRDefault="002F725F">
            <w:pPr>
              <w:rPr>
                <w:rFonts w:eastAsia="Times New Roman"/>
                <w:sz w:val="20"/>
                <w:szCs w:val="20"/>
              </w:rPr>
            </w:pPr>
            <w:r>
              <w:rPr>
                <w:rFonts w:eastAsia="Times New Roman"/>
                <w:sz w:val="20"/>
                <w:szCs w:val="20"/>
              </w:rPr>
              <w:t>Section 5.4</w:t>
            </w:r>
          </w:p>
        </w:tc>
        <w:tc>
          <w:tcPr>
            <w:tcW w:w="0" w:type="auto"/>
            <w:shd w:val="clear" w:color="auto" w:fill="FFFFFF"/>
            <w:hideMark/>
          </w:tcPr>
          <w:p w14:paraId="20DA9046" w14:textId="77777777" w:rsidR="00000000" w:rsidRDefault="002F725F">
            <w:pPr>
              <w:rPr>
                <w:rFonts w:eastAsia="Times New Roman"/>
                <w:sz w:val="20"/>
                <w:szCs w:val="20"/>
              </w:rPr>
            </w:pPr>
            <w:r>
              <w:rPr>
                <w:rFonts w:eastAsia="Times New Roman"/>
                <w:sz w:val="20"/>
                <w:szCs w:val="20"/>
              </w:rPr>
              <w:t>Consents and Approvals; No Violations</w:t>
            </w:r>
          </w:p>
        </w:tc>
        <w:tc>
          <w:tcPr>
            <w:tcW w:w="0" w:type="auto"/>
            <w:shd w:val="clear" w:color="auto" w:fill="FFFFFF"/>
            <w:hideMark/>
          </w:tcPr>
          <w:p w14:paraId="7BDD950F" w14:textId="77777777" w:rsidR="00000000" w:rsidRDefault="002F725F">
            <w:pPr>
              <w:jc w:val="center"/>
              <w:rPr>
                <w:rFonts w:eastAsia="Times New Roman"/>
                <w:sz w:val="20"/>
                <w:szCs w:val="20"/>
              </w:rPr>
            </w:pPr>
            <w:r>
              <w:rPr>
                <w:rFonts w:eastAsia="Times New Roman"/>
                <w:sz w:val="20"/>
                <w:szCs w:val="20"/>
              </w:rPr>
              <w:t>30</w:t>
            </w:r>
          </w:p>
        </w:tc>
      </w:tr>
      <w:tr w:rsidR="00000000" w14:paraId="3ECDB3B6" w14:textId="77777777">
        <w:trPr>
          <w:divId w:val="415980837"/>
        </w:trPr>
        <w:tc>
          <w:tcPr>
            <w:tcW w:w="0" w:type="auto"/>
            <w:shd w:val="clear" w:color="auto" w:fill="CCEEFF"/>
            <w:noWrap/>
            <w:tcMar>
              <w:top w:w="0" w:type="dxa"/>
              <w:left w:w="180" w:type="dxa"/>
              <w:bottom w:w="0" w:type="dxa"/>
              <w:right w:w="0" w:type="dxa"/>
            </w:tcMar>
            <w:hideMark/>
          </w:tcPr>
          <w:p w14:paraId="33FF4FB2" w14:textId="77777777" w:rsidR="00000000" w:rsidRDefault="002F725F">
            <w:pPr>
              <w:rPr>
                <w:rFonts w:eastAsia="Times New Roman"/>
                <w:sz w:val="20"/>
                <w:szCs w:val="20"/>
              </w:rPr>
            </w:pPr>
            <w:r>
              <w:rPr>
                <w:rFonts w:eastAsia="Times New Roman"/>
                <w:sz w:val="20"/>
                <w:szCs w:val="20"/>
              </w:rPr>
              <w:t>Section 5.5</w:t>
            </w:r>
          </w:p>
        </w:tc>
        <w:tc>
          <w:tcPr>
            <w:tcW w:w="0" w:type="auto"/>
            <w:shd w:val="clear" w:color="auto" w:fill="CCEEFF"/>
            <w:hideMark/>
          </w:tcPr>
          <w:p w14:paraId="64A1269F" w14:textId="77777777" w:rsidR="00000000" w:rsidRDefault="002F725F">
            <w:pPr>
              <w:rPr>
                <w:rFonts w:eastAsia="Times New Roman"/>
                <w:sz w:val="20"/>
                <w:szCs w:val="20"/>
              </w:rPr>
            </w:pPr>
            <w:r>
              <w:rPr>
                <w:rFonts w:eastAsia="Times New Roman"/>
                <w:sz w:val="20"/>
                <w:szCs w:val="20"/>
              </w:rPr>
              <w:t>Proxy Statement; Other Information</w:t>
            </w:r>
          </w:p>
        </w:tc>
        <w:tc>
          <w:tcPr>
            <w:tcW w:w="0" w:type="auto"/>
            <w:shd w:val="clear" w:color="auto" w:fill="CCEEFF"/>
            <w:hideMark/>
          </w:tcPr>
          <w:p w14:paraId="15537C21" w14:textId="77777777" w:rsidR="00000000" w:rsidRDefault="002F725F">
            <w:pPr>
              <w:jc w:val="center"/>
              <w:rPr>
                <w:rFonts w:eastAsia="Times New Roman"/>
                <w:sz w:val="20"/>
                <w:szCs w:val="20"/>
              </w:rPr>
            </w:pPr>
            <w:r>
              <w:rPr>
                <w:rFonts w:eastAsia="Times New Roman"/>
                <w:sz w:val="20"/>
                <w:szCs w:val="20"/>
              </w:rPr>
              <w:t>30</w:t>
            </w:r>
          </w:p>
        </w:tc>
      </w:tr>
      <w:tr w:rsidR="00000000" w14:paraId="01E52ECB" w14:textId="77777777">
        <w:trPr>
          <w:divId w:val="415980837"/>
        </w:trPr>
        <w:tc>
          <w:tcPr>
            <w:tcW w:w="0" w:type="auto"/>
            <w:shd w:val="clear" w:color="auto" w:fill="FFFFFF"/>
            <w:tcMar>
              <w:top w:w="0" w:type="dxa"/>
              <w:left w:w="180" w:type="dxa"/>
              <w:bottom w:w="0" w:type="dxa"/>
              <w:right w:w="0" w:type="dxa"/>
            </w:tcMar>
            <w:hideMark/>
          </w:tcPr>
          <w:p w14:paraId="74743005" w14:textId="77777777" w:rsidR="00000000" w:rsidRDefault="002F725F">
            <w:pPr>
              <w:rPr>
                <w:rFonts w:eastAsia="Times New Roman"/>
                <w:sz w:val="20"/>
                <w:szCs w:val="20"/>
              </w:rPr>
            </w:pPr>
            <w:r>
              <w:rPr>
                <w:rFonts w:eastAsia="Times New Roman"/>
                <w:sz w:val="20"/>
                <w:szCs w:val="20"/>
              </w:rPr>
              <w:t>Section 5.6</w:t>
            </w:r>
          </w:p>
        </w:tc>
        <w:tc>
          <w:tcPr>
            <w:tcW w:w="0" w:type="auto"/>
            <w:shd w:val="clear" w:color="auto" w:fill="FFFFFF"/>
            <w:hideMark/>
          </w:tcPr>
          <w:p w14:paraId="28632707" w14:textId="77777777" w:rsidR="00000000" w:rsidRDefault="002F725F">
            <w:pPr>
              <w:rPr>
                <w:rFonts w:eastAsia="Times New Roman"/>
                <w:sz w:val="20"/>
                <w:szCs w:val="20"/>
              </w:rPr>
            </w:pPr>
            <w:r>
              <w:rPr>
                <w:rFonts w:eastAsia="Times New Roman"/>
                <w:sz w:val="20"/>
                <w:szCs w:val="20"/>
              </w:rPr>
              <w:t>Brokers or Finders</w:t>
            </w:r>
          </w:p>
        </w:tc>
        <w:tc>
          <w:tcPr>
            <w:tcW w:w="0" w:type="auto"/>
            <w:shd w:val="clear" w:color="auto" w:fill="FFFFFF"/>
            <w:hideMark/>
          </w:tcPr>
          <w:p w14:paraId="7EDD1114" w14:textId="77777777" w:rsidR="00000000" w:rsidRDefault="002F725F">
            <w:pPr>
              <w:jc w:val="center"/>
              <w:rPr>
                <w:rFonts w:eastAsia="Times New Roman"/>
                <w:sz w:val="20"/>
                <w:szCs w:val="20"/>
              </w:rPr>
            </w:pPr>
            <w:r>
              <w:rPr>
                <w:rFonts w:eastAsia="Times New Roman"/>
                <w:sz w:val="20"/>
                <w:szCs w:val="20"/>
              </w:rPr>
              <w:t>31</w:t>
            </w:r>
          </w:p>
        </w:tc>
      </w:tr>
      <w:tr w:rsidR="00000000" w14:paraId="43D711CF" w14:textId="77777777">
        <w:trPr>
          <w:divId w:val="415980837"/>
        </w:trPr>
        <w:tc>
          <w:tcPr>
            <w:tcW w:w="0" w:type="auto"/>
            <w:shd w:val="clear" w:color="auto" w:fill="CCEEFF"/>
            <w:tcMar>
              <w:top w:w="0" w:type="dxa"/>
              <w:left w:w="180" w:type="dxa"/>
              <w:bottom w:w="0" w:type="dxa"/>
              <w:right w:w="0" w:type="dxa"/>
            </w:tcMar>
            <w:hideMark/>
          </w:tcPr>
          <w:p w14:paraId="5040E568" w14:textId="77777777" w:rsidR="00000000" w:rsidRDefault="002F725F">
            <w:pPr>
              <w:rPr>
                <w:rFonts w:eastAsia="Times New Roman"/>
                <w:sz w:val="20"/>
                <w:szCs w:val="20"/>
              </w:rPr>
            </w:pPr>
            <w:r>
              <w:rPr>
                <w:rFonts w:eastAsia="Times New Roman"/>
                <w:sz w:val="20"/>
                <w:szCs w:val="20"/>
              </w:rPr>
              <w:t>Section 5.7</w:t>
            </w:r>
          </w:p>
        </w:tc>
        <w:tc>
          <w:tcPr>
            <w:tcW w:w="0" w:type="auto"/>
            <w:shd w:val="clear" w:color="auto" w:fill="CCEEFF"/>
            <w:hideMark/>
          </w:tcPr>
          <w:p w14:paraId="64ADA172" w14:textId="77777777" w:rsidR="00000000" w:rsidRDefault="002F725F">
            <w:pPr>
              <w:rPr>
                <w:rFonts w:eastAsia="Times New Roman"/>
                <w:sz w:val="20"/>
                <w:szCs w:val="20"/>
              </w:rPr>
            </w:pPr>
            <w:r>
              <w:rPr>
                <w:rFonts w:eastAsia="Times New Roman"/>
                <w:sz w:val="20"/>
                <w:szCs w:val="20"/>
              </w:rPr>
              <w:t>Share Ownership</w:t>
            </w:r>
          </w:p>
        </w:tc>
        <w:tc>
          <w:tcPr>
            <w:tcW w:w="0" w:type="auto"/>
            <w:shd w:val="clear" w:color="auto" w:fill="CCEEFF"/>
            <w:hideMark/>
          </w:tcPr>
          <w:p w14:paraId="74177B03" w14:textId="77777777" w:rsidR="00000000" w:rsidRDefault="002F725F">
            <w:pPr>
              <w:jc w:val="center"/>
              <w:rPr>
                <w:rFonts w:eastAsia="Times New Roman"/>
                <w:sz w:val="20"/>
                <w:szCs w:val="20"/>
              </w:rPr>
            </w:pPr>
            <w:r>
              <w:rPr>
                <w:rFonts w:eastAsia="Times New Roman"/>
                <w:sz w:val="20"/>
                <w:szCs w:val="20"/>
              </w:rPr>
              <w:t>31</w:t>
            </w:r>
          </w:p>
        </w:tc>
      </w:tr>
      <w:tr w:rsidR="00000000" w14:paraId="59B6B5F3" w14:textId="77777777">
        <w:trPr>
          <w:divId w:val="415980837"/>
        </w:trPr>
        <w:tc>
          <w:tcPr>
            <w:tcW w:w="0" w:type="auto"/>
            <w:shd w:val="clear" w:color="auto" w:fill="FFFFFF"/>
            <w:tcMar>
              <w:top w:w="0" w:type="dxa"/>
              <w:left w:w="180" w:type="dxa"/>
              <w:bottom w:w="0" w:type="dxa"/>
              <w:right w:w="0" w:type="dxa"/>
            </w:tcMar>
            <w:hideMark/>
          </w:tcPr>
          <w:p w14:paraId="2CD30572" w14:textId="77777777" w:rsidR="00000000" w:rsidRDefault="002F725F">
            <w:pPr>
              <w:rPr>
                <w:rFonts w:eastAsia="Times New Roman"/>
                <w:sz w:val="20"/>
                <w:szCs w:val="20"/>
              </w:rPr>
            </w:pPr>
            <w:r>
              <w:rPr>
                <w:rFonts w:eastAsia="Times New Roman"/>
                <w:sz w:val="20"/>
                <w:szCs w:val="20"/>
              </w:rPr>
              <w:t>Section 5.8</w:t>
            </w:r>
          </w:p>
        </w:tc>
        <w:tc>
          <w:tcPr>
            <w:tcW w:w="0" w:type="auto"/>
            <w:shd w:val="clear" w:color="auto" w:fill="FFFFFF"/>
            <w:hideMark/>
          </w:tcPr>
          <w:p w14:paraId="3684B8B0" w14:textId="77777777" w:rsidR="00000000" w:rsidRDefault="002F725F">
            <w:pPr>
              <w:rPr>
                <w:rFonts w:eastAsia="Times New Roman"/>
                <w:sz w:val="20"/>
                <w:szCs w:val="20"/>
              </w:rPr>
            </w:pPr>
            <w:r>
              <w:rPr>
                <w:rFonts w:eastAsia="Times New Roman"/>
                <w:sz w:val="20"/>
                <w:szCs w:val="20"/>
              </w:rPr>
              <w:t>Buyer Group Contracts</w:t>
            </w:r>
          </w:p>
        </w:tc>
        <w:tc>
          <w:tcPr>
            <w:tcW w:w="0" w:type="auto"/>
            <w:shd w:val="clear" w:color="auto" w:fill="FFFFFF"/>
            <w:hideMark/>
          </w:tcPr>
          <w:p w14:paraId="1CADFC59" w14:textId="77777777" w:rsidR="00000000" w:rsidRDefault="002F725F">
            <w:pPr>
              <w:jc w:val="center"/>
              <w:rPr>
                <w:rFonts w:eastAsia="Times New Roman"/>
                <w:sz w:val="20"/>
                <w:szCs w:val="20"/>
              </w:rPr>
            </w:pPr>
            <w:r>
              <w:rPr>
                <w:rFonts w:eastAsia="Times New Roman"/>
                <w:sz w:val="20"/>
                <w:szCs w:val="20"/>
              </w:rPr>
              <w:t>31</w:t>
            </w:r>
          </w:p>
        </w:tc>
      </w:tr>
      <w:tr w:rsidR="00000000" w14:paraId="7993CEFD" w14:textId="77777777">
        <w:trPr>
          <w:divId w:val="415980837"/>
        </w:trPr>
        <w:tc>
          <w:tcPr>
            <w:tcW w:w="0" w:type="auto"/>
            <w:shd w:val="clear" w:color="auto" w:fill="CCEEFF"/>
            <w:tcMar>
              <w:top w:w="0" w:type="dxa"/>
              <w:left w:w="180" w:type="dxa"/>
              <w:bottom w:w="0" w:type="dxa"/>
              <w:right w:w="0" w:type="dxa"/>
            </w:tcMar>
            <w:hideMark/>
          </w:tcPr>
          <w:p w14:paraId="516F2064" w14:textId="77777777" w:rsidR="00000000" w:rsidRDefault="002F725F">
            <w:pPr>
              <w:rPr>
                <w:rFonts w:eastAsia="Times New Roman"/>
                <w:sz w:val="20"/>
                <w:szCs w:val="20"/>
              </w:rPr>
            </w:pPr>
            <w:r>
              <w:rPr>
                <w:rFonts w:eastAsia="Times New Roman"/>
                <w:sz w:val="20"/>
                <w:szCs w:val="20"/>
              </w:rPr>
              <w:t>Section 5.9</w:t>
            </w:r>
          </w:p>
        </w:tc>
        <w:tc>
          <w:tcPr>
            <w:tcW w:w="0" w:type="auto"/>
            <w:shd w:val="clear" w:color="auto" w:fill="CCEEFF"/>
            <w:hideMark/>
          </w:tcPr>
          <w:p w14:paraId="2F3A727F" w14:textId="77777777" w:rsidR="00000000" w:rsidRDefault="002F725F">
            <w:pPr>
              <w:rPr>
                <w:rFonts w:eastAsia="Times New Roman"/>
                <w:sz w:val="20"/>
                <w:szCs w:val="20"/>
              </w:rPr>
            </w:pPr>
            <w:r>
              <w:rPr>
                <w:rFonts w:eastAsia="Times New Roman"/>
                <w:sz w:val="20"/>
                <w:szCs w:val="20"/>
              </w:rPr>
              <w:t>Limited Guarantee</w:t>
            </w:r>
          </w:p>
        </w:tc>
        <w:tc>
          <w:tcPr>
            <w:tcW w:w="0" w:type="auto"/>
            <w:shd w:val="clear" w:color="auto" w:fill="CCEEFF"/>
            <w:hideMark/>
          </w:tcPr>
          <w:p w14:paraId="704747A1" w14:textId="77777777" w:rsidR="00000000" w:rsidRDefault="002F725F">
            <w:pPr>
              <w:jc w:val="center"/>
              <w:rPr>
                <w:rFonts w:eastAsia="Times New Roman"/>
                <w:sz w:val="20"/>
                <w:szCs w:val="20"/>
              </w:rPr>
            </w:pPr>
            <w:r>
              <w:rPr>
                <w:rFonts w:eastAsia="Times New Roman"/>
                <w:sz w:val="20"/>
                <w:szCs w:val="20"/>
              </w:rPr>
              <w:t>31</w:t>
            </w:r>
          </w:p>
        </w:tc>
      </w:tr>
      <w:tr w:rsidR="00000000" w14:paraId="503024C4" w14:textId="77777777">
        <w:trPr>
          <w:divId w:val="415980837"/>
        </w:trPr>
        <w:tc>
          <w:tcPr>
            <w:tcW w:w="0" w:type="auto"/>
            <w:shd w:val="clear" w:color="auto" w:fill="FFFFFF"/>
            <w:tcMar>
              <w:top w:w="0" w:type="dxa"/>
              <w:left w:w="180" w:type="dxa"/>
              <w:bottom w:w="0" w:type="dxa"/>
              <w:right w:w="0" w:type="dxa"/>
            </w:tcMar>
            <w:hideMark/>
          </w:tcPr>
          <w:p w14:paraId="3678C881" w14:textId="77777777" w:rsidR="00000000" w:rsidRDefault="002F725F">
            <w:pPr>
              <w:rPr>
                <w:rFonts w:eastAsia="Times New Roman"/>
                <w:sz w:val="20"/>
                <w:szCs w:val="20"/>
              </w:rPr>
            </w:pPr>
            <w:r>
              <w:rPr>
                <w:rFonts w:eastAsia="Times New Roman"/>
                <w:sz w:val="20"/>
                <w:szCs w:val="20"/>
              </w:rPr>
              <w:t>Section 5.10</w:t>
            </w:r>
          </w:p>
        </w:tc>
        <w:tc>
          <w:tcPr>
            <w:tcW w:w="0" w:type="auto"/>
            <w:shd w:val="clear" w:color="auto" w:fill="FFFFFF"/>
            <w:hideMark/>
          </w:tcPr>
          <w:p w14:paraId="52B0DBCC" w14:textId="77777777" w:rsidR="00000000" w:rsidRDefault="002F725F">
            <w:pPr>
              <w:rPr>
                <w:rFonts w:eastAsia="Times New Roman"/>
                <w:sz w:val="20"/>
                <w:szCs w:val="20"/>
              </w:rPr>
            </w:pPr>
            <w:r>
              <w:rPr>
                <w:rFonts w:eastAsia="Times New Roman"/>
                <w:sz w:val="20"/>
                <w:szCs w:val="20"/>
              </w:rPr>
              <w:t>Independent Investigation</w:t>
            </w:r>
          </w:p>
        </w:tc>
        <w:tc>
          <w:tcPr>
            <w:tcW w:w="0" w:type="auto"/>
            <w:shd w:val="clear" w:color="auto" w:fill="FFFFFF"/>
            <w:hideMark/>
          </w:tcPr>
          <w:p w14:paraId="65ED0044" w14:textId="77777777" w:rsidR="00000000" w:rsidRDefault="002F725F">
            <w:pPr>
              <w:jc w:val="center"/>
              <w:rPr>
                <w:rFonts w:eastAsia="Times New Roman"/>
                <w:sz w:val="20"/>
                <w:szCs w:val="20"/>
              </w:rPr>
            </w:pPr>
            <w:r>
              <w:rPr>
                <w:rFonts w:eastAsia="Times New Roman"/>
                <w:sz w:val="20"/>
                <w:szCs w:val="20"/>
              </w:rPr>
              <w:t>31</w:t>
            </w:r>
          </w:p>
        </w:tc>
      </w:tr>
      <w:tr w:rsidR="00000000" w14:paraId="1A914A54" w14:textId="77777777">
        <w:trPr>
          <w:divId w:val="415980837"/>
        </w:trPr>
        <w:tc>
          <w:tcPr>
            <w:tcW w:w="0" w:type="auto"/>
            <w:shd w:val="clear" w:color="auto" w:fill="CCEEFF"/>
            <w:tcMar>
              <w:top w:w="0" w:type="dxa"/>
              <w:left w:w="180" w:type="dxa"/>
              <w:bottom w:w="0" w:type="dxa"/>
              <w:right w:w="0" w:type="dxa"/>
            </w:tcMar>
            <w:hideMark/>
          </w:tcPr>
          <w:p w14:paraId="61FF5AE7" w14:textId="77777777" w:rsidR="00000000" w:rsidRDefault="002F725F">
            <w:pPr>
              <w:rPr>
                <w:rFonts w:eastAsia="Times New Roman"/>
                <w:sz w:val="20"/>
                <w:szCs w:val="20"/>
              </w:rPr>
            </w:pPr>
            <w:r>
              <w:rPr>
                <w:rFonts w:eastAsia="Times New Roman"/>
                <w:sz w:val="20"/>
                <w:szCs w:val="20"/>
              </w:rPr>
              <w:t>Section 5.11</w:t>
            </w:r>
          </w:p>
        </w:tc>
        <w:tc>
          <w:tcPr>
            <w:tcW w:w="0" w:type="auto"/>
            <w:shd w:val="clear" w:color="auto" w:fill="CCEEFF"/>
            <w:hideMark/>
          </w:tcPr>
          <w:p w14:paraId="1C4F38BF" w14:textId="77777777" w:rsidR="00000000" w:rsidRDefault="002F725F">
            <w:pPr>
              <w:rPr>
                <w:rFonts w:eastAsia="Times New Roman"/>
                <w:sz w:val="20"/>
                <w:szCs w:val="20"/>
              </w:rPr>
            </w:pPr>
            <w:r>
              <w:rPr>
                <w:rFonts w:eastAsia="Times New Roman"/>
                <w:sz w:val="20"/>
                <w:szCs w:val="20"/>
              </w:rPr>
              <w:t>Non-Reliance on Company Estimates</w:t>
            </w:r>
          </w:p>
        </w:tc>
        <w:tc>
          <w:tcPr>
            <w:tcW w:w="0" w:type="auto"/>
            <w:shd w:val="clear" w:color="auto" w:fill="CCEEFF"/>
            <w:hideMark/>
          </w:tcPr>
          <w:p w14:paraId="2640AF49" w14:textId="77777777" w:rsidR="00000000" w:rsidRDefault="002F725F">
            <w:pPr>
              <w:jc w:val="center"/>
              <w:rPr>
                <w:rFonts w:eastAsia="Times New Roman"/>
                <w:sz w:val="20"/>
                <w:szCs w:val="20"/>
              </w:rPr>
            </w:pPr>
            <w:r>
              <w:rPr>
                <w:rFonts w:eastAsia="Times New Roman"/>
                <w:sz w:val="20"/>
                <w:szCs w:val="20"/>
              </w:rPr>
              <w:t>31</w:t>
            </w:r>
          </w:p>
        </w:tc>
      </w:tr>
      <w:tr w:rsidR="00000000" w14:paraId="337BDB15" w14:textId="77777777">
        <w:trPr>
          <w:divId w:val="415980837"/>
        </w:trPr>
        <w:tc>
          <w:tcPr>
            <w:tcW w:w="0" w:type="auto"/>
            <w:shd w:val="clear" w:color="auto" w:fill="FFFFFF"/>
            <w:tcMar>
              <w:top w:w="0" w:type="dxa"/>
              <w:left w:w="180" w:type="dxa"/>
              <w:bottom w:w="0" w:type="dxa"/>
              <w:right w:w="0" w:type="dxa"/>
            </w:tcMar>
            <w:hideMark/>
          </w:tcPr>
          <w:p w14:paraId="52DD44F1" w14:textId="77777777" w:rsidR="00000000" w:rsidRDefault="002F725F">
            <w:pPr>
              <w:rPr>
                <w:rFonts w:eastAsia="Times New Roman"/>
                <w:sz w:val="20"/>
                <w:szCs w:val="20"/>
              </w:rPr>
            </w:pPr>
            <w:r>
              <w:rPr>
                <w:rFonts w:eastAsia="Times New Roman"/>
                <w:sz w:val="20"/>
                <w:szCs w:val="20"/>
              </w:rPr>
              <w:t>Section 5.12</w:t>
            </w:r>
          </w:p>
        </w:tc>
        <w:tc>
          <w:tcPr>
            <w:tcW w:w="0" w:type="auto"/>
            <w:shd w:val="clear" w:color="auto" w:fill="FFFFFF"/>
            <w:hideMark/>
          </w:tcPr>
          <w:p w14:paraId="0DAAB5E2" w14:textId="77777777" w:rsidR="00000000" w:rsidRDefault="002F725F">
            <w:pPr>
              <w:rPr>
                <w:rFonts w:eastAsia="Times New Roman"/>
                <w:sz w:val="20"/>
                <w:szCs w:val="20"/>
              </w:rPr>
            </w:pPr>
            <w:r>
              <w:rPr>
                <w:rFonts w:eastAsia="Times New Roman"/>
                <w:sz w:val="20"/>
                <w:szCs w:val="20"/>
              </w:rPr>
              <w:t>Financing</w:t>
            </w:r>
          </w:p>
        </w:tc>
        <w:tc>
          <w:tcPr>
            <w:tcW w:w="0" w:type="auto"/>
            <w:shd w:val="clear" w:color="auto" w:fill="FFFFFF"/>
            <w:hideMark/>
          </w:tcPr>
          <w:p w14:paraId="69105AE4" w14:textId="77777777" w:rsidR="00000000" w:rsidRDefault="002F725F">
            <w:pPr>
              <w:jc w:val="center"/>
              <w:rPr>
                <w:rFonts w:eastAsia="Times New Roman"/>
                <w:sz w:val="20"/>
                <w:szCs w:val="20"/>
              </w:rPr>
            </w:pPr>
            <w:r>
              <w:rPr>
                <w:rFonts w:eastAsia="Times New Roman"/>
                <w:sz w:val="20"/>
                <w:szCs w:val="20"/>
              </w:rPr>
              <w:t>31</w:t>
            </w:r>
          </w:p>
        </w:tc>
      </w:tr>
      <w:tr w:rsidR="00000000" w14:paraId="370C1AA3" w14:textId="77777777">
        <w:trPr>
          <w:divId w:val="415980837"/>
        </w:trPr>
        <w:tc>
          <w:tcPr>
            <w:tcW w:w="0" w:type="auto"/>
            <w:shd w:val="clear" w:color="auto" w:fill="CCEEFF"/>
            <w:tcMar>
              <w:top w:w="0" w:type="dxa"/>
              <w:left w:w="180" w:type="dxa"/>
              <w:bottom w:w="0" w:type="dxa"/>
              <w:right w:w="0" w:type="dxa"/>
            </w:tcMar>
            <w:hideMark/>
          </w:tcPr>
          <w:p w14:paraId="319090F1" w14:textId="77777777" w:rsidR="00000000" w:rsidRDefault="002F725F">
            <w:pPr>
              <w:rPr>
                <w:rFonts w:eastAsia="Times New Roman"/>
                <w:sz w:val="20"/>
                <w:szCs w:val="20"/>
              </w:rPr>
            </w:pPr>
            <w:r>
              <w:rPr>
                <w:rFonts w:eastAsia="Times New Roman"/>
                <w:sz w:val="20"/>
                <w:szCs w:val="20"/>
              </w:rPr>
              <w:t>Section 5.13</w:t>
            </w:r>
          </w:p>
        </w:tc>
        <w:tc>
          <w:tcPr>
            <w:tcW w:w="0" w:type="auto"/>
            <w:shd w:val="clear" w:color="auto" w:fill="CCEEFF"/>
            <w:hideMark/>
          </w:tcPr>
          <w:p w14:paraId="12153F00" w14:textId="77777777" w:rsidR="00000000" w:rsidRDefault="002F725F">
            <w:pPr>
              <w:rPr>
                <w:rFonts w:eastAsia="Times New Roman"/>
                <w:sz w:val="20"/>
                <w:szCs w:val="20"/>
              </w:rPr>
            </w:pPr>
            <w:r>
              <w:rPr>
                <w:rFonts w:eastAsia="Times New Roman"/>
                <w:sz w:val="20"/>
                <w:szCs w:val="20"/>
              </w:rPr>
              <w:t>Solvency</w:t>
            </w:r>
          </w:p>
        </w:tc>
        <w:tc>
          <w:tcPr>
            <w:tcW w:w="0" w:type="auto"/>
            <w:shd w:val="clear" w:color="auto" w:fill="CCEEFF"/>
            <w:hideMark/>
          </w:tcPr>
          <w:p w14:paraId="541EA77C" w14:textId="77777777" w:rsidR="00000000" w:rsidRDefault="002F725F">
            <w:pPr>
              <w:jc w:val="center"/>
              <w:rPr>
                <w:rFonts w:eastAsia="Times New Roman"/>
                <w:sz w:val="20"/>
                <w:szCs w:val="20"/>
              </w:rPr>
            </w:pPr>
            <w:r>
              <w:rPr>
                <w:rFonts w:eastAsia="Times New Roman"/>
                <w:sz w:val="20"/>
                <w:szCs w:val="20"/>
              </w:rPr>
              <w:t>32</w:t>
            </w:r>
          </w:p>
        </w:tc>
      </w:tr>
      <w:tr w:rsidR="00000000" w14:paraId="27C82FB7" w14:textId="77777777">
        <w:trPr>
          <w:divId w:val="415980837"/>
        </w:trPr>
        <w:tc>
          <w:tcPr>
            <w:tcW w:w="0" w:type="auto"/>
            <w:shd w:val="clear" w:color="auto" w:fill="FFFFFF"/>
            <w:tcMar>
              <w:top w:w="0" w:type="dxa"/>
              <w:left w:w="180" w:type="dxa"/>
              <w:bottom w:w="0" w:type="dxa"/>
              <w:right w:w="0" w:type="dxa"/>
            </w:tcMar>
            <w:hideMark/>
          </w:tcPr>
          <w:p w14:paraId="6666A9D7" w14:textId="77777777" w:rsidR="00000000" w:rsidRDefault="002F725F">
            <w:pPr>
              <w:rPr>
                <w:rFonts w:eastAsia="Times New Roman"/>
                <w:sz w:val="20"/>
                <w:szCs w:val="20"/>
              </w:rPr>
            </w:pPr>
            <w:r>
              <w:rPr>
                <w:rFonts w:eastAsia="Times New Roman"/>
                <w:sz w:val="20"/>
                <w:szCs w:val="20"/>
              </w:rPr>
              <w:t>Section 5.14</w:t>
            </w:r>
          </w:p>
        </w:tc>
        <w:tc>
          <w:tcPr>
            <w:tcW w:w="0" w:type="auto"/>
            <w:shd w:val="clear" w:color="auto" w:fill="FFFFFF"/>
            <w:hideMark/>
          </w:tcPr>
          <w:p w14:paraId="0B8E9A04" w14:textId="77777777" w:rsidR="00000000" w:rsidRDefault="002F725F">
            <w:pPr>
              <w:rPr>
                <w:rFonts w:eastAsia="Times New Roman"/>
                <w:sz w:val="20"/>
                <w:szCs w:val="20"/>
              </w:rPr>
            </w:pPr>
            <w:r>
              <w:rPr>
                <w:rFonts w:eastAsia="Times New Roman"/>
                <w:sz w:val="20"/>
                <w:szCs w:val="20"/>
              </w:rPr>
              <w:t>Absence of Litigation</w:t>
            </w:r>
          </w:p>
        </w:tc>
        <w:tc>
          <w:tcPr>
            <w:tcW w:w="0" w:type="auto"/>
            <w:shd w:val="clear" w:color="auto" w:fill="FFFFFF"/>
            <w:hideMark/>
          </w:tcPr>
          <w:p w14:paraId="78B7370F" w14:textId="77777777" w:rsidR="00000000" w:rsidRDefault="002F725F">
            <w:pPr>
              <w:jc w:val="center"/>
              <w:rPr>
                <w:rFonts w:eastAsia="Times New Roman"/>
                <w:sz w:val="20"/>
                <w:szCs w:val="20"/>
              </w:rPr>
            </w:pPr>
            <w:r>
              <w:rPr>
                <w:rFonts w:eastAsia="Times New Roman"/>
                <w:sz w:val="20"/>
                <w:szCs w:val="20"/>
              </w:rPr>
              <w:t>32</w:t>
            </w:r>
          </w:p>
        </w:tc>
      </w:tr>
      <w:tr w:rsidR="00000000" w14:paraId="3656DE5E" w14:textId="77777777">
        <w:trPr>
          <w:divId w:val="415980837"/>
        </w:trPr>
        <w:tc>
          <w:tcPr>
            <w:tcW w:w="0" w:type="auto"/>
            <w:shd w:val="clear" w:color="auto" w:fill="CCEEFF"/>
            <w:tcMar>
              <w:top w:w="0" w:type="dxa"/>
              <w:left w:w="180" w:type="dxa"/>
              <w:bottom w:w="0" w:type="dxa"/>
              <w:right w:w="0" w:type="dxa"/>
            </w:tcMar>
            <w:hideMark/>
          </w:tcPr>
          <w:p w14:paraId="45DB3D4C" w14:textId="77777777" w:rsidR="00000000" w:rsidRDefault="002F725F">
            <w:pPr>
              <w:rPr>
                <w:rFonts w:eastAsia="Times New Roman"/>
                <w:sz w:val="20"/>
                <w:szCs w:val="20"/>
              </w:rPr>
            </w:pPr>
            <w:r>
              <w:rPr>
                <w:rFonts w:eastAsia="Times New Roman"/>
                <w:sz w:val="20"/>
                <w:szCs w:val="20"/>
              </w:rPr>
              <w:t>Section 5.15</w:t>
            </w:r>
          </w:p>
        </w:tc>
        <w:tc>
          <w:tcPr>
            <w:tcW w:w="0" w:type="auto"/>
            <w:shd w:val="clear" w:color="auto" w:fill="CCEEFF"/>
            <w:hideMark/>
          </w:tcPr>
          <w:p w14:paraId="06CB60D5" w14:textId="77777777" w:rsidR="00000000" w:rsidRDefault="002F725F">
            <w:pPr>
              <w:rPr>
                <w:rFonts w:eastAsia="Times New Roman"/>
                <w:sz w:val="20"/>
                <w:szCs w:val="20"/>
              </w:rPr>
            </w:pPr>
            <w:r>
              <w:rPr>
                <w:rFonts w:eastAsia="Times New Roman"/>
                <w:sz w:val="20"/>
                <w:szCs w:val="20"/>
              </w:rPr>
              <w:t>No Other Representations</w:t>
            </w:r>
          </w:p>
        </w:tc>
        <w:tc>
          <w:tcPr>
            <w:tcW w:w="0" w:type="auto"/>
            <w:shd w:val="clear" w:color="auto" w:fill="CCEEFF"/>
            <w:hideMark/>
          </w:tcPr>
          <w:p w14:paraId="434E8526" w14:textId="77777777" w:rsidR="00000000" w:rsidRDefault="002F725F">
            <w:pPr>
              <w:jc w:val="center"/>
              <w:rPr>
                <w:rFonts w:eastAsia="Times New Roman"/>
                <w:sz w:val="20"/>
                <w:szCs w:val="20"/>
              </w:rPr>
            </w:pPr>
            <w:r>
              <w:rPr>
                <w:rFonts w:eastAsia="Times New Roman"/>
                <w:sz w:val="20"/>
                <w:szCs w:val="20"/>
              </w:rPr>
              <w:t>32</w:t>
            </w:r>
          </w:p>
        </w:tc>
      </w:tr>
      <w:tr w:rsidR="00000000" w14:paraId="67982DE4" w14:textId="77777777">
        <w:trPr>
          <w:divId w:val="415980837"/>
        </w:trPr>
        <w:tc>
          <w:tcPr>
            <w:tcW w:w="0" w:type="auto"/>
            <w:shd w:val="clear" w:color="auto" w:fill="FFFFFF"/>
            <w:tcMar>
              <w:top w:w="0" w:type="dxa"/>
              <w:left w:w="180" w:type="dxa"/>
              <w:bottom w:w="0" w:type="dxa"/>
              <w:right w:w="0" w:type="dxa"/>
            </w:tcMar>
            <w:hideMark/>
          </w:tcPr>
          <w:p w14:paraId="3D9D94A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615C1EE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261AA77D" w14:textId="77777777" w:rsidR="00000000" w:rsidRDefault="002F725F">
            <w:pPr>
              <w:jc w:val="center"/>
              <w:rPr>
                <w:rFonts w:eastAsia="Times New Roman"/>
                <w:sz w:val="20"/>
                <w:szCs w:val="20"/>
              </w:rPr>
            </w:pPr>
            <w:r>
              <w:rPr>
                <w:rFonts w:eastAsia="Times New Roman"/>
                <w:sz w:val="20"/>
                <w:szCs w:val="20"/>
              </w:rPr>
              <w:t> </w:t>
            </w:r>
          </w:p>
        </w:tc>
      </w:tr>
      <w:tr w:rsidR="00000000" w14:paraId="1B0FBB2D" w14:textId="77777777">
        <w:trPr>
          <w:divId w:val="415980837"/>
        </w:trPr>
        <w:tc>
          <w:tcPr>
            <w:tcW w:w="0" w:type="auto"/>
            <w:gridSpan w:val="2"/>
            <w:shd w:val="clear" w:color="auto" w:fill="CCEEFF"/>
            <w:hideMark/>
          </w:tcPr>
          <w:p w14:paraId="5425689B" w14:textId="77777777" w:rsidR="00000000" w:rsidRDefault="002F725F">
            <w:pPr>
              <w:rPr>
                <w:rFonts w:eastAsia="Times New Roman"/>
                <w:sz w:val="20"/>
                <w:szCs w:val="20"/>
              </w:rPr>
            </w:pPr>
            <w:r>
              <w:rPr>
                <w:rFonts w:eastAsia="Times New Roman"/>
                <w:b/>
                <w:bCs/>
                <w:caps/>
                <w:sz w:val="20"/>
                <w:szCs w:val="20"/>
              </w:rPr>
              <w:t>Article VI CONDUCT OF BUSINESS PENDING THE MERGER</w:t>
            </w:r>
          </w:p>
        </w:tc>
        <w:tc>
          <w:tcPr>
            <w:tcW w:w="0" w:type="auto"/>
            <w:shd w:val="clear" w:color="auto" w:fill="CCEEFF"/>
            <w:hideMark/>
          </w:tcPr>
          <w:p w14:paraId="3A2AE7E9" w14:textId="77777777" w:rsidR="00000000" w:rsidRDefault="002F725F">
            <w:pPr>
              <w:jc w:val="center"/>
              <w:rPr>
                <w:rFonts w:eastAsia="Times New Roman"/>
                <w:sz w:val="20"/>
                <w:szCs w:val="20"/>
              </w:rPr>
            </w:pPr>
            <w:r>
              <w:rPr>
                <w:rFonts w:eastAsia="Times New Roman"/>
                <w:b/>
                <w:bCs/>
                <w:caps/>
                <w:sz w:val="20"/>
                <w:szCs w:val="20"/>
              </w:rPr>
              <w:t>33</w:t>
            </w:r>
          </w:p>
        </w:tc>
      </w:tr>
      <w:tr w:rsidR="00000000" w14:paraId="5F40B47E" w14:textId="77777777">
        <w:trPr>
          <w:divId w:val="415980837"/>
        </w:trPr>
        <w:tc>
          <w:tcPr>
            <w:tcW w:w="0" w:type="auto"/>
            <w:shd w:val="clear" w:color="auto" w:fill="FFFFFF"/>
            <w:tcMar>
              <w:top w:w="0" w:type="dxa"/>
              <w:left w:w="180" w:type="dxa"/>
              <w:bottom w:w="0" w:type="dxa"/>
              <w:right w:w="0" w:type="dxa"/>
            </w:tcMar>
            <w:hideMark/>
          </w:tcPr>
          <w:p w14:paraId="458C658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3620682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144968A8" w14:textId="77777777" w:rsidR="00000000" w:rsidRDefault="002F725F">
            <w:pPr>
              <w:jc w:val="center"/>
              <w:rPr>
                <w:rFonts w:eastAsia="Times New Roman"/>
                <w:sz w:val="20"/>
                <w:szCs w:val="20"/>
              </w:rPr>
            </w:pPr>
            <w:r>
              <w:rPr>
                <w:rFonts w:eastAsia="Times New Roman"/>
                <w:sz w:val="20"/>
                <w:szCs w:val="20"/>
              </w:rPr>
              <w:t> </w:t>
            </w:r>
          </w:p>
        </w:tc>
      </w:tr>
      <w:tr w:rsidR="00000000" w14:paraId="0DB0C9E0" w14:textId="77777777">
        <w:trPr>
          <w:divId w:val="415980837"/>
        </w:trPr>
        <w:tc>
          <w:tcPr>
            <w:tcW w:w="0" w:type="auto"/>
            <w:shd w:val="clear" w:color="auto" w:fill="CCEEFF"/>
            <w:tcMar>
              <w:top w:w="0" w:type="dxa"/>
              <w:left w:w="180" w:type="dxa"/>
              <w:bottom w:w="0" w:type="dxa"/>
              <w:right w:w="0" w:type="dxa"/>
            </w:tcMar>
            <w:hideMark/>
          </w:tcPr>
          <w:p w14:paraId="50594035" w14:textId="77777777" w:rsidR="00000000" w:rsidRDefault="002F725F">
            <w:pPr>
              <w:rPr>
                <w:rFonts w:eastAsia="Times New Roman"/>
                <w:sz w:val="20"/>
                <w:szCs w:val="20"/>
              </w:rPr>
            </w:pPr>
            <w:r>
              <w:rPr>
                <w:rFonts w:eastAsia="Times New Roman"/>
                <w:sz w:val="20"/>
                <w:szCs w:val="20"/>
              </w:rPr>
              <w:t>Section 6.1</w:t>
            </w:r>
          </w:p>
        </w:tc>
        <w:tc>
          <w:tcPr>
            <w:tcW w:w="0" w:type="auto"/>
            <w:shd w:val="clear" w:color="auto" w:fill="CCEEFF"/>
            <w:hideMark/>
          </w:tcPr>
          <w:p w14:paraId="0B010374" w14:textId="77777777" w:rsidR="00000000" w:rsidRDefault="002F725F">
            <w:pPr>
              <w:rPr>
                <w:rFonts w:eastAsia="Times New Roman"/>
                <w:sz w:val="20"/>
                <w:szCs w:val="20"/>
              </w:rPr>
            </w:pPr>
            <w:r>
              <w:rPr>
                <w:rFonts w:eastAsia="Times New Roman"/>
                <w:sz w:val="20"/>
                <w:szCs w:val="20"/>
              </w:rPr>
              <w:t>Conduct of Business by the Company</w:t>
            </w:r>
          </w:p>
        </w:tc>
        <w:tc>
          <w:tcPr>
            <w:tcW w:w="0" w:type="auto"/>
            <w:shd w:val="clear" w:color="auto" w:fill="CCEEFF"/>
            <w:hideMark/>
          </w:tcPr>
          <w:p w14:paraId="40EE3695" w14:textId="77777777" w:rsidR="00000000" w:rsidRDefault="002F725F">
            <w:pPr>
              <w:jc w:val="center"/>
              <w:rPr>
                <w:rFonts w:eastAsia="Times New Roman"/>
                <w:sz w:val="20"/>
                <w:szCs w:val="20"/>
              </w:rPr>
            </w:pPr>
            <w:r>
              <w:rPr>
                <w:rFonts w:eastAsia="Times New Roman"/>
                <w:sz w:val="20"/>
                <w:szCs w:val="20"/>
              </w:rPr>
              <w:t>33</w:t>
            </w:r>
          </w:p>
        </w:tc>
      </w:tr>
      <w:tr w:rsidR="00000000" w14:paraId="71240DD5" w14:textId="77777777">
        <w:trPr>
          <w:divId w:val="415980837"/>
        </w:trPr>
        <w:tc>
          <w:tcPr>
            <w:tcW w:w="0" w:type="auto"/>
            <w:shd w:val="clear" w:color="auto" w:fill="FFFFFF"/>
            <w:tcMar>
              <w:top w:w="0" w:type="dxa"/>
              <w:left w:w="180" w:type="dxa"/>
              <w:bottom w:w="0" w:type="dxa"/>
              <w:right w:w="0" w:type="dxa"/>
            </w:tcMar>
            <w:hideMark/>
          </w:tcPr>
          <w:p w14:paraId="523D3E63" w14:textId="77777777" w:rsidR="00000000" w:rsidRDefault="002F725F">
            <w:pPr>
              <w:rPr>
                <w:rFonts w:eastAsia="Times New Roman"/>
                <w:sz w:val="20"/>
                <w:szCs w:val="20"/>
              </w:rPr>
            </w:pPr>
            <w:r>
              <w:rPr>
                <w:rFonts w:eastAsia="Times New Roman"/>
                <w:sz w:val="20"/>
                <w:szCs w:val="20"/>
              </w:rPr>
              <w:t>Section 6.2</w:t>
            </w:r>
          </w:p>
        </w:tc>
        <w:tc>
          <w:tcPr>
            <w:tcW w:w="0" w:type="auto"/>
            <w:shd w:val="clear" w:color="auto" w:fill="FFFFFF"/>
            <w:hideMark/>
          </w:tcPr>
          <w:p w14:paraId="128F35A8" w14:textId="77777777" w:rsidR="00000000" w:rsidRDefault="002F725F">
            <w:pPr>
              <w:rPr>
                <w:rFonts w:eastAsia="Times New Roman"/>
                <w:sz w:val="20"/>
                <w:szCs w:val="20"/>
              </w:rPr>
            </w:pPr>
            <w:r>
              <w:rPr>
                <w:rFonts w:eastAsia="Times New Roman"/>
                <w:sz w:val="20"/>
                <w:szCs w:val="20"/>
              </w:rPr>
              <w:t>Non-Solicitation</w:t>
            </w:r>
          </w:p>
        </w:tc>
        <w:tc>
          <w:tcPr>
            <w:tcW w:w="0" w:type="auto"/>
            <w:shd w:val="clear" w:color="auto" w:fill="FFFFFF"/>
            <w:hideMark/>
          </w:tcPr>
          <w:p w14:paraId="1B0A31C5" w14:textId="77777777" w:rsidR="00000000" w:rsidRDefault="002F725F">
            <w:pPr>
              <w:jc w:val="center"/>
              <w:rPr>
                <w:rFonts w:eastAsia="Times New Roman"/>
                <w:sz w:val="20"/>
                <w:szCs w:val="20"/>
              </w:rPr>
            </w:pPr>
            <w:r>
              <w:rPr>
                <w:rFonts w:eastAsia="Times New Roman"/>
                <w:sz w:val="20"/>
                <w:szCs w:val="20"/>
              </w:rPr>
              <w:t>35</w:t>
            </w:r>
          </w:p>
        </w:tc>
      </w:tr>
      <w:tr w:rsidR="00000000" w14:paraId="59EFFCD5" w14:textId="77777777">
        <w:trPr>
          <w:divId w:val="415980837"/>
        </w:trPr>
        <w:tc>
          <w:tcPr>
            <w:tcW w:w="0" w:type="auto"/>
            <w:shd w:val="clear" w:color="auto" w:fill="CCEEFF"/>
            <w:tcMar>
              <w:top w:w="0" w:type="dxa"/>
              <w:left w:w="180" w:type="dxa"/>
              <w:bottom w:w="0" w:type="dxa"/>
              <w:right w:w="0" w:type="dxa"/>
            </w:tcMar>
            <w:hideMark/>
          </w:tcPr>
          <w:p w14:paraId="0F339839" w14:textId="77777777" w:rsidR="00000000" w:rsidRDefault="002F725F">
            <w:pPr>
              <w:rPr>
                <w:rFonts w:eastAsia="Times New Roman"/>
                <w:sz w:val="20"/>
                <w:szCs w:val="20"/>
              </w:rPr>
            </w:pPr>
            <w:r>
              <w:rPr>
                <w:rFonts w:eastAsia="Times New Roman"/>
                <w:sz w:val="20"/>
                <w:szCs w:val="20"/>
              </w:rPr>
              <w:t>Section 6.3</w:t>
            </w:r>
          </w:p>
        </w:tc>
        <w:tc>
          <w:tcPr>
            <w:tcW w:w="0" w:type="auto"/>
            <w:shd w:val="clear" w:color="auto" w:fill="CCEEFF"/>
            <w:hideMark/>
          </w:tcPr>
          <w:p w14:paraId="49636F4A" w14:textId="77777777" w:rsidR="00000000" w:rsidRDefault="002F725F">
            <w:pPr>
              <w:rPr>
                <w:rFonts w:eastAsia="Times New Roman"/>
                <w:sz w:val="20"/>
                <w:szCs w:val="20"/>
              </w:rPr>
            </w:pPr>
            <w:r>
              <w:rPr>
                <w:rFonts w:eastAsia="Times New Roman"/>
                <w:sz w:val="20"/>
                <w:szCs w:val="20"/>
              </w:rPr>
              <w:t>Operation of Parent’s and Merger Sub’s Business</w:t>
            </w:r>
          </w:p>
        </w:tc>
        <w:tc>
          <w:tcPr>
            <w:tcW w:w="0" w:type="auto"/>
            <w:shd w:val="clear" w:color="auto" w:fill="CCEEFF"/>
            <w:hideMark/>
          </w:tcPr>
          <w:p w14:paraId="06B146A6" w14:textId="77777777" w:rsidR="00000000" w:rsidRDefault="002F725F">
            <w:pPr>
              <w:jc w:val="center"/>
              <w:rPr>
                <w:rFonts w:eastAsia="Times New Roman"/>
                <w:sz w:val="20"/>
                <w:szCs w:val="20"/>
              </w:rPr>
            </w:pPr>
            <w:r>
              <w:rPr>
                <w:rFonts w:eastAsia="Times New Roman"/>
                <w:sz w:val="20"/>
                <w:szCs w:val="20"/>
              </w:rPr>
              <w:t>37</w:t>
            </w:r>
          </w:p>
        </w:tc>
      </w:tr>
      <w:tr w:rsidR="00000000" w14:paraId="4585B4C6" w14:textId="77777777">
        <w:trPr>
          <w:divId w:val="415980837"/>
        </w:trPr>
        <w:tc>
          <w:tcPr>
            <w:tcW w:w="0" w:type="auto"/>
            <w:shd w:val="clear" w:color="auto" w:fill="FFFFFF"/>
            <w:tcMar>
              <w:top w:w="0" w:type="dxa"/>
              <w:left w:w="180" w:type="dxa"/>
              <w:bottom w:w="0" w:type="dxa"/>
              <w:right w:w="0" w:type="dxa"/>
            </w:tcMar>
            <w:hideMark/>
          </w:tcPr>
          <w:p w14:paraId="66C36FDD" w14:textId="77777777" w:rsidR="00000000" w:rsidRDefault="002F725F">
            <w:pPr>
              <w:rPr>
                <w:rFonts w:eastAsia="Times New Roman"/>
                <w:sz w:val="20"/>
                <w:szCs w:val="20"/>
              </w:rPr>
            </w:pPr>
            <w:r>
              <w:rPr>
                <w:rFonts w:eastAsia="Times New Roman"/>
                <w:sz w:val="20"/>
                <w:szCs w:val="20"/>
              </w:rPr>
              <w:t>Section 6.4</w:t>
            </w:r>
          </w:p>
        </w:tc>
        <w:tc>
          <w:tcPr>
            <w:tcW w:w="0" w:type="auto"/>
            <w:shd w:val="clear" w:color="auto" w:fill="FFFFFF"/>
            <w:hideMark/>
          </w:tcPr>
          <w:p w14:paraId="72A74E1E" w14:textId="77777777" w:rsidR="00000000" w:rsidRDefault="002F725F">
            <w:pPr>
              <w:rPr>
                <w:rFonts w:eastAsia="Times New Roman"/>
                <w:sz w:val="20"/>
                <w:szCs w:val="20"/>
              </w:rPr>
            </w:pPr>
            <w:r>
              <w:rPr>
                <w:rFonts w:eastAsia="Times New Roman"/>
                <w:sz w:val="20"/>
                <w:szCs w:val="20"/>
              </w:rPr>
              <w:t>No Control of Other Party’s Business</w:t>
            </w:r>
          </w:p>
        </w:tc>
        <w:tc>
          <w:tcPr>
            <w:tcW w:w="0" w:type="auto"/>
            <w:shd w:val="clear" w:color="auto" w:fill="FFFFFF"/>
            <w:hideMark/>
          </w:tcPr>
          <w:p w14:paraId="176CD720" w14:textId="77777777" w:rsidR="00000000" w:rsidRDefault="002F725F">
            <w:pPr>
              <w:jc w:val="center"/>
              <w:rPr>
                <w:rFonts w:eastAsia="Times New Roman"/>
                <w:sz w:val="20"/>
                <w:szCs w:val="20"/>
              </w:rPr>
            </w:pPr>
            <w:r>
              <w:rPr>
                <w:rFonts w:eastAsia="Times New Roman"/>
                <w:sz w:val="20"/>
                <w:szCs w:val="20"/>
              </w:rPr>
              <w:t>37</w:t>
            </w:r>
          </w:p>
        </w:tc>
      </w:tr>
      <w:tr w:rsidR="00000000" w14:paraId="1B53134A" w14:textId="77777777">
        <w:trPr>
          <w:divId w:val="415980837"/>
        </w:trPr>
        <w:tc>
          <w:tcPr>
            <w:tcW w:w="0" w:type="auto"/>
            <w:shd w:val="clear" w:color="auto" w:fill="CCEEFF"/>
            <w:tcMar>
              <w:top w:w="0" w:type="dxa"/>
              <w:left w:w="180" w:type="dxa"/>
              <w:bottom w:w="0" w:type="dxa"/>
              <w:right w:w="0" w:type="dxa"/>
            </w:tcMar>
            <w:hideMark/>
          </w:tcPr>
          <w:p w14:paraId="3574FB1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63D0FE5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63BB164A" w14:textId="77777777" w:rsidR="00000000" w:rsidRDefault="002F725F">
            <w:pPr>
              <w:jc w:val="center"/>
              <w:rPr>
                <w:rFonts w:eastAsia="Times New Roman"/>
                <w:sz w:val="20"/>
                <w:szCs w:val="20"/>
              </w:rPr>
            </w:pPr>
            <w:r>
              <w:rPr>
                <w:rFonts w:eastAsia="Times New Roman"/>
                <w:sz w:val="20"/>
                <w:szCs w:val="20"/>
              </w:rPr>
              <w:t> </w:t>
            </w:r>
          </w:p>
        </w:tc>
      </w:tr>
      <w:tr w:rsidR="00000000" w14:paraId="61405029" w14:textId="77777777">
        <w:trPr>
          <w:divId w:val="415980837"/>
        </w:trPr>
        <w:tc>
          <w:tcPr>
            <w:tcW w:w="0" w:type="auto"/>
            <w:gridSpan w:val="2"/>
            <w:shd w:val="clear" w:color="auto" w:fill="FFFFFF"/>
            <w:hideMark/>
          </w:tcPr>
          <w:p w14:paraId="5D17C1C4" w14:textId="77777777" w:rsidR="00000000" w:rsidRDefault="002F725F">
            <w:pPr>
              <w:rPr>
                <w:rFonts w:eastAsia="Times New Roman"/>
                <w:sz w:val="20"/>
                <w:szCs w:val="20"/>
              </w:rPr>
            </w:pPr>
            <w:r>
              <w:rPr>
                <w:rFonts w:eastAsia="Times New Roman"/>
                <w:b/>
                <w:bCs/>
                <w:caps/>
                <w:sz w:val="20"/>
                <w:szCs w:val="20"/>
              </w:rPr>
              <w:t>Article VII ADDITIONAL AGREEMENTS</w:t>
            </w:r>
          </w:p>
        </w:tc>
        <w:tc>
          <w:tcPr>
            <w:tcW w:w="0" w:type="auto"/>
            <w:shd w:val="clear" w:color="auto" w:fill="FFFFFF"/>
            <w:hideMark/>
          </w:tcPr>
          <w:p w14:paraId="73716BC5" w14:textId="77777777" w:rsidR="00000000" w:rsidRDefault="002F725F">
            <w:pPr>
              <w:jc w:val="center"/>
              <w:rPr>
                <w:rFonts w:eastAsia="Times New Roman"/>
                <w:sz w:val="20"/>
                <w:szCs w:val="20"/>
              </w:rPr>
            </w:pPr>
            <w:r>
              <w:rPr>
                <w:rFonts w:eastAsia="Times New Roman"/>
                <w:b/>
                <w:bCs/>
                <w:caps/>
                <w:sz w:val="20"/>
                <w:szCs w:val="20"/>
              </w:rPr>
              <w:t>38</w:t>
            </w:r>
          </w:p>
        </w:tc>
      </w:tr>
      <w:tr w:rsidR="00000000" w14:paraId="42D03BCC" w14:textId="77777777">
        <w:trPr>
          <w:divId w:val="415980837"/>
        </w:trPr>
        <w:tc>
          <w:tcPr>
            <w:tcW w:w="0" w:type="auto"/>
            <w:shd w:val="clear" w:color="auto" w:fill="CCEEFF"/>
            <w:tcMar>
              <w:top w:w="0" w:type="dxa"/>
              <w:left w:w="180" w:type="dxa"/>
              <w:bottom w:w="0" w:type="dxa"/>
              <w:right w:w="0" w:type="dxa"/>
            </w:tcMar>
            <w:hideMark/>
          </w:tcPr>
          <w:p w14:paraId="7B502EC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4E205C9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4A8DF3D6" w14:textId="77777777" w:rsidR="00000000" w:rsidRDefault="002F725F">
            <w:pPr>
              <w:jc w:val="center"/>
              <w:rPr>
                <w:rFonts w:eastAsia="Times New Roman"/>
                <w:sz w:val="20"/>
                <w:szCs w:val="20"/>
              </w:rPr>
            </w:pPr>
            <w:r>
              <w:rPr>
                <w:rFonts w:eastAsia="Times New Roman"/>
                <w:sz w:val="20"/>
                <w:szCs w:val="20"/>
              </w:rPr>
              <w:t> </w:t>
            </w:r>
          </w:p>
        </w:tc>
      </w:tr>
      <w:tr w:rsidR="00000000" w14:paraId="350F07BB" w14:textId="77777777">
        <w:trPr>
          <w:divId w:val="415980837"/>
        </w:trPr>
        <w:tc>
          <w:tcPr>
            <w:tcW w:w="0" w:type="auto"/>
            <w:shd w:val="clear" w:color="auto" w:fill="FFFFFF"/>
            <w:tcMar>
              <w:top w:w="0" w:type="dxa"/>
              <w:left w:w="180" w:type="dxa"/>
              <w:bottom w:w="0" w:type="dxa"/>
              <w:right w:w="0" w:type="dxa"/>
            </w:tcMar>
            <w:hideMark/>
          </w:tcPr>
          <w:p w14:paraId="4992DFE5" w14:textId="77777777" w:rsidR="00000000" w:rsidRDefault="002F725F">
            <w:pPr>
              <w:rPr>
                <w:rFonts w:eastAsia="Times New Roman"/>
                <w:sz w:val="20"/>
                <w:szCs w:val="20"/>
              </w:rPr>
            </w:pPr>
            <w:r>
              <w:rPr>
                <w:rFonts w:eastAsia="Times New Roman"/>
                <w:sz w:val="20"/>
                <w:szCs w:val="20"/>
              </w:rPr>
              <w:t>Section 7.1</w:t>
            </w:r>
          </w:p>
        </w:tc>
        <w:tc>
          <w:tcPr>
            <w:tcW w:w="0" w:type="auto"/>
            <w:shd w:val="clear" w:color="auto" w:fill="FFFFFF"/>
            <w:hideMark/>
          </w:tcPr>
          <w:p w14:paraId="22A4256A" w14:textId="77777777" w:rsidR="00000000" w:rsidRDefault="002F725F">
            <w:pPr>
              <w:rPr>
                <w:rFonts w:eastAsia="Times New Roman"/>
                <w:sz w:val="20"/>
                <w:szCs w:val="20"/>
              </w:rPr>
            </w:pPr>
            <w:r>
              <w:rPr>
                <w:rFonts w:eastAsia="Times New Roman"/>
                <w:sz w:val="20"/>
                <w:szCs w:val="20"/>
              </w:rPr>
              <w:t>SEC Filings; Other Actions</w:t>
            </w:r>
          </w:p>
        </w:tc>
        <w:tc>
          <w:tcPr>
            <w:tcW w:w="0" w:type="auto"/>
            <w:shd w:val="clear" w:color="auto" w:fill="FFFFFF"/>
            <w:hideMark/>
          </w:tcPr>
          <w:p w14:paraId="0E3C2974" w14:textId="77777777" w:rsidR="00000000" w:rsidRDefault="002F725F">
            <w:pPr>
              <w:jc w:val="center"/>
              <w:rPr>
                <w:rFonts w:eastAsia="Times New Roman"/>
                <w:sz w:val="20"/>
                <w:szCs w:val="20"/>
              </w:rPr>
            </w:pPr>
            <w:r>
              <w:rPr>
                <w:rFonts w:eastAsia="Times New Roman"/>
                <w:sz w:val="20"/>
                <w:szCs w:val="20"/>
              </w:rPr>
              <w:t>38</w:t>
            </w:r>
          </w:p>
        </w:tc>
      </w:tr>
      <w:tr w:rsidR="00000000" w14:paraId="7317B543" w14:textId="77777777">
        <w:trPr>
          <w:divId w:val="415980837"/>
        </w:trPr>
        <w:tc>
          <w:tcPr>
            <w:tcW w:w="0" w:type="auto"/>
            <w:shd w:val="clear" w:color="auto" w:fill="CCEEFF"/>
            <w:tcMar>
              <w:top w:w="0" w:type="dxa"/>
              <w:left w:w="180" w:type="dxa"/>
              <w:bottom w:w="0" w:type="dxa"/>
              <w:right w:w="0" w:type="dxa"/>
            </w:tcMar>
            <w:hideMark/>
          </w:tcPr>
          <w:p w14:paraId="1CA85A71" w14:textId="77777777" w:rsidR="00000000" w:rsidRDefault="002F725F">
            <w:pPr>
              <w:rPr>
                <w:rFonts w:eastAsia="Times New Roman"/>
                <w:sz w:val="20"/>
                <w:szCs w:val="20"/>
              </w:rPr>
            </w:pPr>
            <w:r>
              <w:rPr>
                <w:rFonts w:eastAsia="Times New Roman"/>
                <w:sz w:val="20"/>
                <w:szCs w:val="20"/>
              </w:rPr>
              <w:t>Section 7.2</w:t>
            </w:r>
          </w:p>
        </w:tc>
        <w:tc>
          <w:tcPr>
            <w:tcW w:w="0" w:type="auto"/>
            <w:shd w:val="clear" w:color="auto" w:fill="CCEEFF"/>
            <w:hideMark/>
          </w:tcPr>
          <w:p w14:paraId="01A25BCC" w14:textId="77777777" w:rsidR="00000000" w:rsidRDefault="002F725F">
            <w:pPr>
              <w:rPr>
                <w:rFonts w:eastAsia="Times New Roman"/>
                <w:sz w:val="20"/>
                <w:szCs w:val="20"/>
              </w:rPr>
            </w:pPr>
            <w:r>
              <w:rPr>
                <w:rFonts w:eastAsia="Times New Roman"/>
                <w:sz w:val="20"/>
                <w:szCs w:val="20"/>
              </w:rPr>
              <w:t>Shareholders’ Meeting</w:t>
            </w:r>
          </w:p>
        </w:tc>
        <w:tc>
          <w:tcPr>
            <w:tcW w:w="0" w:type="auto"/>
            <w:shd w:val="clear" w:color="auto" w:fill="CCEEFF"/>
            <w:hideMark/>
          </w:tcPr>
          <w:p w14:paraId="4CA8642B" w14:textId="77777777" w:rsidR="00000000" w:rsidRDefault="002F725F">
            <w:pPr>
              <w:jc w:val="center"/>
              <w:rPr>
                <w:rFonts w:eastAsia="Times New Roman"/>
                <w:sz w:val="20"/>
                <w:szCs w:val="20"/>
              </w:rPr>
            </w:pPr>
            <w:r>
              <w:rPr>
                <w:rFonts w:eastAsia="Times New Roman"/>
                <w:sz w:val="20"/>
                <w:szCs w:val="20"/>
              </w:rPr>
              <w:t>39</w:t>
            </w:r>
          </w:p>
        </w:tc>
      </w:tr>
      <w:tr w:rsidR="00000000" w14:paraId="2F866B17" w14:textId="77777777">
        <w:trPr>
          <w:divId w:val="415980837"/>
        </w:trPr>
        <w:tc>
          <w:tcPr>
            <w:tcW w:w="0" w:type="auto"/>
            <w:shd w:val="clear" w:color="auto" w:fill="FFFFFF"/>
            <w:tcMar>
              <w:top w:w="0" w:type="dxa"/>
              <w:left w:w="180" w:type="dxa"/>
              <w:bottom w:w="0" w:type="dxa"/>
              <w:right w:w="0" w:type="dxa"/>
            </w:tcMar>
            <w:hideMark/>
          </w:tcPr>
          <w:p w14:paraId="6F91C95E" w14:textId="77777777" w:rsidR="00000000" w:rsidRDefault="002F725F">
            <w:pPr>
              <w:rPr>
                <w:rFonts w:eastAsia="Times New Roman"/>
                <w:sz w:val="20"/>
                <w:szCs w:val="20"/>
              </w:rPr>
            </w:pPr>
            <w:r>
              <w:rPr>
                <w:rFonts w:eastAsia="Times New Roman"/>
                <w:sz w:val="20"/>
                <w:szCs w:val="20"/>
              </w:rPr>
              <w:lastRenderedPageBreak/>
              <w:t>Section 7.3</w:t>
            </w:r>
          </w:p>
        </w:tc>
        <w:tc>
          <w:tcPr>
            <w:tcW w:w="0" w:type="auto"/>
            <w:shd w:val="clear" w:color="auto" w:fill="FFFFFF"/>
            <w:hideMark/>
          </w:tcPr>
          <w:p w14:paraId="46E70911" w14:textId="77777777" w:rsidR="00000000" w:rsidRDefault="002F725F">
            <w:pPr>
              <w:rPr>
                <w:rFonts w:eastAsia="Times New Roman"/>
                <w:sz w:val="20"/>
                <w:szCs w:val="20"/>
              </w:rPr>
            </w:pPr>
            <w:r>
              <w:rPr>
                <w:rFonts w:eastAsia="Times New Roman"/>
                <w:sz w:val="20"/>
                <w:szCs w:val="20"/>
              </w:rPr>
              <w:t>Access to Information</w:t>
            </w:r>
          </w:p>
        </w:tc>
        <w:tc>
          <w:tcPr>
            <w:tcW w:w="0" w:type="auto"/>
            <w:shd w:val="clear" w:color="auto" w:fill="FFFFFF"/>
            <w:hideMark/>
          </w:tcPr>
          <w:p w14:paraId="2853BD00" w14:textId="77777777" w:rsidR="00000000" w:rsidRDefault="002F725F">
            <w:pPr>
              <w:jc w:val="center"/>
              <w:rPr>
                <w:rFonts w:eastAsia="Times New Roman"/>
                <w:sz w:val="20"/>
                <w:szCs w:val="20"/>
              </w:rPr>
            </w:pPr>
            <w:r>
              <w:rPr>
                <w:rFonts w:eastAsia="Times New Roman"/>
                <w:sz w:val="20"/>
                <w:szCs w:val="20"/>
              </w:rPr>
              <w:t>39</w:t>
            </w:r>
          </w:p>
        </w:tc>
      </w:tr>
      <w:tr w:rsidR="00000000" w14:paraId="44FEF141" w14:textId="77777777">
        <w:trPr>
          <w:divId w:val="415980837"/>
        </w:trPr>
        <w:tc>
          <w:tcPr>
            <w:tcW w:w="0" w:type="auto"/>
            <w:shd w:val="clear" w:color="auto" w:fill="CCEEFF"/>
            <w:tcMar>
              <w:top w:w="0" w:type="dxa"/>
              <w:left w:w="180" w:type="dxa"/>
              <w:bottom w:w="0" w:type="dxa"/>
              <w:right w:w="0" w:type="dxa"/>
            </w:tcMar>
            <w:hideMark/>
          </w:tcPr>
          <w:p w14:paraId="52C70CC6" w14:textId="77777777" w:rsidR="00000000" w:rsidRDefault="002F725F">
            <w:pPr>
              <w:rPr>
                <w:rFonts w:eastAsia="Times New Roman"/>
                <w:sz w:val="20"/>
                <w:szCs w:val="20"/>
              </w:rPr>
            </w:pPr>
            <w:r>
              <w:rPr>
                <w:rFonts w:eastAsia="Times New Roman"/>
                <w:sz w:val="20"/>
                <w:szCs w:val="20"/>
              </w:rPr>
              <w:t>Section 7.4</w:t>
            </w:r>
          </w:p>
        </w:tc>
        <w:tc>
          <w:tcPr>
            <w:tcW w:w="0" w:type="auto"/>
            <w:shd w:val="clear" w:color="auto" w:fill="CCEEFF"/>
            <w:hideMark/>
          </w:tcPr>
          <w:p w14:paraId="3941E358" w14:textId="77777777" w:rsidR="00000000" w:rsidRDefault="002F725F">
            <w:pPr>
              <w:rPr>
                <w:rFonts w:eastAsia="Times New Roman"/>
                <w:sz w:val="20"/>
                <w:szCs w:val="20"/>
              </w:rPr>
            </w:pPr>
            <w:r>
              <w:rPr>
                <w:rFonts w:eastAsia="Times New Roman"/>
                <w:sz w:val="20"/>
                <w:szCs w:val="20"/>
              </w:rPr>
              <w:t>Publicity</w:t>
            </w:r>
          </w:p>
        </w:tc>
        <w:tc>
          <w:tcPr>
            <w:tcW w:w="0" w:type="auto"/>
            <w:shd w:val="clear" w:color="auto" w:fill="CCEEFF"/>
            <w:hideMark/>
          </w:tcPr>
          <w:p w14:paraId="2FBB7186" w14:textId="77777777" w:rsidR="00000000" w:rsidRDefault="002F725F">
            <w:pPr>
              <w:jc w:val="center"/>
              <w:rPr>
                <w:rFonts w:eastAsia="Times New Roman"/>
                <w:sz w:val="20"/>
                <w:szCs w:val="20"/>
              </w:rPr>
            </w:pPr>
            <w:r>
              <w:rPr>
                <w:rFonts w:eastAsia="Times New Roman"/>
                <w:sz w:val="20"/>
                <w:szCs w:val="20"/>
              </w:rPr>
              <w:t>39</w:t>
            </w:r>
          </w:p>
        </w:tc>
      </w:tr>
      <w:tr w:rsidR="00000000" w14:paraId="2ABEE7CE" w14:textId="77777777">
        <w:trPr>
          <w:divId w:val="415980837"/>
        </w:trPr>
        <w:tc>
          <w:tcPr>
            <w:tcW w:w="0" w:type="auto"/>
            <w:shd w:val="clear" w:color="auto" w:fill="FFFFFF"/>
            <w:tcMar>
              <w:top w:w="0" w:type="dxa"/>
              <w:left w:w="180" w:type="dxa"/>
              <w:bottom w:w="0" w:type="dxa"/>
              <w:right w:w="0" w:type="dxa"/>
            </w:tcMar>
            <w:hideMark/>
          </w:tcPr>
          <w:p w14:paraId="037A20B6" w14:textId="77777777" w:rsidR="00000000" w:rsidRDefault="002F725F">
            <w:pPr>
              <w:rPr>
                <w:rFonts w:eastAsia="Times New Roman"/>
                <w:sz w:val="20"/>
                <w:szCs w:val="20"/>
              </w:rPr>
            </w:pPr>
            <w:r>
              <w:rPr>
                <w:rFonts w:eastAsia="Times New Roman"/>
                <w:sz w:val="20"/>
                <w:szCs w:val="20"/>
              </w:rPr>
              <w:t>Section 7.5</w:t>
            </w:r>
          </w:p>
        </w:tc>
        <w:tc>
          <w:tcPr>
            <w:tcW w:w="0" w:type="auto"/>
            <w:shd w:val="clear" w:color="auto" w:fill="FFFFFF"/>
            <w:hideMark/>
          </w:tcPr>
          <w:p w14:paraId="7F458E46" w14:textId="77777777" w:rsidR="00000000" w:rsidRDefault="002F725F">
            <w:pPr>
              <w:rPr>
                <w:rFonts w:eastAsia="Times New Roman"/>
                <w:sz w:val="20"/>
                <w:szCs w:val="20"/>
              </w:rPr>
            </w:pPr>
            <w:r>
              <w:rPr>
                <w:rFonts w:eastAsia="Times New Roman"/>
                <w:sz w:val="20"/>
                <w:szCs w:val="20"/>
              </w:rPr>
              <w:t>Directors’ and Officers’ Insurance and Indemnification</w:t>
            </w:r>
          </w:p>
        </w:tc>
        <w:tc>
          <w:tcPr>
            <w:tcW w:w="0" w:type="auto"/>
            <w:shd w:val="clear" w:color="auto" w:fill="FFFFFF"/>
            <w:hideMark/>
          </w:tcPr>
          <w:p w14:paraId="2A70216C" w14:textId="77777777" w:rsidR="00000000" w:rsidRDefault="002F725F">
            <w:pPr>
              <w:jc w:val="center"/>
              <w:rPr>
                <w:rFonts w:eastAsia="Times New Roman"/>
                <w:sz w:val="20"/>
                <w:szCs w:val="20"/>
              </w:rPr>
            </w:pPr>
            <w:r>
              <w:rPr>
                <w:rFonts w:eastAsia="Times New Roman"/>
                <w:sz w:val="20"/>
                <w:szCs w:val="20"/>
              </w:rPr>
              <w:t>40</w:t>
            </w:r>
          </w:p>
        </w:tc>
      </w:tr>
      <w:tr w:rsidR="00000000" w14:paraId="7FC8E801" w14:textId="77777777">
        <w:trPr>
          <w:divId w:val="415980837"/>
        </w:trPr>
        <w:tc>
          <w:tcPr>
            <w:tcW w:w="0" w:type="auto"/>
            <w:shd w:val="clear" w:color="auto" w:fill="CCEEFF"/>
            <w:tcMar>
              <w:top w:w="0" w:type="dxa"/>
              <w:left w:w="180" w:type="dxa"/>
              <w:bottom w:w="0" w:type="dxa"/>
              <w:right w:w="0" w:type="dxa"/>
            </w:tcMar>
            <w:hideMark/>
          </w:tcPr>
          <w:p w14:paraId="78CF8CD2" w14:textId="77777777" w:rsidR="00000000" w:rsidRDefault="002F725F">
            <w:pPr>
              <w:rPr>
                <w:rFonts w:eastAsia="Times New Roman"/>
                <w:sz w:val="20"/>
                <w:szCs w:val="20"/>
              </w:rPr>
            </w:pPr>
            <w:r>
              <w:rPr>
                <w:rFonts w:eastAsia="Times New Roman"/>
                <w:sz w:val="20"/>
                <w:szCs w:val="20"/>
              </w:rPr>
              <w:t>Section 7.6</w:t>
            </w:r>
          </w:p>
        </w:tc>
        <w:tc>
          <w:tcPr>
            <w:tcW w:w="0" w:type="auto"/>
            <w:shd w:val="clear" w:color="auto" w:fill="CCEEFF"/>
            <w:hideMark/>
          </w:tcPr>
          <w:p w14:paraId="4D5A3CF7" w14:textId="77777777" w:rsidR="00000000" w:rsidRDefault="002F725F">
            <w:pPr>
              <w:rPr>
                <w:rFonts w:eastAsia="Times New Roman"/>
                <w:sz w:val="20"/>
                <w:szCs w:val="20"/>
              </w:rPr>
            </w:pPr>
            <w:r>
              <w:rPr>
                <w:rFonts w:eastAsia="Times New Roman"/>
                <w:sz w:val="20"/>
                <w:szCs w:val="20"/>
              </w:rPr>
              <w:t>Financing</w:t>
            </w:r>
          </w:p>
        </w:tc>
        <w:tc>
          <w:tcPr>
            <w:tcW w:w="0" w:type="auto"/>
            <w:shd w:val="clear" w:color="auto" w:fill="CCEEFF"/>
            <w:hideMark/>
          </w:tcPr>
          <w:p w14:paraId="19E1A022" w14:textId="77777777" w:rsidR="00000000" w:rsidRDefault="002F725F">
            <w:pPr>
              <w:jc w:val="center"/>
              <w:rPr>
                <w:rFonts w:eastAsia="Times New Roman"/>
                <w:sz w:val="20"/>
                <w:szCs w:val="20"/>
              </w:rPr>
            </w:pPr>
            <w:r>
              <w:rPr>
                <w:rFonts w:eastAsia="Times New Roman"/>
                <w:sz w:val="20"/>
                <w:szCs w:val="20"/>
              </w:rPr>
              <w:t>42</w:t>
            </w:r>
          </w:p>
        </w:tc>
      </w:tr>
      <w:tr w:rsidR="00000000" w14:paraId="2AFAA4D9" w14:textId="77777777">
        <w:trPr>
          <w:divId w:val="415980837"/>
        </w:trPr>
        <w:tc>
          <w:tcPr>
            <w:tcW w:w="0" w:type="auto"/>
            <w:shd w:val="clear" w:color="auto" w:fill="FFFFFF"/>
            <w:tcMar>
              <w:top w:w="0" w:type="dxa"/>
              <w:left w:w="180" w:type="dxa"/>
              <w:bottom w:w="0" w:type="dxa"/>
              <w:right w:w="0" w:type="dxa"/>
            </w:tcMar>
            <w:hideMark/>
          </w:tcPr>
          <w:p w14:paraId="59795C48" w14:textId="77777777" w:rsidR="00000000" w:rsidRDefault="002F725F">
            <w:pPr>
              <w:rPr>
                <w:rFonts w:eastAsia="Times New Roman"/>
                <w:sz w:val="20"/>
                <w:szCs w:val="20"/>
              </w:rPr>
            </w:pPr>
            <w:r>
              <w:rPr>
                <w:rFonts w:eastAsia="Times New Roman"/>
                <w:sz w:val="20"/>
                <w:szCs w:val="20"/>
              </w:rPr>
              <w:t>Section 7.7</w:t>
            </w:r>
          </w:p>
        </w:tc>
        <w:tc>
          <w:tcPr>
            <w:tcW w:w="0" w:type="auto"/>
            <w:shd w:val="clear" w:color="auto" w:fill="FFFFFF"/>
            <w:hideMark/>
          </w:tcPr>
          <w:p w14:paraId="1FD621FB" w14:textId="77777777" w:rsidR="00000000" w:rsidRDefault="002F725F">
            <w:pPr>
              <w:rPr>
                <w:rFonts w:eastAsia="Times New Roman"/>
                <w:sz w:val="20"/>
                <w:szCs w:val="20"/>
              </w:rPr>
            </w:pPr>
            <w:r>
              <w:rPr>
                <w:rFonts w:eastAsia="Times New Roman"/>
                <w:sz w:val="20"/>
                <w:szCs w:val="20"/>
              </w:rPr>
              <w:t>Support Agreement</w:t>
            </w:r>
          </w:p>
        </w:tc>
        <w:tc>
          <w:tcPr>
            <w:tcW w:w="0" w:type="auto"/>
            <w:shd w:val="clear" w:color="auto" w:fill="FFFFFF"/>
            <w:hideMark/>
          </w:tcPr>
          <w:p w14:paraId="74E25C44" w14:textId="77777777" w:rsidR="00000000" w:rsidRDefault="002F725F">
            <w:pPr>
              <w:jc w:val="center"/>
              <w:rPr>
                <w:rFonts w:eastAsia="Times New Roman"/>
                <w:sz w:val="20"/>
                <w:szCs w:val="20"/>
              </w:rPr>
            </w:pPr>
            <w:r>
              <w:rPr>
                <w:rFonts w:eastAsia="Times New Roman"/>
                <w:sz w:val="20"/>
                <w:szCs w:val="20"/>
              </w:rPr>
              <w:t>42</w:t>
            </w:r>
          </w:p>
        </w:tc>
      </w:tr>
      <w:tr w:rsidR="00000000" w14:paraId="1EF53D6C" w14:textId="77777777">
        <w:trPr>
          <w:divId w:val="415980837"/>
        </w:trPr>
        <w:tc>
          <w:tcPr>
            <w:tcW w:w="0" w:type="auto"/>
            <w:shd w:val="clear" w:color="auto" w:fill="CCEEFF"/>
            <w:tcMar>
              <w:top w:w="0" w:type="dxa"/>
              <w:left w:w="180" w:type="dxa"/>
              <w:bottom w:w="0" w:type="dxa"/>
              <w:right w:w="0" w:type="dxa"/>
            </w:tcMar>
            <w:hideMark/>
          </w:tcPr>
          <w:p w14:paraId="6C92F451" w14:textId="77777777" w:rsidR="00000000" w:rsidRDefault="002F725F">
            <w:pPr>
              <w:rPr>
                <w:rFonts w:eastAsia="Times New Roman"/>
                <w:sz w:val="20"/>
                <w:szCs w:val="20"/>
              </w:rPr>
            </w:pPr>
            <w:r>
              <w:rPr>
                <w:rFonts w:eastAsia="Times New Roman"/>
                <w:sz w:val="20"/>
                <w:szCs w:val="20"/>
              </w:rPr>
              <w:t>Section 7.8</w:t>
            </w:r>
          </w:p>
        </w:tc>
        <w:tc>
          <w:tcPr>
            <w:tcW w:w="0" w:type="auto"/>
            <w:shd w:val="clear" w:color="auto" w:fill="CCEEFF"/>
            <w:hideMark/>
          </w:tcPr>
          <w:p w14:paraId="5CB3BF4F" w14:textId="77777777" w:rsidR="00000000" w:rsidRDefault="002F725F">
            <w:pPr>
              <w:rPr>
                <w:rFonts w:eastAsia="Times New Roman"/>
                <w:sz w:val="20"/>
                <w:szCs w:val="20"/>
              </w:rPr>
            </w:pPr>
            <w:r>
              <w:rPr>
                <w:rFonts w:eastAsia="Times New Roman"/>
                <w:sz w:val="20"/>
                <w:szCs w:val="20"/>
              </w:rPr>
              <w:t>Reasonable Best Efforts</w:t>
            </w:r>
          </w:p>
        </w:tc>
        <w:tc>
          <w:tcPr>
            <w:tcW w:w="0" w:type="auto"/>
            <w:shd w:val="clear" w:color="auto" w:fill="CCEEFF"/>
            <w:hideMark/>
          </w:tcPr>
          <w:p w14:paraId="76BF2B83" w14:textId="77777777" w:rsidR="00000000" w:rsidRDefault="002F725F">
            <w:pPr>
              <w:jc w:val="center"/>
              <w:rPr>
                <w:rFonts w:eastAsia="Times New Roman"/>
                <w:sz w:val="20"/>
                <w:szCs w:val="20"/>
              </w:rPr>
            </w:pPr>
            <w:r>
              <w:rPr>
                <w:rFonts w:eastAsia="Times New Roman"/>
                <w:sz w:val="20"/>
                <w:szCs w:val="20"/>
              </w:rPr>
              <w:t>42</w:t>
            </w:r>
          </w:p>
        </w:tc>
      </w:tr>
      <w:tr w:rsidR="00000000" w14:paraId="76D2A63A" w14:textId="77777777">
        <w:trPr>
          <w:divId w:val="415980837"/>
        </w:trPr>
        <w:tc>
          <w:tcPr>
            <w:tcW w:w="0" w:type="auto"/>
            <w:shd w:val="clear" w:color="auto" w:fill="FFFFFF"/>
            <w:tcMar>
              <w:top w:w="0" w:type="dxa"/>
              <w:left w:w="180" w:type="dxa"/>
              <w:bottom w:w="0" w:type="dxa"/>
              <w:right w:w="0" w:type="dxa"/>
            </w:tcMar>
            <w:hideMark/>
          </w:tcPr>
          <w:p w14:paraId="41422363" w14:textId="77777777" w:rsidR="00000000" w:rsidRDefault="002F725F">
            <w:pPr>
              <w:rPr>
                <w:rFonts w:eastAsia="Times New Roman"/>
                <w:sz w:val="20"/>
                <w:szCs w:val="20"/>
              </w:rPr>
            </w:pPr>
            <w:r>
              <w:rPr>
                <w:rFonts w:eastAsia="Times New Roman"/>
                <w:sz w:val="20"/>
                <w:szCs w:val="20"/>
              </w:rPr>
              <w:t>Section 7.9</w:t>
            </w:r>
          </w:p>
        </w:tc>
        <w:tc>
          <w:tcPr>
            <w:tcW w:w="0" w:type="auto"/>
            <w:shd w:val="clear" w:color="auto" w:fill="FFFFFF"/>
            <w:hideMark/>
          </w:tcPr>
          <w:p w14:paraId="21546DED" w14:textId="77777777" w:rsidR="00000000" w:rsidRDefault="002F725F">
            <w:pPr>
              <w:rPr>
                <w:rFonts w:eastAsia="Times New Roman"/>
                <w:sz w:val="20"/>
                <w:szCs w:val="20"/>
              </w:rPr>
            </w:pPr>
            <w:r>
              <w:rPr>
                <w:rFonts w:eastAsia="Times New Roman"/>
                <w:sz w:val="20"/>
                <w:szCs w:val="20"/>
              </w:rPr>
              <w:t>Antitakeover Statutes</w:t>
            </w:r>
          </w:p>
        </w:tc>
        <w:tc>
          <w:tcPr>
            <w:tcW w:w="0" w:type="auto"/>
            <w:shd w:val="clear" w:color="auto" w:fill="FFFFFF"/>
            <w:hideMark/>
          </w:tcPr>
          <w:p w14:paraId="3F09D239" w14:textId="77777777" w:rsidR="00000000" w:rsidRDefault="002F725F">
            <w:pPr>
              <w:jc w:val="center"/>
              <w:rPr>
                <w:rFonts w:eastAsia="Times New Roman"/>
                <w:sz w:val="20"/>
                <w:szCs w:val="20"/>
              </w:rPr>
            </w:pPr>
            <w:r>
              <w:rPr>
                <w:rFonts w:eastAsia="Times New Roman"/>
                <w:sz w:val="20"/>
                <w:szCs w:val="20"/>
              </w:rPr>
              <w:t>43</w:t>
            </w:r>
          </w:p>
        </w:tc>
      </w:tr>
      <w:tr w:rsidR="00000000" w14:paraId="2C982AEE" w14:textId="77777777">
        <w:trPr>
          <w:divId w:val="415980837"/>
        </w:trPr>
        <w:tc>
          <w:tcPr>
            <w:tcW w:w="0" w:type="auto"/>
            <w:shd w:val="clear" w:color="auto" w:fill="CCEEFF"/>
            <w:tcMar>
              <w:top w:w="0" w:type="dxa"/>
              <w:left w:w="180" w:type="dxa"/>
              <w:bottom w:w="0" w:type="dxa"/>
              <w:right w:w="0" w:type="dxa"/>
            </w:tcMar>
            <w:hideMark/>
          </w:tcPr>
          <w:p w14:paraId="0A3FF0E4" w14:textId="77777777" w:rsidR="00000000" w:rsidRDefault="002F725F">
            <w:pPr>
              <w:rPr>
                <w:rFonts w:eastAsia="Times New Roman"/>
                <w:sz w:val="20"/>
                <w:szCs w:val="20"/>
              </w:rPr>
            </w:pPr>
            <w:r>
              <w:rPr>
                <w:rFonts w:eastAsia="Times New Roman"/>
                <w:sz w:val="20"/>
                <w:szCs w:val="20"/>
              </w:rPr>
              <w:t>Section 7.10</w:t>
            </w:r>
          </w:p>
        </w:tc>
        <w:tc>
          <w:tcPr>
            <w:tcW w:w="0" w:type="auto"/>
            <w:shd w:val="clear" w:color="auto" w:fill="CCEEFF"/>
            <w:hideMark/>
          </w:tcPr>
          <w:p w14:paraId="52090B02" w14:textId="77777777" w:rsidR="00000000" w:rsidRDefault="002F725F">
            <w:pPr>
              <w:rPr>
                <w:rFonts w:eastAsia="Times New Roman"/>
                <w:sz w:val="20"/>
                <w:szCs w:val="20"/>
              </w:rPr>
            </w:pPr>
            <w:r>
              <w:rPr>
                <w:rFonts w:eastAsia="Times New Roman"/>
                <w:sz w:val="20"/>
                <w:szCs w:val="20"/>
              </w:rPr>
              <w:t>Deregistration</w:t>
            </w:r>
          </w:p>
        </w:tc>
        <w:tc>
          <w:tcPr>
            <w:tcW w:w="0" w:type="auto"/>
            <w:shd w:val="clear" w:color="auto" w:fill="CCEEFF"/>
            <w:hideMark/>
          </w:tcPr>
          <w:p w14:paraId="3FF81DB3" w14:textId="77777777" w:rsidR="00000000" w:rsidRDefault="002F725F">
            <w:pPr>
              <w:jc w:val="center"/>
              <w:rPr>
                <w:rFonts w:eastAsia="Times New Roman"/>
                <w:sz w:val="20"/>
                <w:szCs w:val="20"/>
              </w:rPr>
            </w:pPr>
            <w:r>
              <w:rPr>
                <w:rFonts w:eastAsia="Times New Roman"/>
                <w:sz w:val="20"/>
                <w:szCs w:val="20"/>
              </w:rPr>
              <w:t>43</w:t>
            </w:r>
          </w:p>
        </w:tc>
      </w:tr>
      <w:tr w:rsidR="00000000" w14:paraId="7949C710" w14:textId="77777777">
        <w:trPr>
          <w:divId w:val="415980837"/>
        </w:trPr>
        <w:tc>
          <w:tcPr>
            <w:tcW w:w="0" w:type="auto"/>
            <w:shd w:val="clear" w:color="auto" w:fill="FFFFFF"/>
            <w:tcMar>
              <w:top w:w="0" w:type="dxa"/>
              <w:left w:w="180" w:type="dxa"/>
              <w:bottom w:w="0" w:type="dxa"/>
              <w:right w:w="0" w:type="dxa"/>
            </w:tcMar>
            <w:hideMark/>
          </w:tcPr>
          <w:p w14:paraId="64B3AA33" w14:textId="77777777" w:rsidR="00000000" w:rsidRDefault="002F725F">
            <w:pPr>
              <w:rPr>
                <w:rFonts w:eastAsia="Times New Roman"/>
                <w:sz w:val="20"/>
                <w:szCs w:val="20"/>
              </w:rPr>
            </w:pPr>
            <w:r>
              <w:rPr>
                <w:rFonts w:eastAsia="Times New Roman"/>
                <w:sz w:val="20"/>
                <w:szCs w:val="20"/>
              </w:rPr>
              <w:t>Section 7.11</w:t>
            </w:r>
          </w:p>
        </w:tc>
        <w:tc>
          <w:tcPr>
            <w:tcW w:w="0" w:type="auto"/>
            <w:shd w:val="clear" w:color="auto" w:fill="FFFFFF"/>
            <w:hideMark/>
          </w:tcPr>
          <w:p w14:paraId="5B955A24" w14:textId="77777777" w:rsidR="00000000" w:rsidRDefault="002F725F">
            <w:pPr>
              <w:rPr>
                <w:rFonts w:eastAsia="Times New Roman"/>
                <w:sz w:val="20"/>
                <w:szCs w:val="20"/>
              </w:rPr>
            </w:pPr>
            <w:r>
              <w:rPr>
                <w:rFonts w:eastAsia="Times New Roman"/>
                <w:sz w:val="20"/>
                <w:szCs w:val="20"/>
              </w:rPr>
              <w:t>Obligations of Merger Sub</w:t>
            </w:r>
          </w:p>
        </w:tc>
        <w:tc>
          <w:tcPr>
            <w:tcW w:w="0" w:type="auto"/>
            <w:shd w:val="clear" w:color="auto" w:fill="FFFFFF"/>
            <w:hideMark/>
          </w:tcPr>
          <w:p w14:paraId="0BAFFB56" w14:textId="77777777" w:rsidR="00000000" w:rsidRDefault="002F725F">
            <w:pPr>
              <w:jc w:val="center"/>
              <w:rPr>
                <w:rFonts w:eastAsia="Times New Roman"/>
                <w:sz w:val="20"/>
                <w:szCs w:val="20"/>
              </w:rPr>
            </w:pPr>
            <w:r>
              <w:rPr>
                <w:rFonts w:eastAsia="Times New Roman"/>
                <w:sz w:val="20"/>
                <w:szCs w:val="20"/>
              </w:rPr>
              <w:t>43</w:t>
            </w:r>
          </w:p>
        </w:tc>
      </w:tr>
      <w:tr w:rsidR="00000000" w14:paraId="1E6AE690" w14:textId="77777777">
        <w:trPr>
          <w:divId w:val="415980837"/>
        </w:trPr>
        <w:tc>
          <w:tcPr>
            <w:tcW w:w="0" w:type="auto"/>
            <w:shd w:val="clear" w:color="auto" w:fill="CCEEFF"/>
            <w:tcMar>
              <w:top w:w="0" w:type="dxa"/>
              <w:left w:w="180" w:type="dxa"/>
              <w:bottom w:w="0" w:type="dxa"/>
              <w:right w:w="0" w:type="dxa"/>
            </w:tcMar>
            <w:hideMark/>
          </w:tcPr>
          <w:p w14:paraId="1E66B331" w14:textId="77777777" w:rsidR="00000000" w:rsidRDefault="002F725F">
            <w:pPr>
              <w:rPr>
                <w:rFonts w:eastAsia="Times New Roman"/>
                <w:sz w:val="20"/>
                <w:szCs w:val="20"/>
              </w:rPr>
            </w:pPr>
            <w:r>
              <w:rPr>
                <w:rFonts w:eastAsia="Times New Roman"/>
                <w:sz w:val="20"/>
                <w:szCs w:val="20"/>
              </w:rPr>
              <w:t>Section 7.12</w:t>
            </w:r>
          </w:p>
        </w:tc>
        <w:tc>
          <w:tcPr>
            <w:tcW w:w="0" w:type="auto"/>
            <w:shd w:val="clear" w:color="auto" w:fill="CCEEFF"/>
            <w:hideMark/>
          </w:tcPr>
          <w:p w14:paraId="64F5145F" w14:textId="77777777" w:rsidR="00000000" w:rsidRDefault="002F725F">
            <w:pPr>
              <w:rPr>
                <w:rFonts w:eastAsia="Times New Roman"/>
                <w:sz w:val="20"/>
                <w:szCs w:val="20"/>
              </w:rPr>
            </w:pPr>
            <w:r>
              <w:rPr>
                <w:rFonts w:eastAsia="Times New Roman"/>
                <w:sz w:val="20"/>
                <w:szCs w:val="20"/>
              </w:rPr>
              <w:t>Participation in Litigation</w:t>
            </w:r>
          </w:p>
        </w:tc>
        <w:tc>
          <w:tcPr>
            <w:tcW w:w="0" w:type="auto"/>
            <w:shd w:val="clear" w:color="auto" w:fill="CCEEFF"/>
            <w:hideMark/>
          </w:tcPr>
          <w:p w14:paraId="291B7BD8" w14:textId="77777777" w:rsidR="00000000" w:rsidRDefault="002F725F">
            <w:pPr>
              <w:jc w:val="center"/>
              <w:rPr>
                <w:rFonts w:eastAsia="Times New Roman"/>
                <w:sz w:val="20"/>
                <w:szCs w:val="20"/>
              </w:rPr>
            </w:pPr>
            <w:r>
              <w:rPr>
                <w:rFonts w:eastAsia="Times New Roman"/>
                <w:sz w:val="20"/>
                <w:szCs w:val="20"/>
              </w:rPr>
              <w:t>43</w:t>
            </w:r>
          </w:p>
        </w:tc>
      </w:tr>
      <w:tr w:rsidR="00000000" w14:paraId="2FC385A8" w14:textId="77777777">
        <w:trPr>
          <w:divId w:val="415980837"/>
        </w:trPr>
        <w:tc>
          <w:tcPr>
            <w:tcW w:w="0" w:type="auto"/>
            <w:shd w:val="clear" w:color="auto" w:fill="FFFFFF"/>
            <w:tcMar>
              <w:top w:w="0" w:type="dxa"/>
              <w:left w:w="180" w:type="dxa"/>
              <w:bottom w:w="0" w:type="dxa"/>
              <w:right w:w="0" w:type="dxa"/>
            </w:tcMar>
            <w:hideMark/>
          </w:tcPr>
          <w:p w14:paraId="061BD4AB" w14:textId="77777777" w:rsidR="00000000" w:rsidRDefault="002F725F">
            <w:pPr>
              <w:rPr>
                <w:rFonts w:eastAsia="Times New Roman"/>
                <w:sz w:val="20"/>
                <w:szCs w:val="20"/>
              </w:rPr>
            </w:pPr>
            <w:r>
              <w:rPr>
                <w:rFonts w:eastAsia="Times New Roman"/>
                <w:sz w:val="20"/>
                <w:szCs w:val="20"/>
              </w:rPr>
              <w:t>Section 7.13</w:t>
            </w:r>
          </w:p>
        </w:tc>
        <w:tc>
          <w:tcPr>
            <w:tcW w:w="0" w:type="auto"/>
            <w:shd w:val="clear" w:color="auto" w:fill="FFFFFF"/>
            <w:hideMark/>
          </w:tcPr>
          <w:p w14:paraId="74BA59FE" w14:textId="77777777" w:rsidR="00000000" w:rsidRDefault="002F725F">
            <w:pPr>
              <w:rPr>
                <w:rFonts w:eastAsia="Times New Roman"/>
                <w:sz w:val="20"/>
                <w:szCs w:val="20"/>
              </w:rPr>
            </w:pPr>
            <w:r>
              <w:rPr>
                <w:rFonts w:eastAsia="Times New Roman"/>
                <w:sz w:val="20"/>
                <w:szCs w:val="20"/>
              </w:rPr>
              <w:t>Resignations</w:t>
            </w:r>
          </w:p>
        </w:tc>
        <w:tc>
          <w:tcPr>
            <w:tcW w:w="0" w:type="auto"/>
            <w:shd w:val="clear" w:color="auto" w:fill="FFFFFF"/>
            <w:hideMark/>
          </w:tcPr>
          <w:p w14:paraId="2C1B561E" w14:textId="77777777" w:rsidR="00000000" w:rsidRDefault="002F725F">
            <w:pPr>
              <w:jc w:val="center"/>
              <w:rPr>
                <w:rFonts w:eastAsia="Times New Roman"/>
                <w:sz w:val="20"/>
                <w:szCs w:val="20"/>
              </w:rPr>
            </w:pPr>
            <w:r>
              <w:rPr>
                <w:rFonts w:eastAsia="Times New Roman"/>
                <w:sz w:val="20"/>
                <w:szCs w:val="20"/>
              </w:rPr>
              <w:t>43</w:t>
            </w:r>
          </w:p>
        </w:tc>
      </w:tr>
      <w:tr w:rsidR="00000000" w14:paraId="578B79BD" w14:textId="77777777">
        <w:trPr>
          <w:divId w:val="415980837"/>
        </w:trPr>
        <w:tc>
          <w:tcPr>
            <w:tcW w:w="0" w:type="auto"/>
            <w:shd w:val="clear" w:color="auto" w:fill="CCEEFF"/>
            <w:tcMar>
              <w:top w:w="0" w:type="dxa"/>
              <w:left w:w="180" w:type="dxa"/>
              <w:bottom w:w="0" w:type="dxa"/>
              <w:right w:w="0" w:type="dxa"/>
            </w:tcMar>
            <w:hideMark/>
          </w:tcPr>
          <w:p w14:paraId="7AEB3FD1" w14:textId="77777777" w:rsidR="00000000" w:rsidRDefault="002F725F">
            <w:pPr>
              <w:rPr>
                <w:rFonts w:eastAsia="Times New Roman"/>
                <w:sz w:val="20"/>
                <w:szCs w:val="20"/>
              </w:rPr>
            </w:pPr>
            <w:r>
              <w:rPr>
                <w:rFonts w:eastAsia="Times New Roman"/>
                <w:sz w:val="20"/>
                <w:szCs w:val="20"/>
              </w:rPr>
              <w:t>Section 7.14</w:t>
            </w:r>
          </w:p>
        </w:tc>
        <w:tc>
          <w:tcPr>
            <w:tcW w:w="0" w:type="auto"/>
            <w:shd w:val="clear" w:color="auto" w:fill="CCEEFF"/>
            <w:hideMark/>
          </w:tcPr>
          <w:p w14:paraId="2DFC2133" w14:textId="77777777" w:rsidR="00000000" w:rsidRDefault="002F725F">
            <w:pPr>
              <w:rPr>
                <w:rFonts w:eastAsia="Times New Roman"/>
                <w:sz w:val="20"/>
                <w:szCs w:val="20"/>
              </w:rPr>
            </w:pPr>
            <w:r>
              <w:rPr>
                <w:rFonts w:eastAsia="Times New Roman"/>
                <w:sz w:val="20"/>
                <w:szCs w:val="20"/>
              </w:rPr>
              <w:t>No Amendment to Transaction Documents</w:t>
            </w:r>
          </w:p>
        </w:tc>
        <w:tc>
          <w:tcPr>
            <w:tcW w:w="0" w:type="auto"/>
            <w:shd w:val="clear" w:color="auto" w:fill="CCEEFF"/>
            <w:hideMark/>
          </w:tcPr>
          <w:p w14:paraId="3C926723" w14:textId="77777777" w:rsidR="00000000" w:rsidRDefault="002F725F">
            <w:pPr>
              <w:jc w:val="center"/>
              <w:rPr>
                <w:rFonts w:eastAsia="Times New Roman"/>
                <w:sz w:val="20"/>
                <w:szCs w:val="20"/>
              </w:rPr>
            </w:pPr>
            <w:r>
              <w:rPr>
                <w:rFonts w:eastAsia="Times New Roman"/>
                <w:sz w:val="20"/>
                <w:szCs w:val="20"/>
              </w:rPr>
              <w:t>43</w:t>
            </w:r>
          </w:p>
        </w:tc>
      </w:tr>
      <w:tr w:rsidR="00000000" w14:paraId="5F9AA24A" w14:textId="77777777">
        <w:trPr>
          <w:divId w:val="415980837"/>
        </w:trPr>
        <w:tc>
          <w:tcPr>
            <w:tcW w:w="0" w:type="auto"/>
            <w:shd w:val="clear" w:color="auto" w:fill="FFFFFF"/>
            <w:tcMar>
              <w:top w:w="0" w:type="dxa"/>
              <w:left w:w="180" w:type="dxa"/>
              <w:bottom w:w="0" w:type="dxa"/>
              <w:right w:w="0" w:type="dxa"/>
            </w:tcMar>
            <w:hideMark/>
          </w:tcPr>
          <w:p w14:paraId="1CCA2134" w14:textId="77777777" w:rsidR="00000000" w:rsidRDefault="002F725F">
            <w:pPr>
              <w:rPr>
                <w:rFonts w:eastAsia="Times New Roman"/>
                <w:sz w:val="20"/>
                <w:szCs w:val="20"/>
              </w:rPr>
            </w:pPr>
            <w:r>
              <w:rPr>
                <w:rFonts w:eastAsia="Times New Roman"/>
                <w:sz w:val="20"/>
                <w:szCs w:val="20"/>
              </w:rPr>
              <w:t>Section 7.15</w:t>
            </w:r>
          </w:p>
        </w:tc>
        <w:tc>
          <w:tcPr>
            <w:tcW w:w="0" w:type="auto"/>
            <w:shd w:val="clear" w:color="auto" w:fill="FFFFFF"/>
            <w:hideMark/>
          </w:tcPr>
          <w:p w14:paraId="11687DB1" w14:textId="77777777" w:rsidR="00000000" w:rsidRDefault="002F725F">
            <w:pPr>
              <w:rPr>
                <w:rFonts w:eastAsia="Times New Roman"/>
                <w:sz w:val="20"/>
                <w:szCs w:val="20"/>
              </w:rPr>
            </w:pPr>
            <w:r>
              <w:rPr>
                <w:rFonts w:eastAsia="Times New Roman"/>
                <w:sz w:val="20"/>
                <w:szCs w:val="20"/>
              </w:rPr>
              <w:t>Actions Taken at Direction or Acquiescence of Parent or Merger Sub</w:t>
            </w:r>
          </w:p>
        </w:tc>
        <w:tc>
          <w:tcPr>
            <w:tcW w:w="0" w:type="auto"/>
            <w:shd w:val="clear" w:color="auto" w:fill="FFFFFF"/>
            <w:hideMark/>
          </w:tcPr>
          <w:p w14:paraId="70AAB2CF" w14:textId="77777777" w:rsidR="00000000" w:rsidRDefault="002F725F">
            <w:pPr>
              <w:jc w:val="center"/>
              <w:rPr>
                <w:rFonts w:eastAsia="Times New Roman"/>
                <w:sz w:val="20"/>
                <w:szCs w:val="20"/>
              </w:rPr>
            </w:pPr>
            <w:r>
              <w:rPr>
                <w:rFonts w:eastAsia="Times New Roman"/>
                <w:sz w:val="20"/>
                <w:szCs w:val="20"/>
              </w:rPr>
              <w:t>44</w:t>
            </w:r>
          </w:p>
        </w:tc>
      </w:tr>
      <w:tr w:rsidR="00000000" w14:paraId="2A9CB937" w14:textId="77777777">
        <w:trPr>
          <w:divId w:val="415980837"/>
        </w:trPr>
        <w:tc>
          <w:tcPr>
            <w:tcW w:w="0" w:type="auto"/>
            <w:shd w:val="clear" w:color="auto" w:fill="CCEEFF"/>
            <w:tcMar>
              <w:top w:w="0" w:type="dxa"/>
              <w:left w:w="180" w:type="dxa"/>
              <w:bottom w:w="0" w:type="dxa"/>
              <w:right w:w="0" w:type="dxa"/>
            </w:tcMar>
            <w:hideMark/>
          </w:tcPr>
          <w:p w14:paraId="4A50CAB9" w14:textId="77777777" w:rsidR="00000000" w:rsidRDefault="002F725F">
            <w:pPr>
              <w:rPr>
                <w:rFonts w:eastAsia="Times New Roman"/>
                <w:sz w:val="20"/>
                <w:szCs w:val="20"/>
              </w:rPr>
            </w:pPr>
            <w:r>
              <w:rPr>
                <w:rFonts w:eastAsia="Times New Roman"/>
                <w:sz w:val="20"/>
                <w:szCs w:val="20"/>
              </w:rPr>
              <w:t>Section 7.16</w:t>
            </w:r>
          </w:p>
        </w:tc>
        <w:tc>
          <w:tcPr>
            <w:tcW w:w="0" w:type="auto"/>
            <w:shd w:val="clear" w:color="auto" w:fill="CCEEFF"/>
            <w:hideMark/>
          </w:tcPr>
          <w:p w14:paraId="187DECE2" w14:textId="77777777" w:rsidR="00000000" w:rsidRDefault="002F725F">
            <w:pPr>
              <w:rPr>
                <w:rFonts w:eastAsia="Times New Roman"/>
                <w:sz w:val="20"/>
                <w:szCs w:val="20"/>
              </w:rPr>
            </w:pPr>
            <w:r>
              <w:rPr>
                <w:rFonts w:eastAsia="Times New Roman"/>
                <w:sz w:val="20"/>
                <w:szCs w:val="20"/>
              </w:rPr>
              <w:t>ESOP Information</w:t>
            </w:r>
          </w:p>
        </w:tc>
        <w:tc>
          <w:tcPr>
            <w:tcW w:w="0" w:type="auto"/>
            <w:shd w:val="clear" w:color="auto" w:fill="CCEEFF"/>
            <w:hideMark/>
          </w:tcPr>
          <w:p w14:paraId="31F54D21" w14:textId="77777777" w:rsidR="00000000" w:rsidRDefault="002F725F">
            <w:pPr>
              <w:jc w:val="center"/>
              <w:rPr>
                <w:rFonts w:eastAsia="Times New Roman"/>
                <w:sz w:val="20"/>
                <w:szCs w:val="20"/>
              </w:rPr>
            </w:pPr>
            <w:r>
              <w:rPr>
                <w:rFonts w:eastAsia="Times New Roman"/>
                <w:sz w:val="20"/>
                <w:szCs w:val="20"/>
              </w:rPr>
              <w:t>44</w:t>
            </w:r>
          </w:p>
        </w:tc>
      </w:tr>
      <w:tr w:rsidR="00000000" w14:paraId="5E9FE594" w14:textId="77777777">
        <w:trPr>
          <w:divId w:val="415980837"/>
        </w:trPr>
        <w:tc>
          <w:tcPr>
            <w:tcW w:w="0" w:type="auto"/>
            <w:shd w:val="clear" w:color="auto" w:fill="FFFFFF"/>
            <w:tcMar>
              <w:top w:w="0" w:type="dxa"/>
              <w:left w:w="180" w:type="dxa"/>
              <w:bottom w:w="0" w:type="dxa"/>
              <w:right w:w="0" w:type="dxa"/>
            </w:tcMar>
            <w:hideMark/>
          </w:tcPr>
          <w:p w14:paraId="597A3EBB"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41C57E4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508A2450" w14:textId="77777777" w:rsidR="00000000" w:rsidRDefault="002F725F">
            <w:pPr>
              <w:jc w:val="center"/>
              <w:rPr>
                <w:rFonts w:eastAsia="Times New Roman"/>
                <w:sz w:val="20"/>
                <w:szCs w:val="20"/>
              </w:rPr>
            </w:pPr>
            <w:r>
              <w:rPr>
                <w:rFonts w:eastAsia="Times New Roman"/>
                <w:sz w:val="20"/>
                <w:szCs w:val="20"/>
              </w:rPr>
              <w:t> </w:t>
            </w:r>
          </w:p>
        </w:tc>
      </w:tr>
      <w:tr w:rsidR="00000000" w14:paraId="250C0BB8" w14:textId="77777777">
        <w:trPr>
          <w:divId w:val="415980837"/>
        </w:trPr>
        <w:tc>
          <w:tcPr>
            <w:tcW w:w="0" w:type="auto"/>
            <w:gridSpan w:val="2"/>
            <w:shd w:val="clear" w:color="auto" w:fill="CCEEFF"/>
            <w:hideMark/>
          </w:tcPr>
          <w:p w14:paraId="37375AC6" w14:textId="77777777" w:rsidR="00000000" w:rsidRDefault="002F725F">
            <w:pPr>
              <w:rPr>
                <w:rFonts w:eastAsia="Times New Roman"/>
                <w:sz w:val="20"/>
                <w:szCs w:val="20"/>
              </w:rPr>
            </w:pPr>
            <w:r>
              <w:rPr>
                <w:rFonts w:eastAsia="Times New Roman"/>
                <w:b/>
                <w:bCs/>
                <w:caps/>
                <w:sz w:val="20"/>
                <w:szCs w:val="20"/>
              </w:rPr>
              <w:t>Article VIII CONDITIONS TO THE MERGER</w:t>
            </w:r>
          </w:p>
        </w:tc>
        <w:tc>
          <w:tcPr>
            <w:tcW w:w="0" w:type="auto"/>
            <w:shd w:val="clear" w:color="auto" w:fill="CCEEFF"/>
            <w:hideMark/>
          </w:tcPr>
          <w:p w14:paraId="61A22902" w14:textId="77777777" w:rsidR="00000000" w:rsidRDefault="002F725F">
            <w:pPr>
              <w:jc w:val="center"/>
              <w:rPr>
                <w:rFonts w:eastAsia="Times New Roman"/>
                <w:sz w:val="20"/>
                <w:szCs w:val="20"/>
              </w:rPr>
            </w:pPr>
            <w:r>
              <w:rPr>
                <w:rFonts w:eastAsia="Times New Roman"/>
                <w:b/>
                <w:bCs/>
                <w:caps/>
                <w:sz w:val="20"/>
                <w:szCs w:val="20"/>
              </w:rPr>
              <w:t>44</w:t>
            </w:r>
          </w:p>
        </w:tc>
      </w:tr>
      <w:tr w:rsidR="00000000" w14:paraId="17B2C5D1" w14:textId="77777777">
        <w:trPr>
          <w:divId w:val="415980837"/>
        </w:trPr>
        <w:tc>
          <w:tcPr>
            <w:tcW w:w="0" w:type="auto"/>
            <w:shd w:val="clear" w:color="auto" w:fill="FFFFFF"/>
            <w:tcMar>
              <w:top w:w="0" w:type="dxa"/>
              <w:left w:w="180" w:type="dxa"/>
              <w:bottom w:w="0" w:type="dxa"/>
              <w:right w:w="0" w:type="dxa"/>
            </w:tcMar>
            <w:hideMark/>
          </w:tcPr>
          <w:p w14:paraId="5A2A4B1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238F828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538E5DD6" w14:textId="77777777" w:rsidR="00000000" w:rsidRDefault="002F725F">
            <w:pPr>
              <w:jc w:val="center"/>
              <w:rPr>
                <w:rFonts w:eastAsia="Times New Roman"/>
                <w:sz w:val="20"/>
                <w:szCs w:val="20"/>
              </w:rPr>
            </w:pPr>
            <w:r>
              <w:rPr>
                <w:rFonts w:eastAsia="Times New Roman"/>
                <w:sz w:val="20"/>
                <w:szCs w:val="20"/>
              </w:rPr>
              <w:t> </w:t>
            </w:r>
          </w:p>
        </w:tc>
      </w:tr>
      <w:tr w:rsidR="00000000" w14:paraId="29832E37" w14:textId="77777777">
        <w:trPr>
          <w:divId w:val="415980837"/>
        </w:trPr>
        <w:tc>
          <w:tcPr>
            <w:tcW w:w="0" w:type="auto"/>
            <w:shd w:val="clear" w:color="auto" w:fill="CCEEFF"/>
            <w:tcMar>
              <w:top w:w="0" w:type="dxa"/>
              <w:left w:w="180" w:type="dxa"/>
              <w:bottom w:w="0" w:type="dxa"/>
              <w:right w:w="0" w:type="dxa"/>
            </w:tcMar>
            <w:hideMark/>
          </w:tcPr>
          <w:p w14:paraId="405BAC0E" w14:textId="77777777" w:rsidR="00000000" w:rsidRDefault="002F725F">
            <w:pPr>
              <w:rPr>
                <w:rFonts w:eastAsia="Times New Roman"/>
                <w:sz w:val="20"/>
                <w:szCs w:val="20"/>
              </w:rPr>
            </w:pPr>
            <w:r>
              <w:rPr>
                <w:rFonts w:eastAsia="Times New Roman"/>
                <w:sz w:val="20"/>
                <w:szCs w:val="20"/>
              </w:rPr>
              <w:t>Section 8.1</w:t>
            </w:r>
          </w:p>
        </w:tc>
        <w:tc>
          <w:tcPr>
            <w:tcW w:w="0" w:type="auto"/>
            <w:shd w:val="clear" w:color="auto" w:fill="CCEEFF"/>
            <w:hideMark/>
          </w:tcPr>
          <w:p w14:paraId="17E479B8" w14:textId="77777777" w:rsidR="00000000" w:rsidRDefault="002F725F">
            <w:pPr>
              <w:rPr>
                <w:rFonts w:eastAsia="Times New Roman"/>
                <w:sz w:val="20"/>
                <w:szCs w:val="20"/>
              </w:rPr>
            </w:pPr>
            <w:r>
              <w:rPr>
                <w:rFonts w:eastAsia="Times New Roman"/>
                <w:sz w:val="20"/>
                <w:szCs w:val="20"/>
              </w:rPr>
              <w:t>Conditions to Each Party’s Obligation to Effect the Merger</w:t>
            </w:r>
          </w:p>
        </w:tc>
        <w:tc>
          <w:tcPr>
            <w:tcW w:w="0" w:type="auto"/>
            <w:shd w:val="clear" w:color="auto" w:fill="CCEEFF"/>
            <w:hideMark/>
          </w:tcPr>
          <w:p w14:paraId="331E3926" w14:textId="77777777" w:rsidR="00000000" w:rsidRDefault="002F725F">
            <w:pPr>
              <w:jc w:val="center"/>
              <w:rPr>
                <w:rFonts w:eastAsia="Times New Roman"/>
                <w:sz w:val="20"/>
                <w:szCs w:val="20"/>
              </w:rPr>
            </w:pPr>
            <w:r>
              <w:rPr>
                <w:rFonts w:eastAsia="Times New Roman"/>
                <w:sz w:val="20"/>
                <w:szCs w:val="20"/>
              </w:rPr>
              <w:t>44</w:t>
            </w:r>
          </w:p>
        </w:tc>
      </w:tr>
      <w:tr w:rsidR="00000000" w14:paraId="540F83A2" w14:textId="77777777">
        <w:trPr>
          <w:divId w:val="415980837"/>
        </w:trPr>
        <w:tc>
          <w:tcPr>
            <w:tcW w:w="0" w:type="auto"/>
            <w:shd w:val="clear" w:color="auto" w:fill="FFFFFF"/>
            <w:tcMar>
              <w:top w:w="0" w:type="dxa"/>
              <w:left w:w="180" w:type="dxa"/>
              <w:bottom w:w="0" w:type="dxa"/>
              <w:right w:w="0" w:type="dxa"/>
            </w:tcMar>
            <w:hideMark/>
          </w:tcPr>
          <w:p w14:paraId="2890AB6E" w14:textId="77777777" w:rsidR="00000000" w:rsidRDefault="002F725F">
            <w:pPr>
              <w:rPr>
                <w:rFonts w:eastAsia="Times New Roman"/>
                <w:sz w:val="20"/>
                <w:szCs w:val="20"/>
              </w:rPr>
            </w:pPr>
            <w:r>
              <w:rPr>
                <w:rFonts w:eastAsia="Times New Roman"/>
                <w:sz w:val="20"/>
                <w:szCs w:val="20"/>
              </w:rPr>
              <w:t>Section 8.2</w:t>
            </w:r>
          </w:p>
        </w:tc>
        <w:tc>
          <w:tcPr>
            <w:tcW w:w="0" w:type="auto"/>
            <w:shd w:val="clear" w:color="auto" w:fill="FFFFFF"/>
            <w:hideMark/>
          </w:tcPr>
          <w:p w14:paraId="510D5E52" w14:textId="77777777" w:rsidR="00000000" w:rsidRDefault="002F725F">
            <w:pPr>
              <w:rPr>
                <w:rFonts w:eastAsia="Times New Roman"/>
                <w:sz w:val="20"/>
                <w:szCs w:val="20"/>
              </w:rPr>
            </w:pPr>
            <w:r>
              <w:rPr>
                <w:rFonts w:eastAsia="Times New Roman"/>
                <w:sz w:val="20"/>
                <w:szCs w:val="20"/>
              </w:rPr>
              <w:t>Additional Conditions to the Obligations of Parent and Merger Sub</w:t>
            </w:r>
          </w:p>
        </w:tc>
        <w:tc>
          <w:tcPr>
            <w:tcW w:w="0" w:type="auto"/>
            <w:shd w:val="clear" w:color="auto" w:fill="FFFFFF"/>
            <w:hideMark/>
          </w:tcPr>
          <w:p w14:paraId="08E854F2" w14:textId="77777777" w:rsidR="00000000" w:rsidRDefault="002F725F">
            <w:pPr>
              <w:jc w:val="center"/>
              <w:rPr>
                <w:rFonts w:eastAsia="Times New Roman"/>
                <w:sz w:val="20"/>
                <w:szCs w:val="20"/>
              </w:rPr>
            </w:pPr>
            <w:r>
              <w:rPr>
                <w:rFonts w:eastAsia="Times New Roman"/>
                <w:sz w:val="20"/>
                <w:szCs w:val="20"/>
              </w:rPr>
              <w:t>45</w:t>
            </w:r>
          </w:p>
        </w:tc>
      </w:tr>
      <w:tr w:rsidR="00000000" w14:paraId="533CB1CC" w14:textId="77777777">
        <w:trPr>
          <w:divId w:val="415980837"/>
        </w:trPr>
        <w:tc>
          <w:tcPr>
            <w:tcW w:w="0" w:type="auto"/>
            <w:shd w:val="clear" w:color="auto" w:fill="CCEEFF"/>
            <w:tcMar>
              <w:top w:w="0" w:type="dxa"/>
              <w:left w:w="180" w:type="dxa"/>
              <w:bottom w:w="0" w:type="dxa"/>
              <w:right w:w="0" w:type="dxa"/>
            </w:tcMar>
            <w:hideMark/>
          </w:tcPr>
          <w:p w14:paraId="7239AEC5" w14:textId="77777777" w:rsidR="00000000" w:rsidRDefault="002F725F">
            <w:pPr>
              <w:rPr>
                <w:rFonts w:eastAsia="Times New Roman"/>
                <w:sz w:val="20"/>
                <w:szCs w:val="20"/>
              </w:rPr>
            </w:pPr>
            <w:r>
              <w:rPr>
                <w:rFonts w:eastAsia="Times New Roman"/>
                <w:sz w:val="20"/>
                <w:szCs w:val="20"/>
              </w:rPr>
              <w:t>Section 8.3</w:t>
            </w:r>
          </w:p>
        </w:tc>
        <w:tc>
          <w:tcPr>
            <w:tcW w:w="0" w:type="auto"/>
            <w:shd w:val="clear" w:color="auto" w:fill="CCEEFF"/>
            <w:hideMark/>
          </w:tcPr>
          <w:p w14:paraId="29F2C25D" w14:textId="77777777" w:rsidR="00000000" w:rsidRDefault="002F725F">
            <w:pPr>
              <w:rPr>
                <w:rFonts w:eastAsia="Times New Roman"/>
                <w:sz w:val="20"/>
                <w:szCs w:val="20"/>
              </w:rPr>
            </w:pPr>
            <w:r>
              <w:rPr>
                <w:rFonts w:eastAsia="Times New Roman"/>
                <w:sz w:val="20"/>
                <w:szCs w:val="20"/>
              </w:rPr>
              <w:t>Additional Conditions to Company’s Obligations to Effect the Merger</w:t>
            </w:r>
          </w:p>
        </w:tc>
        <w:tc>
          <w:tcPr>
            <w:tcW w:w="0" w:type="auto"/>
            <w:shd w:val="clear" w:color="auto" w:fill="CCEEFF"/>
            <w:hideMark/>
          </w:tcPr>
          <w:p w14:paraId="61173AEE" w14:textId="77777777" w:rsidR="00000000" w:rsidRDefault="002F725F">
            <w:pPr>
              <w:jc w:val="center"/>
              <w:rPr>
                <w:rFonts w:eastAsia="Times New Roman"/>
                <w:sz w:val="20"/>
                <w:szCs w:val="20"/>
              </w:rPr>
            </w:pPr>
            <w:r>
              <w:rPr>
                <w:rFonts w:eastAsia="Times New Roman"/>
                <w:sz w:val="20"/>
                <w:szCs w:val="20"/>
              </w:rPr>
              <w:t>45</w:t>
            </w:r>
          </w:p>
        </w:tc>
      </w:tr>
      <w:tr w:rsidR="00000000" w14:paraId="1DF8BEFC" w14:textId="77777777">
        <w:trPr>
          <w:divId w:val="415980837"/>
        </w:trPr>
        <w:tc>
          <w:tcPr>
            <w:tcW w:w="0" w:type="auto"/>
            <w:shd w:val="clear" w:color="auto" w:fill="FFFFFF"/>
            <w:tcMar>
              <w:top w:w="0" w:type="dxa"/>
              <w:left w:w="180" w:type="dxa"/>
              <w:bottom w:w="0" w:type="dxa"/>
              <w:right w:w="0" w:type="dxa"/>
            </w:tcMar>
            <w:hideMark/>
          </w:tcPr>
          <w:p w14:paraId="5A7DCA2E" w14:textId="77777777" w:rsidR="00000000" w:rsidRDefault="002F725F">
            <w:pPr>
              <w:rPr>
                <w:rFonts w:eastAsia="Times New Roman"/>
                <w:sz w:val="20"/>
                <w:szCs w:val="20"/>
              </w:rPr>
            </w:pPr>
            <w:r>
              <w:rPr>
                <w:rFonts w:eastAsia="Times New Roman"/>
                <w:sz w:val="20"/>
                <w:szCs w:val="20"/>
              </w:rPr>
              <w:t>Section 8.4</w:t>
            </w:r>
          </w:p>
        </w:tc>
        <w:tc>
          <w:tcPr>
            <w:tcW w:w="0" w:type="auto"/>
            <w:shd w:val="clear" w:color="auto" w:fill="FFFFFF"/>
            <w:hideMark/>
          </w:tcPr>
          <w:p w14:paraId="26C23635" w14:textId="77777777" w:rsidR="00000000" w:rsidRDefault="002F725F">
            <w:pPr>
              <w:rPr>
                <w:rFonts w:eastAsia="Times New Roman"/>
                <w:sz w:val="20"/>
                <w:szCs w:val="20"/>
              </w:rPr>
            </w:pPr>
            <w:r>
              <w:rPr>
                <w:rFonts w:eastAsia="Times New Roman"/>
                <w:sz w:val="20"/>
                <w:szCs w:val="20"/>
              </w:rPr>
              <w:t>Frustration of Conditions</w:t>
            </w:r>
          </w:p>
        </w:tc>
        <w:tc>
          <w:tcPr>
            <w:tcW w:w="0" w:type="auto"/>
            <w:shd w:val="clear" w:color="auto" w:fill="FFFFFF"/>
            <w:hideMark/>
          </w:tcPr>
          <w:p w14:paraId="03A64D86" w14:textId="77777777" w:rsidR="00000000" w:rsidRDefault="002F725F">
            <w:pPr>
              <w:jc w:val="center"/>
              <w:rPr>
                <w:rFonts w:eastAsia="Times New Roman"/>
                <w:sz w:val="20"/>
                <w:szCs w:val="20"/>
              </w:rPr>
            </w:pPr>
            <w:r>
              <w:rPr>
                <w:rFonts w:eastAsia="Times New Roman"/>
                <w:sz w:val="20"/>
                <w:szCs w:val="20"/>
              </w:rPr>
              <w:t>46</w:t>
            </w:r>
          </w:p>
        </w:tc>
      </w:tr>
    </w:tbl>
    <w:p w14:paraId="6AC390F4" w14:textId="77777777" w:rsidR="00000000" w:rsidRDefault="002F725F">
      <w:pPr>
        <w:pStyle w:val="NormalWeb"/>
        <w:spacing w:before="0" w:beforeAutospacing="0" w:after="0" w:afterAutospacing="0"/>
        <w:divId w:val="415980837"/>
        <w:rPr>
          <w:sz w:val="20"/>
          <w:szCs w:val="20"/>
        </w:rPr>
      </w:pPr>
      <w:r>
        <w:rPr>
          <w:sz w:val="20"/>
          <w:szCs w:val="20"/>
        </w:rPr>
        <w:t> </w:t>
      </w:r>
    </w:p>
    <w:p w14:paraId="6B9CBE73" w14:textId="77777777" w:rsidR="00000000" w:rsidRDefault="002F725F">
      <w:pPr>
        <w:pStyle w:val="NormalWeb"/>
        <w:spacing w:before="0" w:beforeAutospacing="0" w:after="0" w:afterAutospacing="0"/>
        <w:jc w:val="center"/>
        <w:divId w:val="419378199"/>
        <w:rPr>
          <w:sz w:val="20"/>
          <w:szCs w:val="20"/>
        </w:rPr>
      </w:pPr>
      <w:r>
        <w:rPr>
          <w:sz w:val="20"/>
          <w:szCs w:val="20"/>
        </w:rPr>
        <w:t>A</w:t>
      </w:r>
      <w:r>
        <w:rPr>
          <w:sz w:val="20"/>
          <w:szCs w:val="20"/>
        </w:rPr>
        <w:t>-</w:t>
      </w:r>
      <w:r>
        <w:rPr>
          <w:sz w:val="20"/>
          <w:szCs w:val="20"/>
        </w:rPr>
        <w:t>i</w:t>
      </w:r>
      <w:r>
        <w:rPr>
          <w:sz w:val="20"/>
          <w:szCs w:val="20"/>
        </w:rPr>
        <w:t>i</w:t>
      </w:r>
    </w:p>
    <w:p w14:paraId="77432B80" w14:textId="77777777" w:rsidR="00000000" w:rsidRDefault="002F725F">
      <w:pPr>
        <w:pStyle w:val="NormalWeb"/>
        <w:spacing w:before="0" w:beforeAutospacing="0" w:after="0" w:afterAutospacing="0"/>
        <w:divId w:val="1736970593"/>
        <w:rPr>
          <w:sz w:val="20"/>
          <w:szCs w:val="20"/>
        </w:rPr>
      </w:pPr>
      <w:r>
        <w:rPr>
          <w:sz w:val="20"/>
          <w:szCs w:val="20"/>
        </w:rPr>
        <w:t> </w:t>
      </w:r>
    </w:p>
    <w:p w14:paraId="66E8B2BA"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tbl>
      <w:tblPr>
        <w:tblW w:w="5000" w:type="pct"/>
        <w:tblCellMar>
          <w:left w:w="0" w:type="dxa"/>
          <w:right w:w="0" w:type="dxa"/>
        </w:tblCellMar>
        <w:tblLook w:val="04A0" w:firstRow="1" w:lastRow="0" w:firstColumn="1" w:lastColumn="0" w:noHBand="0" w:noVBand="1"/>
      </w:tblPr>
      <w:tblGrid>
        <w:gridCol w:w="1404"/>
        <w:gridCol w:w="7394"/>
        <w:gridCol w:w="562"/>
      </w:tblGrid>
      <w:tr w:rsidR="00000000" w14:paraId="7FBF8102" w14:textId="77777777">
        <w:trPr>
          <w:divId w:val="415980837"/>
        </w:trPr>
        <w:tc>
          <w:tcPr>
            <w:tcW w:w="0" w:type="auto"/>
            <w:gridSpan w:val="2"/>
            <w:shd w:val="clear" w:color="auto" w:fill="CCEEFF"/>
            <w:hideMark/>
          </w:tcPr>
          <w:p w14:paraId="081D72B3" w14:textId="77777777" w:rsidR="00000000" w:rsidRDefault="002F725F">
            <w:pPr>
              <w:rPr>
                <w:rFonts w:eastAsia="Times New Roman"/>
                <w:sz w:val="20"/>
                <w:szCs w:val="20"/>
              </w:rPr>
            </w:pPr>
            <w:r>
              <w:rPr>
                <w:rFonts w:eastAsia="Times New Roman"/>
                <w:b/>
                <w:bCs/>
                <w:caps/>
                <w:sz w:val="20"/>
                <w:szCs w:val="20"/>
              </w:rPr>
              <w:t>Article IX TERMINATION</w:t>
            </w:r>
          </w:p>
        </w:tc>
        <w:tc>
          <w:tcPr>
            <w:tcW w:w="0" w:type="auto"/>
            <w:shd w:val="clear" w:color="auto" w:fill="CCEEFF"/>
            <w:hideMark/>
          </w:tcPr>
          <w:p w14:paraId="6CC5EA6E" w14:textId="77777777" w:rsidR="00000000" w:rsidRDefault="002F725F">
            <w:pPr>
              <w:jc w:val="center"/>
              <w:rPr>
                <w:rFonts w:eastAsia="Times New Roman"/>
                <w:sz w:val="20"/>
                <w:szCs w:val="20"/>
              </w:rPr>
            </w:pPr>
            <w:r>
              <w:rPr>
                <w:rFonts w:eastAsia="Times New Roman"/>
                <w:b/>
                <w:bCs/>
                <w:caps/>
                <w:sz w:val="20"/>
                <w:szCs w:val="20"/>
              </w:rPr>
              <w:t>46</w:t>
            </w:r>
          </w:p>
        </w:tc>
      </w:tr>
      <w:tr w:rsidR="00000000" w14:paraId="2F22C6F9" w14:textId="77777777">
        <w:trPr>
          <w:divId w:val="415980837"/>
        </w:trPr>
        <w:tc>
          <w:tcPr>
            <w:tcW w:w="750" w:type="pct"/>
            <w:shd w:val="clear" w:color="auto" w:fill="FFFFFF"/>
            <w:noWrap/>
            <w:tcMar>
              <w:top w:w="0" w:type="dxa"/>
              <w:left w:w="180" w:type="dxa"/>
              <w:bottom w:w="0" w:type="dxa"/>
              <w:right w:w="0" w:type="dxa"/>
            </w:tcMar>
            <w:hideMark/>
          </w:tcPr>
          <w:p w14:paraId="70C51E16" w14:textId="77777777" w:rsidR="00000000" w:rsidRDefault="002F725F">
            <w:pPr>
              <w:rPr>
                <w:rFonts w:eastAsia="Times New Roman"/>
                <w:sz w:val="20"/>
                <w:szCs w:val="20"/>
              </w:rPr>
            </w:pPr>
            <w:r>
              <w:rPr>
                <w:rFonts w:eastAsia="Times New Roman"/>
                <w:sz w:val="20"/>
                <w:szCs w:val="20"/>
              </w:rPr>
              <w:t> </w:t>
            </w:r>
          </w:p>
        </w:tc>
        <w:tc>
          <w:tcPr>
            <w:tcW w:w="3950" w:type="pct"/>
            <w:shd w:val="clear" w:color="auto" w:fill="FFFFFF"/>
            <w:hideMark/>
          </w:tcPr>
          <w:p w14:paraId="552035A4" w14:textId="77777777" w:rsidR="00000000" w:rsidRDefault="002F725F">
            <w:pPr>
              <w:rPr>
                <w:rFonts w:eastAsia="Times New Roman"/>
                <w:sz w:val="20"/>
                <w:szCs w:val="20"/>
              </w:rPr>
            </w:pPr>
            <w:r>
              <w:rPr>
                <w:rFonts w:eastAsia="Times New Roman"/>
                <w:sz w:val="20"/>
                <w:szCs w:val="20"/>
              </w:rPr>
              <w:t> </w:t>
            </w:r>
          </w:p>
        </w:tc>
        <w:tc>
          <w:tcPr>
            <w:tcW w:w="300" w:type="pct"/>
            <w:shd w:val="clear" w:color="auto" w:fill="FFFFFF"/>
            <w:hideMark/>
          </w:tcPr>
          <w:p w14:paraId="4FB6B3F6" w14:textId="77777777" w:rsidR="00000000" w:rsidRDefault="002F725F">
            <w:pPr>
              <w:jc w:val="center"/>
              <w:rPr>
                <w:rFonts w:eastAsia="Times New Roman"/>
                <w:sz w:val="20"/>
                <w:szCs w:val="20"/>
              </w:rPr>
            </w:pPr>
            <w:r>
              <w:rPr>
                <w:rFonts w:eastAsia="Times New Roman"/>
                <w:sz w:val="20"/>
                <w:szCs w:val="20"/>
              </w:rPr>
              <w:t> </w:t>
            </w:r>
          </w:p>
        </w:tc>
      </w:tr>
      <w:tr w:rsidR="00000000" w14:paraId="76DB5923" w14:textId="77777777">
        <w:trPr>
          <w:divId w:val="415980837"/>
        </w:trPr>
        <w:tc>
          <w:tcPr>
            <w:tcW w:w="0" w:type="auto"/>
            <w:shd w:val="clear" w:color="auto" w:fill="CCEEFF"/>
            <w:noWrap/>
            <w:tcMar>
              <w:top w:w="0" w:type="dxa"/>
              <w:left w:w="180" w:type="dxa"/>
              <w:bottom w:w="0" w:type="dxa"/>
              <w:right w:w="0" w:type="dxa"/>
            </w:tcMar>
            <w:hideMark/>
          </w:tcPr>
          <w:p w14:paraId="643819CB" w14:textId="77777777" w:rsidR="00000000" w:rsidRDefault="002F725F">
            <w:pPr>
              <w:rPr>
                <w:rFonts w:eastAsia="Times New Roman"/>
                <w:sz w:val="20"/>
                <w:szCs w:val="20"/>
              </w:rPr>
            </w:pPr>
            <w:r>
              <w:rPr>
                <w:rFonts w:eastAsia="Times New Roman"/>
                <w:sz w:val="20"/>
                <w:szCs w:val="20"/>
              </w:rPr>
              <w:t>Section 9.1</w:t>
            </w:r>
          </w:p>
        </w:tc>
        <w:tc>
          <w:tcPr>
            <w:tcW w:w="0" w:type="auto"/>
            <w:shd w:val="clear" w:color="auto" w:fill="CCEEFF"/>
            <w:hideMark/>
          </w:tcPr>
          <w:p w14:paraId="57426AB2" w14:textId="77777777" w:rsidR="00000000" w:rsidRDefault="002F725F">
            <w:pPr>
              <w:rPr>
                <w:rFonts w:eastAsia="Times New Roman"/>
                <w:sz w:val="20"/>
                <w:szCs w:val="20"/>
              </w:rPr>
            </w:pPr>
            <w:r>
              <w:rPr>
                <w:rFonts w:eastAsia="Times New Roman"/>
                <w:sz w:val="20"/>
                <w:szCs w:val="20"/>
              </w:rPr>
              <w:t>Termination</w:t>
            </w:r>
          </w:p>
        </w:tc>
        <w:tc>
          <w:tcPr>
            <w:tcW w:w="0" w:type="auto"/>
            <w:shd w:val="clear" w:color="auto" w:fill="CCEEFF"/>
            <w:hideMark/>
          </w:tcPr>
          <w:p w14:paraId="2A04025C" w14:textId="77777777" w:rsidR="00000000" w:rsidRDefault="002F725F">
            <w:pPr>
              <w:jc w:val="center"/>
              <w:rPr>
                <w:rFonts w:eastAsia="Times New Roman"/>
                <w:sz w:val="20"/>
                <w:szCs w:val="20"/>
              </w:rPr>
            </w:pPr>
            <w:r>
              <w:rPr>
                <w:rFonts w:eastAsia="Times New Roman"/>
                <w:sz w:val="20"/>
                <w:szCs w:val="20"/>
              </w:rPr>
              <w:t>46</w:t>
            </w:r>
          </w:p>
        </w:tc>
      </w:tr>
      <w:tr w:rsidR="00000000" w14:paraId="7F898BFD" w14:textId="77777777">
        <w:trPr>
          <w:divId w:val="415980837"/>
        </w:trPr>
        <w:tc>
          <w:tcPr>
            <w:tcW w:w="0" w:type="auto"/>
            <w:shd w:val="clear" w:color="auto" w:fill="FFFFFF"/>
            <w:noWrap/>
            <w:tcMar>
              <w:top w:w="0" w:type="dxa"/>
              <w:left w:w="180" w:type="dxa"/>
              <w:bottom w:w="0" w:type="dxa"/>
              <w:right w:w="0" w:type="dxa"/>
            </w:tcMar>
            <w:hideMark/>
          </w:tcPr>
          <w:p w14:paraId="57F78C20" w14:textId="77777777" w:rsidR="00000000" w:rsidRDefault="002F725F">
            <w:pPr>
              <w:rPr>
                <w:rFonts w:eastAsia="Times New Roman"/>
                <w:sz w:val="20"/>
                <w:szCs w:val="20"/>
              </w:rPr>
            </w:pPr>
            <w:r>
              <w:rPr>
                <w:rFonts w:eastAsia="Times New Roman"/>
                <w:sz w:val="20"/>
                <w:szCs w:val="20"/>
              </w:rPr>
              <w:t>Section 9.2</w:t>
            </w:r>
          </w:p>
        </w:tc>
        <w:tc>
          <w:tcPr>
            <w:tcW w:w="0" w:type="auto"/>
            <w:shd w:val="clear" w:color="auto" w:fill="FFFFFF"/>
            <w:hideMark/>
          </w:tcPr>
          <w:p w14:paraId="4EC77D91" w14:textId="77777777" w:rsidR="00000000" w:rsidRDefault="002F725F">
            <w:pPr>
              <w:rPr>
                <w:rFonts w:eastAsia="Times New Roman"/>
                <w:sz w:val="20"/>
                <w:szCs w:val="20"/>
              </w:rPr>
            </w:pPr>
            <w:r>
              <w:rPr>
                <w:rFonts w:eastAsia="Times New Roman"/>
                <w:sz w:val="20"/>
                <w:szCs w:val="20"/>
              </w:rPr>
              <w:t>Effect of Termination</w:t>
            </w:r>
          </w:p>
        </w:tc>
        <w:tc>
          <w:tcPr>
            <w:tcW w:w="0" w:type="auto"/>
            <w:shd w:val="clear" w:color="auto" w:fill="FFFFFF"/>
            <w:hideMark/>
          </w:tcPr>
          <w:p w14:paraId="56290AA0" w14:textId="77777777" w:rsidR="00000000" w:rsidRDefault="002F725F">
            <w:pPr>
              <w:jc w:val="center"/>
              <w:rPr>
                <w:rFonts w:eastAsia="Times New Roman"/>
                <w:sz w:val="20"/>
                <w:szCs w:val="20"/>
              </w:rPr>
            </w:pPr>
            <w:r>
              <w:rPr>
                <w:rFonts w:eastAsia="Times New Roman"/>
                <w:sz w:val="20"/>
                <w:szCs w:val="20"/>
              </w:rPr>
              <w:t>48</w:t>
            </w:r>
          </w:p>
        </w:tc>
      </w:tr>
      <w:tr w:rsidR="00000000" w14:paraId="0D1B54FD" w14:textId="77777777">
        <w:trPr>
          <w:divId w:val="415980837"/>
        </w:trPr>
        <w:tc>
          <w:tcPr>
            <w:tcW w:w="0" w:type="auto"/>
            <w:shd w:val="clear" w:color="auto" w:fill="CCEEFF"/>
            <w:noWrap/>
            <w:tcMar>
              <w:top w:w="0" w:type="dxa"/>
              <w:left w:w="180" w:type="dxa"/>
              <w:bottom w:w="0" w:type="dxa"/>
              <w:right w:w="0" w:type="dxa"/>
            </w:tcMar>
            <w:hideMark/>
          </w:tcPr>
          <w:p w14:paraId="5ACC7061" w14:textId="77777777" w:rsidR="00000000" w:rsidRDefault="002F725F">
            <w:pPr>
              <w:rPr>
                <w:rFonts w:eastAsia="Times New Roman"/>
                <w:sz w:val="20"/>
                <w:szCs w:val="20"/>
              </w:rPr>
            </w:pPr>
            <w:r>
              <w:rPr>
                <w:rFonts w:eastAsia="Times New Roman"/>
                <w:sz w:val="20"/>
                <w:szCs w:val="20"/>
              </w:rPr>
              <w:t>Section 9.3</w:t>
            </w:r>
          </w:p>
        </w:tc>
        <w:tc>
          <w:tcPr>
            <w:tcW w:w="0" w:type="auto"/>
            <w:shd w:val="clear" w:color="auto" w:fill="CCEEFF"/>
            <w:hideMark/>
          </w:tcPr>
          <w:p w14:paraId="700022A9" w14:textId="77777777" w:rsidR="00000000" w:rsidRDefault="002F725F">
            <w:pPr>
              <w:rPr>
                <w:rFonts w:eastAsia="Times New Roman"/>
                <w:sz w:val="20"/>
                <w:szCs w:val="20"/>
              </w:rPr>
            </w:pPr>
            <w:r>
              <w:rPr>
                <w:rFonts w:eastAsia="Times New Roman"/>
                <w:sz w:val="20"/>
                <w:szCs w:val="20"/>
              </w:rPr>
              <w:t>Fees Following Termination</w:t>
            </w:r>
          </w:p>
        </w:tc>
        <w:tc>
          <w:tcPr>
            <w:tcW w:w="0" w:type="auto"/>
            <w:shd w:val="clear" w:color="auto" w:fill="CCEEFF"/>
            <w:hideMark/>
          </w:tcPr>
          <w:p w14:paraId="503E9D09" w14:textId="77777777" w:rsidR="00000000" w:rsidRDefault="002F725F">
            <w:pPr>
              <w:jc w:val="center"/>
              <w:rPr>
                <w:rFonts w:eastAsia="Times New Roman"/>
                <w:sz w:val="20"/>
                <w:szCs w:val="20"/>
              </w:rPr>
            </w:pPr>
            <w:r>
              <w:rPr>
                <w:rFonts w:eastAsia="Times New Roman"/>
                <w:sz w:val="20"/>
                <w:szCs w:val="20"/>
              </w:rPr>
              <w:t>48</w:t>
            </w:r>
          </w:p>
        </w:tc>
      </w:tr>
      <w:tr w:rsidR="00000000" w14:paraId="12D9D3F0" w14:textId="77777777">
        <w:trPr>
          <w:divId w:val="415980837"/>
        </w:trPr>
        <w:tc>
          <w:tcPr>
            <w:tcW w:w="0" w:type="auto"/>
            <w:shd w:val="clear" w:color="auto" w:fill="FFFFFF"/>
            <w:noWrap/>
            <w:tcMar>
              <w:top w:w="0" w:type="dxa"/>
              <w:left w:w="180" w:type="dxa"/>
              <w:bottom w:w="0" w:type="dxa"/>
              <w:right w:w="0" w:type="dxa"/>
            </w:tcMar>
            <w:hideMark/>
          </w:tcPr>
          <w:p w14:paraId="6C9824E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23CCBE8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00B74B8B" w14:textId="77777777" w:rsidR="00000000" w:rsidRDefault="002F725F">
            <w:pPr>
              <w:jc w:val="center"/>
              <w:rPr>
                <w:rFonts w:eastAsia="Times New Roman"/>
                <w:sz w:val="20"/>
                <w:szCs w:val="20"/>
              </w:rPr>
            </w:pPr>
            <w:r>
              <w:rPr>
                <w:rFonts w:eastAsia="Times New Roman"/>
                <w:sz w:val="20"/>
                <w:szCs w:val="20"/>
              </w:rPr>
              <w:t> </w:t>
            </w:r>
          </w:p>
        </w:tc>
      </w:tr>
      <w:tr w:rsidR="00000000" w14:paraId="3F6715A7" w14:textId="77777777">
        <w:trPr>
          <w:divId w:val="415980837"/>
        </w:trPr>
        <w:tc>
          <w:tcPr>
            <w:tcW w:w="0" w:type="auto"/>
            <w:gridSpan w:val="2"/>
            <w:shd w:val="clear" w:color="auto" w:fill="CCEEFF"/>
            <w:hideMark/>
          </w:tcPr>
          <w:p w14:paraId="49A459C2" w14:textId="77777777" w:rsidR="00000000" w:rsidRDefault="002F725F">
            <w:pPr>
              <w:rPr>
                <w:rFonts w:eastAsia="Times New Roman"/>
                <w:sz w:val="20"/>
                <w:szCs w:val="20"/>
              </w:rPr>
            </w:pPr>
            <w:r>
              <w:rPr>
                <w:rFonts w:eastAsia="Times New Roman"/>
                <w:b/>
                <w:bCs/>
                <w:caps/>
                <w:sz w:val="20"/>
                <w:szCs w:val="20"/>
              </w:rPr>
              <w:t>Article X MISCELLANEOUS</w:t>
            </w:r>
          </w:p>
        </w:tc>
        <w:tc>
          <w:tcPr>
            <w:tcW w:w="0" w:type="auto"/>
            <w:shd w:val="clear" w:color="auto" w:fill="CCEEFF"/>
            <w:hideMark/>
          </w:tcPr>
          <w:p w14:paraId="411435F7" w14:textId="77777777" w:rsidR="00000000" w:rsidRDefault="002F725F">
            <w:pPr>
              <w:jc w:val="center"/>
              <w:rPr>
                <w:rFonts w:eastAsia="Times New Roman"/>
                <w:sz w:val="20"/>
                <w:szCs w:val="20"/>
              </w:rPr>
            </w:pPr>
            <w:r>
              <w:rPr>
                <w:rFonts w:eastAsia="Times New Roman"/>
                <w:b/>
                <w:bCs/>
                <w:caps/>
                <w:sz w:val="20"/>
                <w:szCs w:val="20"/>
              </w:rPr>
              <w:t>50</w:t>
            </w:r>
          </w:p>
        </w:tc>
      </w:tr>
      <w:tr w:rsidR="00000000" w14:paraId="1752A4BA" w14:textId="77777777">
        <w:trPr>
          <w:divId w:val="415980837"/>
        </w:trPr>
        <w:tc>
          <w:tcPr>
            <w:tcW w:w="0" w:type="auto"/>
            <w:shd w:val="clear" w:color="auto" w:fill="FFFFFF"/>
            <w:noWrap/>
            <w:tcMar>
              <w:top w:w="0" w:type="dxa"/>
              <w:left w:w="180" w:type="dxa"/>
              <w:bottom w:w="0" w:type="dxa"/>
              <w:right w:w="0" w:type="dxa"/>
            </w:tcMar>
            <w:hideMark/>
          </w:tcPr>
          <w:p w14:paraId="70B6881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25901E8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24EF9C79" w14:textId="77777777" w:rsidR="00000000" w:rsidRDefault="002F725F">
            <w:pPr>
              <w:jc w:val="center"/>
              <w:rPr>
                <w:rFonts w:eastAsia="Times New Roman"/>
                <w:sz w:val="20"/>
                <w:szCs w:val="20"/>
              </w:rPr>
            </w:pPr>
            <w:r>
              <w:rPr>
                <w:rFonts w:eastAsia="Times New Roman"/>
                <w:sz w:val="20"/>
                <w:szCs w:val="20"/>
              </w:rPr>
              <w:t> </w:t>
            </w:r>
          </w:p>
        </w:tc>
      </w:tr>
      <w:tr w:rsidR="00000000" w14:paraId="5C0FE21D" w14:textId="77777777">
        <w:trPr>
          <w:divId w:val="415980837"/>
        </w:trPr>
        <w:tc>
          <w:tcPr>
            <w:tcW w:w="0" w:type="auto"/>
            <w:shd w:val="clear" w:color="auto" w:fill="CCEEFF"/>
            <w:noWrap/>
            <w:tcMar>
              <w:top w:w="0" w:type="dxa"/>
              <w:left w:w="180" w:type="dxa"/>
              <w:bottom w:w="0" w:type="dxa"/>
              <w:right w:w="0" w:type="dxa"/>
            </w:tcMar>
            <w:hideMark/>
          </w:tcPr>
          <w:p w14:paraId="58863415" w14:textId="77777777" w:rsidR="00000000" w:rsidRDefault="002F725F">
            <w:pPr>
              <w:rPr>
                <w:rFonts w:eastAsia="Times New Roman"/>
                <w:sz w:val="20"/>
                <w:szCs w:val="20"/>
              </w:rPr>
            </w:pPr>
            <w:r>
              <w:rPr>
                <w:rFonts w:eastAsia="Times New Roman"/>
                <w:sz w:val="20"/>
                <w:szCs w:val="20"/>
              </w:rPr>
              <w:t>Section 10.1</w:t>
            </w:r>
          </w:p>
        </w:tc>
        <w:tc>
          <w:tcPr>
            <w:tcW w:w="0" w:type="auto"/>
            <w:shd w:val="clear" w:color="auto" w:fill="CCEEFF"/>
            <w:hideMark/>
          </w:tcPr>
          <w:p w14:paraId="2F88F288" w14:textId="77777777" w:rsidR="00000000" w:rsidRDefault="002F725F">
            <w:pPr>
              <w:rPr>
                <w:rFonts w:eastAsia="Times New Roman"/>
                <w:sz w:val="20"/>
                <w:szCs w:val="20"/>
              </w:rPr>
            </w:pPr>
            <w:r>
              <w:rPr>
                <w:rFonts w:eastAsia="Times New Roman"/>
                <w:sz w:val="20"/>
                <w:szCs w:val="20"/>
              </w:rPr>
              <w:t>Amendment and Modification</w:t>
            </w:r>
          </w:p>
        </w:tc>
        <w:tc>
          <w:tcPr>
            <w:tcW w:w="0" w:type="auto"/>
            <w:shd w:val="clear" w:color="auto" w:fill="CCEEFF"/>
            <w:hideMark/>
          </w:tcPr>
          <w:p w14:paraId="33CD0A46" w14:textId="77777777" w:rsidR="00000000" w:rsidRDefault="002F725F">
            <w:pPr>
              <w:jc w:val="center"/>
              <w:rPr>
                <w:rFonts w:eastAsia="Times New Roman"/>
                <w:sz w:val="20"/>
                <w:szCs w:val="20"/>
              </w:rPr>
            </w:pPr>
            <w:r>
              <w:rPr>
                <w:rFonts w:eastAsia="Times New Roman"/>
                <w:sz w:val="20"/>
                <w:szCs w:val="20"/>
              </w:rPr>
              <w:t>50</w:t>
            </w:r>
          </w:p>
        </w:tc>
      </w:tr>
      <w:tr w:rsidR="00000000" w14:paraId="79A59E02" w14:textId="77777777">
        <w:trPr>
          <w:divId w:val="415980837"/>
        </w:trPr>
        <w:tc>
          <w:tcPr>
            <w:tcW w:w="0" w:type="auto"/>
            <w:shd w:val="clear" w:color="auto" w:fill="FFFFFF"/>
            <w:noWrap/>
            <w:tcMar>
              <w:top w:w="0" w:type="dxa"/>
              <w:left w:w="180" w:type="dxa"/>
              <w:bottom w:w="0" w:type="dxa"/>
              <w:right w:w="0" w:type="dxa"/>
            </w:tcMar>
            <w:hideMark/>
          </w:tcPr>
          <w:p w14:paraId="686265B3" w14:textId="77777777" w:rsidR="00000000" w:rsidRDefault="002F725F">
            <w:pPr>
              <w:rPr>
                <w:rFonts w:eastAsia="Times New Roman"/>
                <w:sz w:val="20"/>
                <w:szCs w:val="20"/>
              </w:rPr>
            </w:pPr>
            <w:r>
              <w:rPr>
                <w:rFonts w:eastAsia="Times New Roman"/>
                <w:sz w:val="20"/>
                <w:szCs w:val="20"/>
              </w:rPr>
              <w:t>Section 10.2</w:t>
            </w:r>
          </w:p>
        </w:tc>
        <w:tc>
          <w:tcPr>
            <w:tcW w:w="0" w:type="auto"/>
            <w:shd w:val="clear" w:color="auto" w:fill="FFFFFF"/>
            <w:hideMark/>
          </w:tcPr>
          <w:p w14:paraId="21E464D6" w14:textId="77777777" w:rsidR="00000000" w:rsidRDefault="002F725F">
            <w:pPr>
              <w:rPr>
                <w:rFonts w:eastAsia="Times New Roman"/>
                <w:sz w:val="20"/>
                <w:szCs w:val="20"/>
              </w:rPr>
            </w:pPr>
            <w:r>
              <w:rPr>
                <w:rFonts w:eastAsia="Times New Roman"/>
                <w:sz w:val="20"/>
                <w:szCs w:val="20"/>
              </w:rPr>
              <w:t>Notices</w:t>
            </w:r>
          </w:p>
        </w:tc>
        <w:tc>
          <w:tcPr>
            <w:tcW w:w="0" w:type="auto"/>
            <w:shd w:val="clear" w:color="auto" w:fill="FFFFFF"/>
            <w:hideMark/>
          </w:tcPr>
          <w:p w14:paraId="51FD334B" w14:textId="77777777" w:rsidR="00000000" w:rsidRDefault="002F725F">
            <w:pPr>
              <w:jc w:val="center"/>
              <w:rPr>
                <w:rFonts w:eastAsia="Times New Roman"/>
                <w:sz w:val="20"/>
                <w:szCs w:val="20"/>
              </w:rPr>
            </w:pPr>
            <w:r>
              <w:rPr>
                <w:rFonts w:eastAsia="Times New Roman"/>
                <w:sz w:val="20"/>
                <w:szCs w:val="20"/>
              </w:rPr>
              <w:t>50</w:t>
            </w:r>
          </w:p>
        </w:tc>
      </w:tr>
      <w:tr w:rsidR="00000000" w14:paraId="588ACB2E" w14:textId="77777777">
        <w:trPr>
          <w:divId w:val="415980837"/>
        </w:trPr>
        <w:tc>
          <w:tcPr>
            <w:tcW w:w="0" w:type="auto"/>
            <w:shd w:val="clear" w:color="auto" w:fill="CCEEFF"/>
            <w:noWrap/>
            <w:tcMar>
              <w:top w:w="0" w:type="dxa"/>
              <w:left w:w="180" w:type="dxa"/>
              <w:bottom w:w="0" w:type="dxa"/>
              <w:right w:w="0" w:type="dxa"/>
            </w:tcMar>
            <w:hideMark/>
          </w:tcPr>
          <w:p w14:paraId="61ABA3CB" w14:textId="77777777" w:rsidR="00000000" w:rsidRDefault="002F725F">
            <w:pPr>
              <w:rPr>
                <w:rFonts w:eastAsia="Times New Roman"/>
                <w:sz w:val="20"/>
                <w:szCs w:val="20"/>
              </w:rPr>
            </w:pPr>
            <w:r>
              <w:rPr>
                <w:rFonts w:eastAsia="Times New Roman"/>
                <w:sz w:val="20"/>
                <w:szCs w:val="20"/>
              </w:rPr>
              <w:t>Section 10.3</w:t>
            </w:r>
          </w:p>
        </w:tc>
        <w:tc>
          <w:tcPr>
            <w:tcW w:w="0" w:type="auto"/>
            <w:shd w:val="clear" w:color="auto" w:fill="CCEEFF"/>
            <w:hideMark/>
          </w:tcPr>
          <w:p w14:paraId="10B78056" w14:textId="77777777" w:rsidR="00000000" w:rsidRDefault="002F725F">
            <w:pPr>
              <w:rPr>
                <w:rFonts w:eastAsia="Times New Roman"/>
                <w:sz w:val="20"/>
                <w:szCs w:val="20"/>
              </w:rPr>
            </w:pPr>
            <w:r>
              <w:rPr>
                <w:rFonts w:eastAsia="Times New Roman"/>
                <w:sz w:val="20"/>
                <w:szCs w:val="20"/>
              </w:rPr>
              <w:t>Interpretation</w:t>
            </w:r>
          </w:p>
        </w:tc>
        <w:tc>
          <w:tcPr>
            <w:tcW w:w="0" w:type="auto"/>
            <w:shd w:val="clear" w:color="auto" w:fill="CCEEFF"/>
            <w:hideMark/>
          </w:tcPr>
          <w:p w14:paraId="6AC311B2" w14:textId="77777777" w:rsidR="00000000" w:rsidRDefault="002F725F">
            <w:pPr>
              <w:jc w:val="center"/>
              <w:rPr>
                <w:rFonts w:eastAsia="Times New Roman"/>
                <w:sz w:val="20"/>
                <w:szCs w:val="20"/>
              </w:rPr>
            </w:pPr>
            <w:r>
              <w:rPr>
                <w:rFonts w:eastAsia="Times New Roman"/>
                <w:sz w:val="20"/>
                <w:szCs w:val="20"/>
              </w:rPr>
              <w:t>51</w:t>
            </w:r>
          </w:p>
        </w:tc>
      </w:tr>
      <w:tr w:rsidR="00000000" w14:paraId="2EF39A9E" w14:textId="77777777">
        <w:trPr>
          <w:divId w:val="415980837"/>
        </w:trPr>
        <w:tc>
          <w:tcPr>
            <w:tcW w:w="0" w:type="auto"/>
            <w:shd w:val="clear" w:color="auto" w:fill="FFFFFF"/>
            <w:noWrap/>
            <w:tcMar>
              <w:top w:w="0" w:type="dxa"/>
              <w:left w:w="180" w:type="dxa"/>
              <w:bottom w:w="0" w:type="dxa"/>
              <w:right w:w="0" w:type="dxa"/>
            </w:tcMar>
            <w:hideMark/>
          </w:tcPr>
          <w:p w14:paraId="5FA184AB" w14:textId="77777777" w:rsidR="00000000" w:rsidRDefault="002F725F">
            <w:pPr>
              <w:rPr>
                <w:rFonts w:eastAsia="Times New Roman"/>
                <w:sz w:val="20"/>
                <w:szCs w:val="20"/>
              </w:rPr>
            </w:pPr>
            <w:r>
              <w:rPr>
                <w:rFonts w:eastAsia="Times New Roman"/>
                <w:sz w:val="20"/>
                <w:szCs w:val="20"/>
              </w:rPr>
              <w:t>Section 10.4</w:t>
            </w:r>
          </w:p>
        </w:tc>
        <w:tc>
          <w:tcPr>
            <w:tcW w:w="0" w:type="auto"/>
            <w:shd w:val="clear" w:color="auto" w:fill="FFFFFF"/>
            <w:hideMark/>
          </w:tcPr>
          <w:p w14:paraId="526B6F9C" w14:textId="77777777" w:rsidR="00000000" w:rsidRDefault="002F725F">
            <w:pPr>
              <w:rPr>
                <w:rFonts w:eastAsia="Times New Roman"/>
                <w:sz w:val="20"/>
                <w:szCs w:val="20"/>
              </w:rPr>
            </w:pPr>
            <w:r>
              <w:rPr>
                <w:rFonts w:eastAsia="Times New Roman"/>
                <w:sz w:val="20"/>
                <w:szCs w:val="20"/>
              </w:rPr>
              <w:t>Counterparts</w:t>
            </w:r>
          </w:p>
        </w:tc>
        <w:tc>
          <w:tcPr>
            <w:tcW w:w="0" w:type="auto"/>
            <w:shd w:val="clear" w:color="auto" w:fill="FFFFFF"/>
            <w:hideMark/>
          </w:tcPr>
          <w:p w14:paraId="7EA58531" w14:textId="77777777" w:rsidR="00000000" w:rsidRDefault="002F725F">
            <w:pPr>
              <w:jc w:val="center"/>
              <w:rPr>
                <w:rFonts w:eastAsia="Times New Roman"/>
                <w:sz w:val="20"/>
                <w:szCs w:val="20"/>
              </w:rPr>
            </w:pPr>
            <w:r>
              <w:rPr>
                <w:rFonts w:eastAsia="Times New Roman"/>
                <w:sz w:val="20"/>
                <w:szCs w:val="20"/>
              </w:rPr>
              <w:t>51</w:t>
            </w:r>
          </w:p>
        </w:tc>
      </w:tr>
      <w:tr w:rsidR="00000000" w14:paraId="418B78F2" w14:textId="77777777">
        <w:trPr>
          <w:divId w:val="415980837"/>
        </w:trPr>
        <w:tc>
          <w:tcPr>
            <w:tcW w:w="0" w:type="auto"/>
            <w:shd w:val="clear" w:color="auto" w:fill="CCEEFF"/>
            <w:noWrap/>
            <w:tcMar>
              <w:top w:w="0" w:type="dxa"/>
              <w:left w:w="180" w:type="dxa"/>
              <w:bottom w:w="0" w:type="dxa"/>
              <w:right w:w="0" w:type="dxa"/>
            </w:tcMar>
            <w:hideMark/>
          </w:tcPr>
          <w:p w14:paraId="527F75F1" w14:textId="77777777" w:rsidR="00000000" w:rsidRDefault="002F725F">
            <w:pPr>
              <w:rPr>
                <w:rFonts w:eastAsia="Times New Roman"/>
                <w:sz w:val="20"/>
                <w:szCs w:val="20"/>
              </w:rPr>
            </w:pPr>
            <w:r>
              <w:rPr>
                <w:rFonts w:eastAsia="Times New Roman"/>
                <w:sz w:val="20"/>
                <w:szCs w:val="20"/>
              </w:rPr>
              <w:t>Section 10.5</w:t>
            </w:r>
          </w:p>
        </w:tc>
        <w:tc>
          <w:tcPr>
            <w:tcW w:w="0" w:type="auto"/>
            <w:shd w:val="clear" w:color="auto" w:fill="CCEEFF"/>
            <w:hideMark/>
          </w:tcPr>
          <w:p w14:paraId="7EDC7085" w14:textId="77777777" w:rsidR="00000000" w:rsidRDefault="002F725F">
            <w:pPr>
              <w:rPr>
                <w:rFonts w:eastAsia="Times New Roman"/>
                <w:sz w:val="20"/>
                <w:szCs w:val="20"/>
              </w:rPr>
            </w:pPr>
            <w:r>
              <w:rPr>
                <w:rFonts w:eastAsia="Times New Roman"/>
                <w:sz w:val="20"/>
                <w:szCs w:val="20"/>
              </w:rPr>
              <w:t>Entire Agreement</w:t>
            </w:r>
          </w:p>
        </w:tc>
        <w:tc>
          <w:tcPr>
            <w:tcW w:w="0" w:type="auto"/>
            <w:shd w:val="clear" w:color="auto" w:fill="CCEEFF"/>
            <w:hideMark/>
          </w:tcPr>
          <w:p w14:paraId="69D59394" w14:textId="77777777" w:rsidR="00000000" w:rsidRDefault="002F725F">
            <w:pPr>
              <w:jc w:val="center"/>
              <w:rPr>
                <w:rFonts w:eastAsia="Times New Roman"/>
                <w:sz w:val="20"/>
                <w:szCs w:val="20"/>
              </w:rPr>
            </w:pPr>
            <w:r>
              <w:rPr>
                <w:rFonts w:eastAsia="Times New Roman"/>
                <w:sz w:val="20"/>
                <w:szCs w:val="20"/>
              </w:rPr>
              <w:t>51</w:t>
            </w:r>
          </w:p>
        </w:tc>
      </w:tr>
      <w:tr w:rsidR="00000000" w14:paraId="783E1129" w14:textId="77777777">
        <w:trPr>
          <w:divId w:val="415980837"/>
        </w:trPr>
        <w:tc>
          <w:tcPr>
            <w:tcW w:w="0" w:type="auto"/>
            <w:shd w:val="clear" w:color="auto" w:fill="FFFFFF"/>
            <w:noWrap/>
            <w:tcMar>
              <w:top w:w="0" w:type="dxa"/>
              <w:left w:w="180" w:type="dxa"/>
              <w:bottom w:w="0" w:type="dxa"/>
              <w:right w:w="0" w:type="dxa"/>
            </w:tcMar>
            <w:hideMark/>
          </w:tcPr>
          <w:p w14:paraId="1EABB023" w14:textId="77777777" w:rsidR="00000000" w:rsidRDefault="002F725F">
            <w:pPr>
              <w:rPr>
                <w:rFonts w:eastAsia="Times New Roman"/>
                <w:sz w:val="20"/>
                <w:szCs w:val="20"/>
              </w:rPr>
            </w:pPr>
            <w:r>
              <w:rPr>
                <w:rFonts w:eastAsia="Times New Roman"/>
                <w:sz w:val="20"/>
                <w:szCs w:val="20"/>
              </w:rPr>
              <w:t>Section 10.6</w:t>
            </w:r>
          </w:p>
        </w:tc>
        <w:tc>
          <w:tcPr>
            <w:tcW w:w="0" w:type="auto"/>
            <w:shd w:val="clear" w:color="auto" w:fill="FFFFFF"/>
            <w:hideMark/>
          </w:tcPr>
          <w:p w14:paraId="3B90E87C" w14:textId="77777777" w:rsidR="00000000" w:rsidRDefault="002F725F">
            <w:pPr>
              <w:rPr>
                <w:rFonts w:eastAsia="Times New Roman"/>
                <w:sz w:val="20"/>
                <w:szCs w:val="20"/>
              </w:rPr>
            </w:pPr>
            <w:r>
              <w:rPr>
                <w:rFonts w:eastAsia="Times New Roman"/>
                <w:sz w:val="20"/>
                <w:szCs w:val="20"/>
              </w:rPr>
              <w:t>Parties in Interest</w:t>
            </w:r>
          </w:p>
        </w:tc>
        <w:tc>
          <w:tcPr>
            <w:tcW w:w="0" w:type="auto"/>
            <w:shd w:val="clear" w:color="auto" w:fill="FFFFFF"/>
            <w:hideMark/>
          </w:tcPr>
          <w:p w14:paraId="4133B89C" w14:textId="77777777" w:rsidR="00000000" w:rsidRDefault="002F725F">
            <w:pPr>
              <w:jc w:val="center"/>
              <w:rPr>
                <w:rFonts w:eastAsia="Times New Roman"/>
                <w:sz w:val="20"/>
                <w:szCs w:val="20"/>
              </w:rPr>
            </w:pPr>
            <w:r>
              <w:rPr>
                <w:rFonts w:eastAsia="Times New Roman"/>
                <w:sz w:val="20"/>
                <w:szCs w:val="20"/>
              </w:rPr>
              <w:t>51</w:t>
            </w:r>
          </w:p>
        </w:tc>
      </w:tr>
      <w:tr w:rsidR="00000000" w14:paraId="27050A65" w14:textId="77777777">
        <w:trPr>
          <w:divId w:val="415980837"/>
        </w:trPr>
        <w:tc>
          <w:tcPr>
            <w:tcW w:w="0" w:type="auto"/>
            <w:shd w:val="clear" w:color="auto" w:fill="CCEEFF"/>
            <w:noWrap/>
            <w:tcMar>
              <w:top w:w="0" w:type="dxa"/>
              <w:left w:w="180" w:type="dxa"/>
              <w:bottom w:w="0" w:type="dxa"/>
              <w:right w:w="0" w:type="dxa"/>
            </w:tcMar>
            <w:hideMark/>
          </w:tcPr>
          <w:p w14:paraId="00253F98" w14:textId="77777777" w:rsidR="00000000" w:rsidRDefault="002F725F">
            <w:pPr>
              <w:rPr>
                <w:rFonts w:eastAsia="Times New Roman"/>
                <w:sz w:val="20"/>
                <w:szCs w:val="20"/>
              </w:rPr>
            </w:pPr>
            <w:r>
              <w:rPr>
                <w:rFonts w:eastAsia="Times New Roman"/>
                <w:sz w:val="20"/>
                <w:szCs w:val="20"/>
              </w:rPr>
              <w:t>Section 10.7</w:t>
            </w:r>
          </w:p>
        </w:tc>
        <w:tc>
          <w:tcPr>
            <w:tcW w:w="0" w:type="auto"/>
            <w:shd w:val="clear" w:color="auto" w:fill="CCEEFF"/>
            <w:hideMark/>
          </w:tcPr>
          <w:p w14:paraId="30055AB3" w14:textId="77777777" w:rsidR="00000000" w:rsidRDefault="002F725F">
            <w:pPr>
              <w:rPr>
                <w:rFonts w:eastAsia="Times New Roman"/>
                <w:sz w:val="20"/>
                <w:szCs w:val="20"/>
              </w:rPr>
            </w:pPr>
            <w:r>
              <w:rPr>
                <w:rFonts w:eastAsia="Times New Roman"/>
                <w:sz w:val="20"/>
                <w:szCs w:val="20"/>
              </w:rPr>
              <w:t>Severability</w:t>
            </w:r>
          </w:p>
        </w:tc>
        <w:tc>
          <w:tcPr>
            <w:tcW w:w="0" w:type="auto"/>
            <w:shd w:val="clear" w:color="auto" w:fill="CCEEFF"/>
            <w:hideMark/>
          </w:tcPr>
          <w:p w14:paraId="58754C82" w14:textId="77777777" w:rsidR="00000000" w:rsidRDefault="002F725F">
            <w:pPr>
              <w:jc w:val="center"/>
              <w:rPr>
                <w:rFonts w:eastAsia="Times New Roman"/>
                <w:sz w:val="20"/>
                <w:szCs w:val="20"/>
              </w:rPr>
            </w:pPr>
            <w:r>
              <w:rPr>
                <w:rFonts w:eastAsia="Times New Roman"/>
                <w:sz w:val="20"/>
                <w:szCs w:val="20"/>
              </w:rPr>
              <w:t>52</w:t>
            </w:r>
          </w:p>
        </w:tc>
      </w:tr>
      <w:tr w:rsidR="00000000" w14:paraId="7B574F4B" w14:textId="77777777">
        <w:trPr>
          <w:divId w:val="415980837"/>
        </w:trPr>
        <w:tc>
          <w:tcPr>
            <w:tcW w:w="0" w:type="auto"/>
            <w:shd w:val="clear" w:color="auto" w:fill="FFFFFF"/>
            <w:noWrap/>
            <w:tcMar>
              <w:top w:w="0" w:type="dxa"/>
              <w:left w:w="180" w:type="dxa"/>
              <w:bottom w:w="0" w:type="dxa"/>
              <w:right w:w="0" w:type="dxa"/>
            </w:tcMar>
            <w:hideMark/>
          </w:tcPr>
          <w:p w14:paraId="076C7F24" w14:textId="77777777" w:rsidR="00000000" w:rsidRDefault="002F725F">
            <w:pPr>
              <w:rPr>
                <w:rFonts w:eastAsia="Times New Roman"/>
                <w:sz w:val="20"/>
                <w:szCs w:val="20"/>
              </w:rPr>
            </w:pPr>
            <w:r>
              <w:rPr>
                <w:rFonts w:eastAsia="Times New Roman"/>
                <w:sz w:val="20"/>
                <w:szCs w:val="20"/>
              </w:rPr>
              <w:t>Section 10.8</w:t>
            </w:r>
          </w:p>
        </w:tc>
        <w:tc>
          <w:tcPr>
            <w:tcW w:w="0" w:type="auto"/>
            <w:shd w:val="clear" w:color="auto" w:fill="FFFFFF"/>
            <w:hideMark/>
          </w:tcPr>
          <w:p w14:paraId="68562F43" w14:textId="77777777" w:rsidR="00000000" w:rsidRDefault="002F725F">
            <w:pPr>
              <w:rPr>
                <w:rFonts w:eastAsia="Times New Roman"/>
                <w:sz w:val="20"/>
                <w:szCs w:val="20"/>
              </w:rPr>
            </w:pPr>
            <w:r>
              <w:rPr>
                <w:rFonts w:eastAsia="Times New Roman"/>
                <w:sz w:val="20"/>
                <w:szCs w:val="20"/>
              </w:rPr>
              <w:t>Governing Law</w:t>
            </w:r>
          </w:p>
        </w:tc>
        <w:tc>
          <w:tcPr>
            <w:tcW w:w="0" w:type="auto"/>
            <w:shd w:val="clear" w:color="auto" w:fill="FFFFFF"/>
            <w:hideMark/>
          </w:tcPr>
          <w:p w14:paraId="4D601D77" w14:textId="77777777" w:rsidR="00000000" w:rsidRDefault="002F725F">
            <w:pPr>
              <w:jc w:val="center"/>
              <w:rPr>
                <w:rFonts w:eastAsia="Times New Roman"/>
                <w:sz w:val="20"/>
                <w:szCs w:val="20"/>
              </w:rPr>
            </w:pPr>
            <w:r>
              <w:rPr>
                <w:rFonts w:eastAsia="Times New Roman"/>
                <w:sz w:val="20"/>
                <w:szCs w:val="20"/>
              </w:rPr>
              <w:t>52</w:t>
            </w:r>
          </w:p>
        </w:tc>
      </w:tr>
      <w:tr w:rsidR="00000000" w14:paraId="2C1D1FC9" w14:textId="77777777">
        <w:trPr>
          <w:divId w:val="415980837"/>
        </w:trPr>
        <w:tc>
          <w:tcPr>
            <w:tcW w:w="0" w:type="auto"/>
            <w:shd w:val="clear" w:color="auto" w:fill="CCEEFF"/>
            <w:noWrap/>
            <w:tcMar>
              <w:top w:w="0" w:type="dxa"/>
              <w:left w:w="180" w:type="dxa"/>
              <w:bottom w:w="0" w:type="dxa"/>
              <w:right w:w="0" w:type="dxa"/>
            </w:tcMar>
            <w:hideMark/>
          </w:tcPr>
          <w:p w14:paraId="5F89F41E" w14:textId="77777777" w:rsidR="00000000" w:rsidRDefault="002F725F">
            <w:pPr>
              <w:rPr>
                <w:rFonts w:eastAsia="Times New Roman"/>
                <w:sz w:val="20"/>
                <w:szCs w:val="20"/>
              </w:rPr>
            </w:pPr>
            <w:r>
              <w:rPr>
                <w:rFonts w:eastAsia="Times New Roman"/>
                <w:sz w:val="20"/>
                <w:szCs w:val="20"/>
              </w:rPr>
              <w:t>Section 10.9</w:t>
            </w:r>
          </w:p>
        </w:tc>
        <w:tc>
          <w:tcPr>
            <w:tcW w:w="0" w:type="auto"/>
            <w:shd w:val="clear" w:color="auto" w:fill="CCEEFF"/>
            <w:hideMark/>
          </w:tcPr>
          <w:p w14:paraId="4A67171D" w14:textId="77777777" w:rsidR="00000000" w:rsidRDefault="002F725F">
            <w:pPr>
              <w:rPr>
                <w:rFonts w:eastAsia="Times New Roman"/>
                <w:sz w:val="20"/>
                <w:szCs w:val="20"/>
              </w:rPr>
            </w:pPr>
            <w:r>
              <w:rPr>
                <w:rFonts w:eastAsia="Times New Roman"/>
                <w:sz w:val="20"/>
                <w:szCs w:val="20"/>
              </w:rPr>
              <w:t>Disputes</w:t>
            </w:r>
          </w:p>
        </w:tc>
        <w:tc>
          <w:tcPr>
            <w:tcW w:w="0" w:type="auto"/>
            <w:shd w:val="clear" w:color="auto" w:fill="CCEEFF"/>
            <w:hideMark/>
          </w:tcPr>
          <w:p w14:paraId="6FEE82CF" w14:textId="77777777" w:rsidR="00000000" w:rsidRDefault="002F725F">
            <w:pPr>
              <w:jc w:val="center"/>
              <w:rPr>
                <w:rFonts w:eastAsia="Times New Roman"/>
                <w:sz w:val="20"/>
                <w:szCs w:val="20"/>
              </w:rPr>
            </w:pPr>
            <w:r>
              <w:rPr>
                <w:rFonts w:eastAsia="Times New Roman"/>
                <w:sz w:val="20"/>
                <w:szCs w:val="20"/>
              </w:rPr>
              <w:t>52</w:t>
            </w:r>
          </w:p>
        </w:tc>
      </w:tr>
      <w:tr w:rsidR="00000000" w14:paraId="4740CD46" w14:textId="77777777">
        <w:trPr>
          <w:divId w:val="415980837"/>
        </w:trPr>
        <w:tc>
          <w:tcPr>
            <w:tcW w:w="0" w:type="auto"/>
            <w:shd w:val="clear" w:color="auto" w:fill="FFFFFF"/>
            <w:noWrap/>
            <w:tcMar>
              <w:top w:w="0" w:type="dxa"/>
              <w:left w:w="180" w:type="dxa"/>
              <w:bottom w:w="0" w:type="dxa"/>
              <w:right w:w="0" w:type="dxa"/>
            </w:tcMar>
            <w:hideMark/>
          </w:tcPr>
          <w:p w14:paraId="74591ABD" w14:textId="77777777" w:rsidR="00000000" w:rsidRDefault="002F725F">
            <w:pPr>
              <w:rPr>
                <w:rFonts w:eastAsia="Times New Roman"/>
                <w:sz w:val="20"/>
                <w:szCs w:val="20"/>
              </w:rPr>
            </w:pPr>
            <w:r>
              <w:rPr>
                <w:rFonts w:eastAsia="Times New Roman"/>
                <w:sz w:val="20"/>
                <w:szCs w:val="20"/>
              </w:rPr>
              <w:t>Section 10.10</w:t>
            </w:r>
          </w:p>
        </w:tc>
        <w:tc>
          <w:tcPr>
            <w:tcW w:w="0" w:type="auto"/>
            <w:shd w:val="clear" w:color="auto" w:fill="FFFFFF"/>
            <w:hideMark/>
          </w:tcPr>
          <w:p w14:paraId="1963B1C2" w14:textId="77777777" w:rsidR="00000000" w:rsidRDefault="002F725F">
            <w:pPr>
              <w:rPr>
                <w:rFonts w:eastAsia="Times New Roman"/>
                <w:sz w:val="20"/>
                <w:szCs w:val="20"/>
              </w:rPr>
            </w:pPr>
            <w:r>
              <w:rPr>
                <w:rFonts w:eastAsia="Times New Roman"/>
                <w:sz w:val="20"/>
                <w:szCs w:val="20"/>
              </w:rPr>
              <w:t>Specific Performance</w:t>
            </w:r>
          </w:p>
        </w:tc>
        <w:tc>
          <w:tcPr>
            <w:tcW w:w="0" w:type="auto"/>
            <w:shd w:val="clear" w:color="auto" w:fill="FFFFFF"/>
            <w:hideMark/>
          </w:tcPr>
          <w:p w14:paraId="20A724F0" w14:textId="77777777" w:rsidR="00000000" w:rsidRDefault="002F725F">
            <w:pPr>
              <w:jc w:val="center"/>
              <w:rPr>
                <w:rFonts w:eastAsia="Times New Roman"/>
                <w:sz w:val="20"/>
                <w:szCs w:val="20"/>
              </w:rPr>
            </w:pPr>
            <w:r>
              <w:rPr>
                <w:rFonts w:eastAsia="Times New Roman"/>
                <w:sz w:val="20"/>
                <w:szCs w:val="20"/>
              </w:rPr>
              <w:t>53</w:t>
            </w:r>
          </w:p>
        </w:tc>
      </w:tr>
      <w:tr w:rsidR="00000000" w14:paraId="7FAA6A70" w14:textId="77777777">
        <w:trPr>
          <w:divId w:val="415980837"/>
        </w:trPr>
        <w:tc>
          <w:tcPr>
            <w:tcW w:w="0" w:type="auto"/>
            <w:shd w:val="clear" w:color="auto" w:fill="CCEEFF"/>
            <w:noWrap/>
            <w:tcMar>
              <w:top w:w="0" w:type="dxa"/>
              <w:left w:w="180" w:type="dxa"/>
              <w:bottom w:w="0" w:type="dxa"/>
              <w:right w:w="0" w:type="dxa"/>
            </w:tcMar>
            <w:hideMark/>
          </w:tcPr>
          <w:p w14:paraId="1C0FD837" w14:textId="77777777" w:rsidR="00000000" w:rsidRDefault="002F725F">
            <w:pPr>
              <w:rPr>
                <w:rFonts w:eastAsia="Times New Roman"/>
                <w:sz w:val="20"/>
                <w:szCs w:val="20"/>
              </w:rPr>
            </w:pPr>
            <w:r>
              <w:rPr>
                <w:rFonts w:eastAsia="Times New Roman"/>
                <w:sz w:val="20"/>
                <w:szCs w:val="20"/>
              </w:rPr>
              <w:t>Section 10.11</w:t>
            </w:r>
          </w:p>
        </w:tc>
        <w:tc>
          <w:tcPr>
            <w:tcW w:w="0" w:type="auto"/>
            <w:shd w:val="clear" w:color="auto" w:fill="CCEEFF"/>
            <w:hideMark/>
          </w:tcPr>
          <w:p w14:paraId="26E66B08" w14:textId="77777777" w:rsidR="00000000" w:rsidRDefault="002F725F">
            <w:pPr>
              <w:rPr>
                <w:rFonts w:eastAsia="Times New Roman"/>
                <w:sz w:val="20"/>
                <w:szCs w:val="20"/>
              </w:rPr>
            </w:pPr>
            <w:r>
              <w:rPr>
                <w:rFonts w:eastAsia="Times New Roman"/>
                <w:sz w:val="20"/>
                <w:szCs w:val="20"/>
              </w:rPr>
              <w:t>Assignment</w:t>
            </w:r>
          </w:p>
        </w:tc>
        <w:tc>
          <w:tcPr>
            <w:tcW w:w="0" w:type="auto"/>
            <w:shd w:val="clear" w:color="auto" w:fill="CCEEFF"/>
            <w:hideMark/>
          </w:tcPr>
          <w:p w14:paraId="70A4DC75" w14:textId="77777777" w:rsidR="00000000" w:rsidRDefault="002F725F">
            <w:pPr>
              <w:jc w:val="center"/>
              <w:rPr>
                <w:rFonts w:eastAsia="Times New Roman"/>
                <w:sz w:val="20"/>
                <w:szCs w:val="20"/>
              </w:rPr>
            </w:pPr>
            <w:r>
              <w:rPr>
                <w:rFonts w:eastAsia="Times New Roman"/>
                <w:sz w:val="20"/>
                <w:szCs w:val="20"/>
              </w:rPr>
              <w:t>54</w:t>
            </w:r>
          </w:p>
        </w:tc>
      </w:tr>
      <w:tr w:rsidR="00000000" w14:paraId="415E3237" w14:textId="77777777">
        <w:trPr>
          <w:divId w:val="415980837"/>
        </w:trPr>
        <w:tc>
          <w:tcPr>
            <w:tcW w:w="0" w:type="auto"/>
            <w:shd w:val="clear" w:color="auto" w:fill="FFFFFF"/>
            <w:noWrap/>
            <w:tcMar>
              <w:top w:w="0" w:type="dxa"/>
              <w:left w:w="180" w:type="dxa"/>
              <w:bottom w:w="0" w:type="dxa"/>
              <w:right w:w="0" w:type="dxa"/>
            </w:tcMar>
            <w:hideMark/>
          </w:tcPr>
          <w:p w14:paraId="47C2474B" w14:textId="77777777" w:rsidR="00000000" w:rsidRDefault="002F725F">
            <w:pPr>
              <w:rPr>
                <w:rFonts w:eastAsia="Times New Roman"/>
                <w:sz w:val="20"/>
                <w:szCs w:val="20"/>
              </w:rPr>
            </w:pPr>
            <w:r>
              <w:rPr>
                <w:rFonts w:eastAsia="Times New Roman"/>
                <w:sz w:val="20"/>
                <w:szCs w:val="20"/>
              </w:rPr>
              <w:t>Section 10.12</w:t>
            </w:r>
          </w:p>
        </w:tc>
        <w:tc>
          <w:tcPr>
            <w:tcW w:w="0" w:type="auto"/>
            <w:shd w:val="clear" w:color="auto" w:fill="FFFFFF"/>
            <w:hideMark/>
          </w:tcPr>
          <w:p w14:paraId="0335E4C9" w14:textId="77777777" w:rsidR="00000000" w:rsidRDefault="002F725F">
            <w:pPr>
              <w:rPr>
                <w:rFonts w:eastAsia="Times New Roman"/>
                <w:sz w:val="20"/>
                <w:szCs w:val="20"/>
              </w:rPr>
            </w:pPr>
            <w:r>
              <w:rPr>
                <w:rFonts w:eastAsia="Times New Roman"/>
                <w:sz w:val="20"/>
                <w:szCs w:val="20"/>
              </w:rPr>
              <w:t>Confidentiality</w:t>
            </w:r>
          </w:p>
        </w:tc>
        <w:tc>
          <w:tcPr>
            <w:tcW w:w="0" w:type="auto"/>
            <w:shd w:val="clear" w:color="auto" w:fill="FFFFFF"/>
            <w:hideMark/>
          </w:tcPr>
          <w:p w14:paraId="4596B302" w14:textId="77777777" w:rsidR="00000000" w:rsidRDefault="002F725F">
            <w:pPr>
              <w:jc w:val="center"/>
              <w:rPr>
                <w:rFonts w:eastAsia="Times New Roman"/>
                <w:sz w:val="20"/>
                <w:szCs w:val="20"/>
              </w:rPr>
            </w:pPr>
            <w:r>
              <w:rPr>
                <w:rFonts w:eastAsia="Times New Roman"/>
                <w:sz w:val="20"/>
                <w:szCs w:val="20"/>
              </w:rPr>
              <w:t>54</w:t>
            </w:r>
          </w:p>
        </w:tc>
      </w:tr>
      <w:tr w:rsidR="00000000" w14:paraId="04A53035" w14:textId="77777777">
        <w:trPr>
          <w:divId w:val="415980837"/>
        </w:trPr>
        <w:tc>
          <w:tcPr>
            <w:tcW w:w="0" w:type="auto"/>
            <w:shd w:val="clear" w:color="auto" w:fill="CCEEFF"/>
            <w:noWrap/>
            <w:tcMar>
              <w:top w:w="0" w:type="dxa"/>
              <w:left w:w="180" w:type="dxa"/>
              <w:bottom w:w="0" w:type="dxa"/>
              <w:right w:w="0" w:type="dxa"/>
            </w:tcMar>
            <w:hideMark/>
          </w:tcPr>
          <w:p w14:paraId="55B93455" w14:textId="77777777" w:rsidR="00000000" w:rsidRDefault="002F725F">
            <w:pPr>
              <w:rPr>
                <w:rFonts w:eastAsia="Times New Roman"/>
                <w:sz w:val="20"/>
                <w:szCs w:val="20"/>
              </w:rPr>
            </w:pPr>
            <w:r>
              <w:rPr>
                <w:rFonts w:eastAsia="Times New Roman"/>
                <w:sz w:val="20"/>
                <w:szCs w:val="20"/>
              </w:rPr>
              <w:t>Section 10.13</w:t>
            </w:r>
          </w:p>
        </w:tc>
        <w:tc>
          <w:tcPr>
            <w:tcW w:w="0" w:type="auto"/>
            <w:shd w:val="clear" w:color="auto" w:fill="CCEEFF"/>
            <w:hideMark/>
          </w:tcPr>
          <w:p w14:paraId="3D197E3D" w14:textId="77777777" w:rsidR="00000000" w:rsidRDefault="002F725F">
            <w:pPr>
              <w:rPr>
                <w:rFonts w:eastAsia="Times New Roman"/>
                <w:sz w:val="20"/>
                <w:szCs w:val="20"/>
              </w:rPr>
            </w:pPr>
            <w:r>
              <w:rPr>
                <w:rFonts w:eastAsia="Times New Roman"/>
                <w:sz w:val="20"/>
                <w:szCs w:val="20"/>
              </w:rPr>
              <w:t>Expenses</w:t>
            </w:r>
          </w:p>
        </w:tc>
        <w:tc>
          <w:tcPr>
            <w:tcW w:w="0" w:type="auto"/>
            <w:shd w:val="clear" w:color="auto" w:fill="CCEEFF"/>
            <w:hideMark/>
          </w:tcPr>
          <w:p w14:paraId="160CD071" w14:textId="77777777" w:rsidR="00000000" w:rsidRDefault="002F725F">
            <w:pPr>
              <w:jc w:val="center"/>
              <w:rPr>
                <w:rFonts w:eastAsia="Times New Roman"/>
                <w:sz w:val="20"/>
                <w:szCs w:val="20"/>
              </w:rPr>
            </w:pPr>
            <w:r>
              <w:rPr>
                <w:rFonts w:eastAsia="Times New Roman"/>
                <w:sz w:val="20"/>
                <w:szCs w:val="20"/>
              </w:rPr>
              <w:t>54</w:t>
            </w:r>
          </w:p>
        </w:tc>
      </w:tr>
      <w:tr w:rsidR="00000000" w14:paraId="516CCB8C" w14:textId="77777777">
        <w:trPr>
          <w:divId w:val="415980837"/>
        </w:trPr>
        <w:tc>
          <w:tcPr>
            <w:tcW w:w="0" w:type="auto"/>
            <w:shd w:val="clear" w:color="auto" w:fill="FFFFFF"/>
            <w:noWrap/>
            <w:tcMar>
              <w:top w:w="0" w:type="dxa"/>
              <w:left w:w="180" w:type="dxa"/>
              <w:bottom w:w="0" w:type="dxa"/>
              <w:right w:w="0" w:type="dxa"/>
            </w:tcMar>
            <w:hideMark/>
          </w:tcPr>
          <w:p w14:paraId="50371AB9" w14:textId="77777777" w:rsidR="00000000" w:rsidRDefault="002F725F">
            <w:pPr>
              <w:rPr>
                <w:rFonts w:eastAsia="Times New Roman"/>
                <w:sz w:val="20"/>
                <w:szCs w:val="20"/>
              </w:rPr>
            </w:pPr>
            <w:r>
              <w:rPr>
                <w:rFonts w:eastAsia="Times New Roman"/>
                <w:sz w:val="20"/>
                <w:szCs w:val="20"/>
              </w:rPr>
              <w:t>Section 10.14</w:t>
            </w:r>
          </w:p>
        </w:tc>
        <w:tc>
          <w:tcPr>
            <w:tcW w:w="0" w:type="auto"/>
            <w:shd w:val="clear" w:color="auto" w:fill="FFFFFF"/>
            <w:hideMark/>
          </w:tcPr>
          <w:p w14:paraId="6D091142" w14:textId="77777777" w:rsidR="00000000" w:rsidRDefault="002F725F">
            <w:pPr>
              <w:rPr>
                <w:rFonts w:eastAsia="Times New Roman"/>
                <w:sz w:val="20"/>
                <w:szCs w:val="20"/>
              </w:rPr>
            </w:pPr>
            <w:r>
              <w:rPr>
                <w:rFonts w:eastAsia="Times New Roman"/>
                <w:sz w:val="20"/>
                <w:szCs w:val="20"/>
              </w:rPr>
              <w:t>Headings</w:t>
            </w:r>
          </w:p>
        </w:tc>
        <w:tc>
          <w:tcPr>
            <w:tcW w:w="0" w:type="auto"/>
            <w:shd w:val="clear" w:color="auto" w:fill="FFFFFF"/>
            <w:hideMark/>
          </w:tcPr>
          <w:p w14:paraId="0FE7F9F4" w14:textId="77777777" w:rsidR="00000000" w:rsidRDefault="002F725F">
            <w:pPr>
              <w:jc w:val="center"/>
              <w:rPr>
                <w:rFonts w:eastAsia="Times New Roman"/>
                <w:sz w:val="20"/>
                <w:szCs w:val="20"/>
              </w:rPr>
            </w:pPr>
            <w:r>
              <w:rPr>
                <w:rFonts w:eastAsia="Times New Roman"/>
                <w:sz w:val="20"/>
                <w:szCs w:val="20"/>
              </w:rPr>
              <w:t>54</w:t>
            </w:r>
          </w:p>
        </w:tc>
      </w:tr>
      <w:tr w:rsidR="00000000" w14:paraId="39E176F7" w14:textId="77777777">
        <w:trPr>
          <w:divId w:val="415980837"/>
        </w:trPr>
        <w:tc>
          <w:tcPr>
            <w:tcW w:w="0" w:type="auto"/>
            <w:shd w:val="clear" w:color="auto" w:fill="CCEEFF"/>
            <w:noWrap/>
            <w:tcMar>
              <w:top w:w="0" w:type="dxa"/>
              <w:left w:w="180" w:type="dxa"/>
              <w:bottom w:w="0" w:type="dxa"/>
              <w:right w:w="0" w:type="dxa"/>
            </w:tcMar>
            <w:hideMark/>
          </w:tcPr>
          <w:p w14:paraId="55C9A5C1" w14:textId="77777777" w:rsidR="00000000" w:rsidRDefault="002F725F">
            <w:pPr>
              <w:rPr>
                <w:rFonts w:eastAsia="Times New Roman"/>
                <w:sz w:val="20"/>
                <w:szCs w:val="20"/>
              </w:rPr>
            </w:pPr>
            <w:r>
              <w:rPr>
                <w:rFonts w:eastAsia="Times New Roman"/>
                <w:sz w:val="20"/>
                <w:szCs w:val="20"/>
              </w:rPr>
              <w:t>Section 10.15</w:t>
            </w:r>
          </w:p>
        </w:tc>
        <w:tc>
          <w:tcPr>
            <w:tcW w:w="0" w:type="auto"/>
            <w:shd w:val="clear" w:color="auto" w:fill="CCEEFF"/>
            <w:hideMark/>
          </w:tcPr>
          <w:p w14:paraId="33E8CC88" w14:textId="77777777" w:rsidR="00000000" w:rsidRDefault="002F725F">
            <w:pPr>
              <w:rPr>
                <w:rFonts w:eastAsia="Times New Roman"/>
                <w:sz w:val="20"/>
                <w:szCs w:val="20"/>
              </w:rPr>
            </w:pPr>
            <w:r>
              <w:rPr>
                <w:rFonts w:eastAsia="Times New Roman"/>
                <w:sz w:val="20"/>
                <w:szCs w:val="20"/>
              </w:rPr>
              <w:t>Waivers</w:t>
            </w:r>
          </w:p>
        </w:tc>
        <w:tc>
          <w:tcPr>
            <w:tcW w:w="0" w:type="auto"/>
            <w:shd w:val="clear" w:color="auto" w:fill="CCEEFF"/>
            <w:hideMark/>
          </w:tcPr>
          <w:p w14:paraId="04FB5B12" w14:textId="77777777" w:rsidR="00000000" w:rsidRDefault="002F725F">
            <w:pPr>
              <w:jc w:val="center"/>
              <w:rPr>
                <w:rFonts w:eastAsia="Times New Roman"/>
                <w:sz w:val="20"/>
                <w:szCs w:val="20"/>
              </w:rPr>
            </w:pPr>
            <w:r>
              <w:rPr>
                <w:rFonts w:eastAsia="Times New Roman"/>
                <w:sz w:val="20"/>
                <w:szCs w:val="20"/>
              </w:rPr>
              <w:t>54</w:t>
            </w:r>
          </w:p>
        </w:tc>
      </w:tr>
      <w:tr w:rsidR="00000000" w14:paraId="464F528F" w14:textId="77777777">
        <w:trPr>
          <w:divId w:val="415980837"/>
        </w:trPr>
        <w:tc>
          <w:tcPr>
            <w:tcW w:w="0" w:type="auto"/>
            <w:shd w:val="clear" w:color="auto" w:fill="FFFFFF"/>
            <w:noWrap/>
            <w:tcMar>
              <w:top w:w="0" w:type="dxa"/>
              <w:left w:w="180" w:type="dxa"/>
              <w:bottom w:w="0" w:type="dxa"/>
              <w:right w:w="0" w:type="dxa"/>
            </w:tcMar>
            <w:hideMark/>
          </w:tcPr>
          <w:p w14:paraId="199DA8C4" w14:textId="77777777" w:rsidR="00000000" w:rsidRDefault="002F725F">
            <w:pPr>
              <w:rPr>
                <w:rFonts w:eastAsia="Times New Roman"/>
                <w:sz w:val="20"/>
                <w:szCs w:val="20"/>
              </w:rPr>
            </w:pPr>
            <w:r>
              <w:rPr>
                <w:rFonts w:eastAsia="Times New Roman"/>
                <w:sz w:val="20"/>
                <w:szCs w:val="20"/>
              </w:rPr>
              <w:t>Section 10.16</w:t>
            </w:r>
          </w:p>
        </w:tc>
        <w:tc>
          <w:tcPr>
            <w:tcW w:w="0" w:type="auto"/>
            <w:shd w:val="clear" w:color="auto" w:fill="FFFFFF"/>
            <w:hideMark/>
          </w:tcPr>
          <w:p w14:paraId="5060222C" w14:textId="77777777" w:rsidR="00000000" w:rsidRDefault="002F725F">
            <w:pPr>
              <w:rPr>
                <w:rFonts w:eastAsia="Times New Roman"/>
                <w:sz w:val="20"/>
                <w:szCs w:val="20"/>
              </w:rPr>
            </w:pPr>
            <w:r>
              <w:rPr>
                <w:rFonts w:eastAsia="Times New Roman"/>
                <w:sz w:val="20"/>
                <w:szCs w:val="20"/>
              </w:rPr>
              <w:t>Special Committee Approval</w:t>
            </w:r>
          </w:p>
        </w:tc>
        <w:tc>
          <w:tcPr>
            <w:tcW w:w="0" w:type="auto"/>
            <w:shd w:val="clear" w:color="auto" w:fill="FFFFFF"/>
            <w:hideMark/>
          </w:tcPr>
          <w:p w14:paraId="130BC9F4" w14:textId="77777777" w:rsidR="00000000" w:rsidRDefault="002F725F">
            <w:pPr>
              <w:jc w:val="center"/>
              <w:rPr>
                <w:rFonts w:eastAsia="Times New Roman"/>
                <w:sz w:val="20"/>
                <w:szCs w:val="20"/>
              </w:rPr>
            </w:pPr>
            <w:r>
              <w:rPr>
                <w:rFonts w:eastAsia="Times New Roman"/>
                <w:sz w:val="20"/>
                <w:szCs w:val="20"/>
              </w:rPr>
              <w:t>54</w:t>
            </w:r>
          </w:p>
        </w:tc>
      </w:tr>
    </w:tbl>
    <w:p w14:paraId="6C1F0546"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D1A39A6" w14:textId="77777777" w:rsidR="00000000" w:rsidRDefault="002F725F">
      <w:pPr>
        <w:pStyle w:val="NormalWeb"/>
        <w:spacing w:before="0" w:beforeAutospacing="0" w:after="0" w:afterAutospacing="0"/>
        <w:jc w:val="center"/>
        <w:divId w:val="874544610"/>
        <w:rPr>
          <w:sz w:val="20"/>
          <w:szCs w:val="20"/>
        </w:rPr>
      </w:pPr>
      <w:r>
        <w:rPr>
          <w:sz w:val="20"/>
          <w:szCs w:val="20"/>
        </w:rPr>
        <w:t>A</w:t>
      </w:r>
      <w:r>
        <w:rPr>
          <w:sz w:val="20"/>
          <w:szCs w:val="20"/>
        </w:rPr>
        <w:t>-</w:t>
      </w:r>
      <w:r>
        <w:rPr>
          <w:sz w:val="20"/>
          <w:szCs w:val="20"/>
        </w:rPr>
        <w:t>ii</w:t>
      </w:r>
      <w:r>
        <w:rPr>
          <w:sz w:val="20"/>
          <w:szCs w:val="20"/>
        </w:rPr>
        <w:t>i</w:t>
      </w:r>
    </w:p>
    <w:p w14:paraId="722292CF" w14:textId="77777777" w:rsidR="00000000" w:rsidRDefault="002F725F">
      <w:pPr>
        <w:pStyle w:val="NormalWeb"/>
        <w:spacing w:before="0" w:beforeAutospacing="0" w:after="0" w:afterAutospacing="0"/>
        <w:divId w:val="1998460673"/>
        <w:rPr>
          <w:sz w:val="20"/>
          <w:szCs w:val="20"/>
        </w:rPr>
      </w:pPr>
      <w:r>
        <w:rPr>
          <w:sz w:val="20"/>
          <w:szCs w:val="20"/>
        </w:rPr>
        <w:lastRenderedPageBreak/>
        <w:t> </w:t>
      </w:r>
    </w:p>
    <w:p w14:paraId="3366F2A1"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0F76E5D4" w14:textId="77777777" w:rsidR="00000000" w:rsidRDefault="002F725F">
      <w:pPr>
        <w:pStyle w:val="NormalWeb"/>
        <w:spacing w:before="0" w:beforeAutospacing="0" w:after="0" w:afterAutospacing="0"/>
        <w:jc w:val="center"/>
        <w:divId w:val="415980837"/>
        <w:rPr>
          <w:sz w:val="20"/>
          <w:szCs w:val="20"/>
        </w:rPr>
      </w:pPr>
      <w:r>
        <w:rPr>
          <w:b/>
          <w:bCs/>
          <w:sz w:val="20"/>
          <w:szCs w:val="20"/>
          <w:u w:val="single"/>
        </w:rPr>
        <w:t>AGREEMENT AND PLAN OF MERGER</w:t>
      </w:r>
    </w:p>
    <w:p w14:paraId="5F5BB999"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5CEC1CA4" w14:textId="77777777" w:rsidR="00000000" w:rsidRDefault="002F725F">
      <w:pPr>
        <w:pStyle w:val="NormalWeb"/>
        <w:spacing w:before="0" w:beforeAutospacing="0" w:after="0" w:afterAutospacing="0"/>
        <w:jc w:val="both"/>
        <w:divId w:val="415980837"/>
        <w:rPr>
          <w:sz w:val="20"/>
          <w:szCs w:val="20"/>
        </w:rPr>
      </w:pPr>
      <w:r>
        <w:rPr>
          <w:sz w:val="20"/>
          <w:szCs w:val="20"/>
        </w:rPr>
        <w:t>THIS AGREEMENT AND PLAN OF MERGER, dated as of November 4, 2025 (this “</w:t>
      </w:r>
      <w:r>
        <w:rPr>
          <w:sz w:val="20"/>
          <w:szCs w:val="20"/>
          <w:u w:val="single"/>
        </w:rPr>
        <w:t>Agreement</w:t>
      </w:r>
      <w:r>
        <w:rPr>
          <w:sz w:val="20"/>
          <w:szCs w:val="20"/>
        </w:rPr>
        <w:t>”), is entered into by and among LakeShore Biopharma Co., Ltd, an exempted company with limited liability incorporated under the Laws of the Caym</w:t>
      </w:r>
      <w:r>
        <w:rPr>
          <w:sz w:val="20"/>
          <w:szCs w:val="20"/>
        </w:rPr>
        <w:t>an Islands and formerly known as YishengBio Co., Ltd and YS Biopharma Co., Ltd. (the “</w:t>
      </w:r>
      <w:r>
        <w:rPr>
          <w:sz w:val="20"/>
          <w:szCs w:val="20"/>
          <w:u w:val="single"/>
        </w:rPr>
        <w:t>Company</w:t>
      </w:r>
      <w:r>
        <w:rPr>
          <w:sz w:val="20"/>
          <w:szCs w:val="20"/>
        </w:rPr>
        <w:t>”), Oceanpine Skyline Inc., an exempted company with limited liability incorporated under the Laws of the Cayman Islands (“</w:t>
      </w:r>
      <w:r>
        <w:rPr>
          <w:sz w:val="20"/>
          <w:szCs w:val="20"/>
          <w:u w:val="single"/>
        </w:rPr>
        <w:t>Parent</w:t>
      </w:r>
      <w:r>
        <w:rPr>
          <w:sz w:val="20"/>
          <w:szCs w:val="20"/>
        </w:rPr>
        <w:t>”), and Oceanpine Merger Sub Inc.,</w:t>
      </w:r>
      <w:r>
        <w:rPr>
          <w:sz w:val="20"/>
          <w:szCs w:val="20"/>
        </w:rPr>
        <w:t xml:space="preserve"> an exempted company with limited liability incorporated under the Laws of the Cayman Islands and a wholly-owned subsidiary of Parent (“</w:t>
      </w:r>
      <w:r>
        <w:rPr>
          <w:sz w:val="20"/>
          <w:szCs w:val="20"/>
          <w:u w:val="single"/>
        </w:rPr>
        <w:t>Merger Sub</w:t>
      </w:r>
      <w:r>
        <w:rPr>
          <w:sz w:val="20"/>
          <w:szCs w:val="20"/>
        </w:rPr>
        <w:t>”) (each of the Company, Parent and Merger Sub, a “</w:t>
      </w:r>
      <w:r>
        <w:rPr>
          <w:sz w:val="20"/>
          <w:szCs w:val="20"/>
          <w:u w:val="single"/>
        </w:rPr>
        <w:t>Party</w:t>
      </w:r>
      <w:r>
        <w:rPr>
          <w:sz w:val="20"/>
          <w:szCs w:val="20"/>
        </w:rPr>
        <w:t>,” and collectively, the “</w:t>
      </w:r>
      <w:r>
        <w:rPr>
          <w:sz w:val="20"/>
          <w:szCs w:val="20"/>
          <w:u w:val="single"/>
        </w:rPr>
        <w:t>Parties</w:t>
      </w:r>
      <w:r>
        <w:rPr>
          <w:sz w:val="20"/>
          <w:szCs w:val="20"/>
        </w:rPr>
        <w:t>”). Capitalized terms</w:t>
      </w:r>
      <w:r>
        <w:rPr>
          <w:sz w:val="20"/>
          <w:szCs w:val="20"/>
        </w:rPr>
        <w:t xml:space="preserve"> used herein (including in the immediately preceding sentence) and not otherwise defined herein shall have the meanings set forth in </w:t>
      </w:r>
      <w:r>
        <w:rPr>
          <w:sz w:val="20"/>
          <w:szCs w:val="20"/>
          <w:u w:val="single"/>
        </w:rPr>
        <w:t>Section 1.1</w:t>
      </w:r>
      <w:r>
        <w:rPr>
          <w:sz w:val="20"/>
          <w:szCs w:val="20"/>
        </w:rPr>
        <w:t xml:space="preserve"> hereof.</w:t>
      </w:r>
    </w:p>
    <w:p w14:paraId="6913954B"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F5356A8" w14:textId="77777777" w:rsidR="00000000" w:rsidRDefault="002F725F">
      <w:pPr>
        <w:pStyle w:val="NormalWeb"/>
        <w:spacing w:before="0" w:beforeAutospacing="0" w:after="0" w:afterAutospacing="0"/>
        <w:jc w:val="center"/>
        <w:divId w:val="415980837"/>
        <w:rPr>
          <w:sz w:val="20"/>
          <w:szCs w:val="20"/>
        </w:rPr>
      </w:pPr>
      <w:r>
        <w:rPr>
          <w:b/>
          <w:bCs/>
          <w:sz w:val="20"/>
          <w:szCs w:val="20"/>
        </w:rPr>
        <w:t>RECITALS</w:t>
      </w:r>
    </w:p>
    <w:p w14:paraId="2B3040E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WHEREAS, the Parties intend that Merger Sub be merged with and into the Company, with the Co</w:t>
      </w:r>
      <w:r>
        <w:rPr>
          <w:sz w:val="20"/>
          <w:szCs w:val="20"/>
        </w:rPr>
        <w:t>mpany being the surviving company and becoming a wholly-owned subsidiary of Parent as a result of the Merger on the terms and subject to the conditions set forth herein and in accordance with Part 16 of the Companies Act (the “</w:t>
      </w:r>
      <w:r>
        <w:rPr>
          <w:sz w:val="20"/>
          <w:szCs w:val="20"/>
          <w:u w:val="single"/>
        </w:rPr>
        <w:t>Merger</w:t>
      </w:r>
      <w:r>
        <w:rPr>
          <w:sz w:val="20"/>
          <w:szCs w:val="20"/>
        </w:rPr>
        <w:t>”);</w:t>
      </w:r>
    </w:p>
    <w:p w14:paraId="7536978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A6056C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WHEREAS, the boar</w:t>
      </w:r>
      <w:r>
        <w:rPr>
          <w:sz w:val="20"/>
          <w:szCs w:val="20"/>
        </w:rPr>
        <w:t>d of directors of the Company (the “</w:t>
      </w:r>
      <w:r>
        <w:rPr>
          <w:sz w:val="20"/>
          <w:szCs w:val="20"/>
          <w:u w:val="single"/>
        </w:rPr>
        <w:t>Board</w:t>
      </w:r>
      <w:r>
        <w:rPr>
          <w:sz w:val="20"/>
          <w:szCs w:val="20"/>
        </w:rPr>
        <w:t>”) acting upon the unanimous recommendation of the Special Committee has (a) determined that the terms of this Agreement, the Plan of Merger and the other Transaction Documents to which the Company is a party and th</w:t>
      </w:r>
      <w:r>
        <w:rPr>
          <w:sz w:val="20"/>
          <w:szCs w:val="20"/>
        </w:rPr>
        <w:t>e transactions contemplated hereby and thereby, including the Merger (collectively, the “</w:t>
      </w:r>
      <w:r>
        <w:rPr>
          <w:sz w:val="20"/>
          <w:szCs w:val="20"/>
          <w:u w:val="single"/>
        </w:rPr>
        <w:t>Transactions</w:t>
      </w:r>
      <w:r>
        <w:rPr>
          <w:sz w:val="20"/>
          <w:szCs w:val="20"/>
        </w:rPr>
        <w:t>”) are fair to, and in the best interests of, the Company and the unaffiliated security holders (as such term is defined in Rule 13e-3 of the Exchange Act)</w:t>
      </w:r>
      <w:r>
        <w:rPr>
          <w:sz w:val="20"/>
          <w:szCs w:val="20"/>
        </w:rPr>
        <w:t xml:space="preserve"> and declared it advisable to enter into this Agreement and the Plan of Merger and consummate the Transactions, including the Merger, (b) adopted resolutions authorizing and approving the execution, delivery and performance by the Company of this Agreement</w:t>
      </w:r>
      <w:r>
        <w:rPr>
          <w:sz w:val="20"/>
          <w:szCs w:val="20"/>
        </w:rPr>
        <w:t xml:space="preserve"> and the Plan of Merger and the consummation of the Transactions, including the Merger, upon the terms and subject to the conditions set forth herein, and (c) resolved to recommend that the shareholders of the Company approve this Agreement, the Plan of Me</w:t>
      </w:r>
      <w:r>
        <w:rPr>
          <w:sz w:val="20"/>
          <w:szCs w:val="20"/>
        </w:rPr>
        <w:t>rger and the consummation of the Transactions, including the Merger, at the Shareholders’ Meeting;</w:t>
      </w:r>
    </w:p>
    <w:p w14:paraId="6CED313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285AB3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WHEREAS, the respective board </w:t>
      </w:r>
      <w:r>
        <w:rPr>
          <w:sz w:val="20"/>
          <w:szCs w:val="20"/>
        </w:rPr>
        <w:t>of directors of Parent (on behalf of Parent itself and as the sole shareholder of Merger Sub) and Merger Sub has each unanimously (a) determined that the terms of this Agreement, the Plan of Merger and the consummation of the Transactions, including the Me</w:t>
      </w:r>
      <w:r>
        <w:rPr>
          <w:sz w:val="20"/>
          <w:szCs w:val="20"/>
        </w:rPr>
        <w:t>rger, are advisable and in the best interests of Parent and Merger Sub, respectively, and their respective shareholders, and (b) authorized and approved the execution, delivery and performance by Parent and Merger Sub, as the case may be, of this Agreement</w:t>
      </w:r>
      <w:r>
        <w:rPr>
          <w:sz w:val="20"/>
          <w:szCs w:val="20"/>
        </w:rPr>
        <w:t xml:space="preserve"> and the Plan of Merger and the consummation of the Transactions, including the Merger, upon the terms and subject to the conditions set forth herein; and</w:t>
      </w:r>
    </w:p>
    <w:p w14:paraId="3D05A19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C13E99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WHEREAS, as a condition and inducement to Parent’s, Merger Sub’s and the Company’s willingness to e</w:t>
      </w:r>
      <w:r>
        <w:rPr>
          <w:sz w:val="20"/>
          <w:szCs w:val="20"/>
        </w:rPr>
        <w:t>nter into this Agreement, concurrently with the execution and delivery of this Agreement, the Rollover Shareholders and Parent have entered into a rollover and support agreement, dated as of the date hereof (the “</w:t>
      </w:r>
      <w:r>
        <w:rPr>
          <w:sz w:val="20"/>
          <w:szCs w:val="20"/>
          <w:u w:val="single"/>
        </w:rPr>
        <w:t>Support Agreement</w:t>
      </w:r>
      <w:r>
        <w:rPr>
          <w:sz w:val="20"/>
          <w:szCs w:val="20"/>
        </w:rPr>
        <w:t>”), pursuant to which each</w:t>
      </w:r>
      <w:r>
        <w:rPr>
          <w:sz w:val="20"/>
          <w:szCs w:val="20"/>
        </w:rPr>
        <w:t xml:space="preserve"> of such Rollover Shareholders has irrevocably agreed, among other things, (a) to vote any Shares Beneficially Owned by each of them in favor of the approval and adoption of this Agreement, the Plan of Merger and the consummation of the Transactions, inclu</w:t>
      </w:r>
      <w:r>
        <w:rPr>
          <w:sz w:val="20"/>
          <w:szCs w:val="20"/>
        </w:rPr>
        <w:t>ding the Merger, and (b) subject to the terms and conditions of the Support Agreement, (A) to subscribe for or otherwise receive newly issued Parent Shares at or immediately prior to the Effective Time and (B) to receive no consideration for the cancellati</w:t>
      </w:r>
      <w:r>
        <w:rPr>
          <w:sz w:val="20"/>
          <w:szCs w:val="20"/>
        </w:rPr>
        <w:t>on of the Rollover Shares in accordance with this Agreement.</w:t>
      </w:r>
    </w:p>
    <w:p w14:paraId="42F4AB8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F6649CB" w14:textId="77777777" w:rsidR="00000000" w:rsidRDefault="002F725F">
      <w:pPr>
        <w:pStyle w:val="NormalWeb"/>
        <w:spacing w:before="0" w:beforeAutospacing="0" w:after="0" w:afterAutospacing="0"/>
        <w:jc w:val="center"/>
        <w:divId w:val="138500891"/>
        <w:rPr>
          <w:sz w:val="20"/>
          <w:szCs w:val="20"/>
        </w:rPr>
      </w:pPr>
      <w:r>
        <w:rPr>
          <w:sz w:val="20"/>
          <w:szCs w:val="20"/>
        </w:rPr>
        <w:t>A</w:t>
      </w:r>
      <w:r>
        <w:rPr>
          <w:sz w:val="20"/>
          <w:szCs w:val="20"/>
        </w:rPr>
        <w:t>-</w:t>
      </w:r>
      <w:r>
        <w:rPr>
          <w:sz w:val="20"/>
          <w:szCs w:val="20"/>
        </w:rPr>
        <w:t>1</w:t>
      </w:r>
    </w:p>
    <w:p w14:paraId="5229B71A" w14:textId="77777777" w:rsidR="00000000" w:rsidRDefault="002F725F">
      <w:pPr>
        <w:pStyle w:val="NormalWeb"/>
        <w:spacing w:before="0" w:beforeAutospacing="0" w:after="0" w:afterAutospacing="0"/>
        <w:divId w:val="1247885375"/>
        <w:rPr>
          <w:sz w:val="20"/>
          <w:szCs w:val="20"/>
        </w:rPr>
      </w:pPr>
      <w:r>
        <w:rPr>
          <w:sz w:val="20"/>
          <w:szCs w:val="20"/>
        </w:rPr>
        <w:t> </w:t>
      </w:r>
    </w:p>
    <w:p w14:paraId="25624FCA"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p w14:paraId="479BCF1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WHEREAS, as a condition and inducement to the Company’s willingness to enter into this Agreement, concurrently with the execution and delivery of this Agreement, the Guarantor has execu</w:t>
      </w:r>
      <w:r>
        <w:rPr>
          <w:sz w:val="20"/>
          <w:szCs w:val="20"/>
        </w:rPr>
        <w:t>ted and delivered a limited guarantee in favor of the Company, dated as of the date hereof, to guarantee the due and punctual performance and discharge of certain payment obligations of Parent under this Agreement (the “</w:t>
      </w:r>
      <w:r>
        <w:rPr>
          <w:sz w:val="20"/>
          <w:szCs w:val="20"/>
          <w:u w:val="single"/>
        </w:rPr>
        <w:t>Limited Guarantee</w:t>
      </w:r>
      <w:r>
        <w:rPr>
          <w:sz w:val="20"/>
          <w:szCs w:val="20"/>
        </w:rPr>
        <w:t>”).</w:t>
      </w:r>
    </w:p>
    <w:p w14:paraId="3F63EBD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75A513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NOW, THEREFOR</w:t>
      </w:r>
      <w:r>
        <w:rPr>
          <w:sz w:val="20"/>
          <w:szCs w:val="20"/>
        </w:rPr>
        <w:t xml:space="preserve">E, in consideration of the foregoing and the representations, warranties, covenants and agreements set forth herein, and other good and valuable consideration, the receipt and sufficiency of which are hereby acknowledged, intending to be legally bound the </w:t>
      </w:r>
      <w:r>
        <w:rPr>
          <w:sz w:val="20"/>
          <w:szCs w:val="20"/>
        </w:rPr>
        <w:t>Parties hereby agree as follows:</w:t>
      </w:r>
    </w:p>
    <w:p w14:paraId="5EEAB632"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6D5C88E2"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Article I</w:t>
      </w:r>
      <w:r>
        <w:rPr>
          <w:b/>
          <w:bCs/>
          <w:caps/>
          <w:sz w:val="20"/>
          <w:szCs w:val="20"/>
        </w:rPr>
        <w:br/>
        <w:t>DEFINITIONS AND TERMS</w:t>
      </w:r>
    </w:p>
    <w:p w14:paraId="11FC3573"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139B2D42"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1.1 </w:t>
      </w:r>
      <w:r>
        <w:rPr>
          <w:sz w:val="20"/>
          <w:szCs w:val="20"/>
          <w:u w:val="single"/>
        </w:rPr>
        <w:t>Definitions</w:t>
      </w:r>
      <w:r>
        <w:rPr>
          <w:sz w:val="20"/>
          <w:szCs w:val="20"/>
        </w:rPr>
        <w:t>. As used in this Agreement, the following terms shall have the meanings set forth below:</w:t>
      </w:r>
    </w:p>
    <w:p w14:paraId="43240475"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7CBE148"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2020 Plan</w:t>
      </w:r>
      <w:r>
        <w:rPr>
          <w:sz w:val="20"/>
          <w:szCs w:val="20"/>
        </w:rPr>
        <w:t>” means the 2020 Share Incentive Plan of the Company adopted o</w:t>
      </w:r>
      <w:r>
        <w:rPr>
          <w:sz w:val="20"/>
          <w:szCs w:val="20"/>
        </w:rPr>
        <w:t>n December 31, 2020.</w:t>
      </w:r>
    </w:p>
    <w:p w14:paraId="438E6CC2"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9EF3401"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2024 Plan</w:t>
      </w:r>
      <w:r>
        <w:rPr>
          <w:sz w:val="20"/>
          <w:szCs w:val="20"/>
        </w:rPr>
        <w:t>” means the 2024 Share Incentive Plan of the Company adopted on May 21, 2024 and amended in March 2025.</w:t>
      </w:r>
    </w:p>
    <w:p w14:paraId="78AAE8E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FB6886A"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Acceptable Confidentiality Agreement</w:t>
      </w:r>
      <w:r>
        <w:rPr>
          <w:sz w:val="20"/>
          <w:szCs w:val="20"/>
        </w:rPr>
        <w:t>” means a confidentiality and standstill agreement that contains provisions that</w:t>
      </w:r>
      <w:r>
        <w:rPr>
          <w:sz w:val="20"/>
          <w:szCs w:val="20"/>
        </w:rPr>
        <w:t xml:space="preserve"> are no less favorable in the aggregate to the Company than those contained in the Confidentiality Agreements; </w:t>
      </w:r>
      <w:r>
        <w:rPr>
          <w:sz w:val="20"/>
          <w:szCs w:val="20"/>
          <w:u w:val="single"/>
        </w:rPr>
        <w:t>provided</w:t>
      </w:r>
      <w:r>
        <w:rPr>
          <w:sz w:val="20"/>
          <w:szCs w:val="20"/>
        </w:rPr>
        <w:t xml:space="preserve">, that an Acceptable Confidentiality Agreement shall not prohibit compliance by the Company with any of the provisions of </w:t>
      </w:r>
      <w:r>
        <w:rPr>
          <w:sz w:val="20"/>
          <w:szCs w:val="20"/>
          <w:u w:val="single"/>
        </w:rPr>
        <w:t>Section 6.2</w:t>
      </w:r>
      <w:r>
        <w:rPr>
          <w:sz w:val="20"/>
          <w:szCs w:val="20"/>
        </w:rPr>
        <w:t>.</w:t>
      </w:r>
    </w:p>
    <w:p w14:paraId="289C2CE4"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A72ED44"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Affiliate</w:t>
      </w:r>
      <w:r>
        <w:rPr>
          <w:sz w:val="20"/>
          <w:szCs w:val="20"/>
        </w:rPr>
        <w:t>” of a specified Person means a Person who, directly or indirectly through one or more intermediaries, controls, is controlled by, or is under common control with, such specified Person, and, with respect to any natural person, shall also include</w:t>
      </w:r>
      <w:r>
        <w:rPr>
          <w:sz w:val="20"/>
          <w:szCs w:val="20"/>
        </w:rPr>
        <w:t xml:space="preserve"> any member of the immediate family of such natural person; </w:t>
      </w:r>
      <w:r>
        <w:rPr>
          <w:sz w:val="20"/>
          <w:szCs w:val="20"/>
          <w:u w:val="single"/>
        </w:rPr>
        <w:t>provided</w:t>
      </w:r>
      <w:r>
        <w:rPr>
          <w:sz w:val="20"/>
          <w:szCs w:val="20"/>
        </w:rPr>
        <w:t>, that (a) the Rollover Shareholders, the Sponsor, the Guarantor and their respective Affiliates (other than the Group Companies) shall not be deemed to be Affiliates of any Group Companie</w:t>
      </w:r>
      <w:r>
        <w:rPr>
          <w:sz w:val="20"/>
          <w:szCs w:val="20"/>
        </w:rPr>
        <w:t>s and vice versa; and (b) the Rollover Shareholders, the Sponsor, the Guarantor and their respective Affiliates (taking into account the forgoing clause (a)) shall be deemed to be the Affiliates of Parent and Merger Sub. For purposes of this Agreement, “co</w:t>
      </w:r>
      <w:r>
        <w:rPr>
          <w:sz w:val="20"/>
          <w:szCs w:val="20"/>
        </w:rPr>
        <w:t>ntrol” (including, with its correlative meanings, “controlled by” and “under common control with”) means the possession, directly or indirectly, of the power to direct or cause the direction of management or policies of a Person, whether through the owners</w:t>
      </w:r>
      <w:r>
        <w:rPr>
          <w:sz w:val="20"/>
          <w:szCs w:val="20"/>
        </w:rPr>
        <w:t>hip of securities or partnership or other ownership interests, by contract or otherwise.</w:t>
      </w:r>
    </w:p>
    <w:p w14:paraId="7604F34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6F63074"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Agreement</w:t>
      </w:r>
      <w:r>
        <w:rPr>
          <w:sz w:val="20"/>
          <w:szCs w:val="20"/>
        </w:rPr>
        <w:t>” has the meaning set forth in the Preamble.</w:t>
      </w:r>
    </w:p>
    <w:p w14:paraId="1DADB29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BA8827A"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Antitakeover Statutes</w:t>
      </w:r>
      <w:r>
        <w:rPr>
          <w:sz w:val="20"/>
          <w:szCs w:val="20"/>
        </w:rPr>
        <w:t xml:space="preserve">” means </w:t>
      </w:r>
      <w:r>
        <w:rPr>
          <w:sz w:val="20"/>
          <w:szCs w:val="20"/>
        </w:rPr>
        <w:t>any takeover, anti-takeover, moratorium, “business combination,” “fair price,” “control share” or other similar Laws enacted under applicable Laws.</w:t>
      </w:r>
    </w:p>
    <w:p w14:paraId="7AA24A5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F0A4159" w14:textId="77777777" w:rsidR="00000000" w:rsidRDefault="002F725F">
      <w:pPr>
        <w:pStyle w:val="NormalWeb"/>
        <w:spacing w:before="0" w:beforeAutospacing="0" w:after="0" w:afterAutospacing="0"/>
        <w:jc w:val="center"/>
        <w:divId w:val="1491211978"/>
        <w:rPr>
          <w:sz w:val="20"/>
          <w:szCs w:val="20"/>
        </w:rPr>
      </w:pPr>
      <w:r>
        <w:rPr>
          <w:sz w:val="20"/>
          <w:szCs w:val="20"/>
        </w:rPr>
        <w:t>A</w:t>
      </w:r>
      <w:r>
        <w:rPr>
          <w:sz w:val="20"/>
          <w:szCs w:val="20"/>
        </w:rPr>
        <w:t>-</w:t>
      </w:r>
      <w:r>
        <w:rPr>
          <w:sz w:val="20"/>
          <w:szCs w:val="20"/>
        </w:rPr>
        <w:t>2</w:t>
      </w:r>
    </w:p>
    <w:p w14:paraId="0779BC17" w14:textId="77777777" w:rsidR="00000000" w:rsidRDefault="002F725F">
      <w:pPr>
        <w:pStyle w:val="NormalWeb"/>
        <w:spacing w:before="0" w:beforeAutospacing="0" w:after="0" w:afterAutospacing="0"/>
        <w:divId w:val="1092823605"/>
        <w:rPr>
          <w:sz w:val="20"/>
          <w:szCs w:val="20"/>
        </w:rPr>
      </w:pPr>
      <w:r>
        <w:rPr>
          <w:sz w:val="20"/>
          <w:szCs w:val="20"/>
        </w:rPr>
        <w:t> </w:t>
      </w:r>
    </w:p>
    <w:p w14:paraId="64318024"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A0DD159"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Applicable Date</w:t>
      </w:r>
      <w:r>
        <w:rPr>
          <w:sz w:val="20"/>
          <w:szCs w:val="20"/>
        </w:rPr>
        <w:t xml:space="preserve">” has the meaning set forth in </w:t>
      </w:r>
      <w:r>
        <w:rPr>
          <w:sz w:val="20"/>
          <w:szCs w:val="20"/>
          <w:u w:val="single"/>
        </w:rPr>
        <w:t>Section 4.7(a)</w:t>
      </w:r>
      <w:r>
        <w:rPr>
          <w:sz w:val="20"/>
          <w:szCs w:val="20"/>
        </w:rPr>
        <w:t>.</w:t>
      </w:r>
    </w:p>
    <w:p w14:paraId="5F252F3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091B37D"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Arbitrator</w:t>
      </w:r>
      <w:r>
        <w:rPr>
          <w:sz w:val="20"/>
          <w:szCs w:val="20"/>
        </w:rPr>
        <w:t xml:space="preserve">” has the meaning set </w:t>
      </w:r>
      <w:r>
        <w:rPr>
          <w:sz w:val="20"/>
          <w:szCs w:val="20"/>
        </w:rPr>
        <w:t xml:space="preserve">forth in </w:t>
      </w:r>
      <w:r>
        <w:rPr>
          <w:sz w:val="20"/>
          <w:szCs w:val="20"/>
          <w:u w:val="single"/>
        </w:rPr>
        <w:t>Section 10.9</w:t>
      </w:r>
      <w:r>
        <w:rPr>
          <w:sz w:val="20"/>
          <w:szCs w:val="20"/>
        </w:rPr>
        <w:t>.</w:t>
      </w:r>
    </w:p>
    <w:p w14:paraId="609FA012"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6CCAE53"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Assumed Option</w:t>
      </w:r>
      <w:r>
        <w:rPr>
          <w:sz w:val="20"/>
          <w:szCs w:val="20"/>
        </w:rPr>
        <w:t xml:space="preserve">” has the meaning set forth in </w:t>
      </w:r>
      <w:r>
        <w:rPr>
          <w:sz w:val="20"/>
          <w:szCs w:val="20"/>
          <w:u w:val="single"/>
        </w:rPr>
        <w:t>Section 3.3(a)</w:t>
      </w:r>
      <w:r>
        <w:rPr>
          <w:sz w:val="20"/>
          <w:szCs w:val="20"/>
        </w:rPr>
        <w:t>.</w:t>
      </w:r>
    </w:p>
    <w:p w14:paraId="5548938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C514331"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Assumed RSU</w:t>
      </w:r>
      <w:r>
        <w:rPr>
          <w:sz w:val="20"/>
          <w:szCs w:val="20"/>
        </w:rPr>
        <w:t xml:space="preserve">” has the meaning set forth in </w:t>
      </w:r>
      <w:r>
        <w:rPr>
          <w:sz w:val="20"/>
          <w:szCs w:val="20"/>
          <w:u w:val="single"/>
        </w:rPr>
        <w:t>Section 3.3(d)</w:t>
      </w:r>
      <w:r>
        <w:rPr>
          <w:sz w:val="20"/>
          <w:szCs w:val="20"/>
        </w:rPr>
        <w:t>.</w:t>
      </w:r>
    </w:p>
    <w:p w14:paraId="348B86C5"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7BDF07B"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w:t>
      </w:r>
      <w:r>
        <w:rPr>
          <w:sz w:val="20"/>
          <w:szCs w:val="20"/>
          <w:u w:val="single"/>
        </w:rPr>
        <w:t>Beneficially Own</w:t>
      </w:r>
      <w:r>
        <w:rPr>
          <w:sz w:val="20"/>
          <w:szCs w:val="20"/>
        </w:rPr>
        <w:t>” has the meaning set forth in Rule 13d-3 under the Exchange Act and the rules and regula</w:t>
      </w:r>
      <w:r>
        <w:rPr>
          <w:sz w:val="20"/>
          <w:szCs w:val="20"/>
        </w:rPr>
        <w:t>tions thereunder.</w:t>
      </w:r>
    </w:p>
    <w:p w14:paraId="7CBF925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C5F31BC"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Board</w:t>
      </w:r>
      <w:r>
        <w:rPr>
          <w:sz w:val="20"/>
          <w:szCs w:val="20"/>
        </w:rPr>
        <w:t>” has the meaning set forth in the Recitals.</w:t>
      </w:r>
    </w:p>
    <w:p w14:paraId="4B03D070"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C603C0A"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Book-Entry Shares</w:t>
      </w:r>
      <w:r>
        <w:rPr>
          <w:sz w:val="20"/>
          <w:szCs w:val="20"/>
        </w:rPr>
        <w:t xml:space="preserve">” has the meaning set forth in </w:t>
      </w:r>
      <w:r>
        <w:rPr>
          <w:sz w:val="20"/>
          <w:szCs w:val="20"/>
          <w:u w:val="single"/>
        </w:rPr>
        <w:t>Section 3.2(b)</w:t>
      </w:r>
      <w:r>
        <w:rPr>
          <w:sz w:val="20"/>
          <w:szCs w:val="20"/>
        </w:rPr>
        <w:t>.</w:t>
      </w:r>
    </w:p>
    <w:p w14:paraId="42EC464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D516C0E"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Business Day</w:t>
      </w:r>
      <w:r>
        <w:rPr>
          <w:sz w:val="20"/>
          <w:szCs w:val="20"/>
        </w:rPr>
        <w:t xml:space="preserve">” means any day </w:t>
      </w:r>
      <w:r>
        <w:rPr>
          <w:sz w:val="20"/>
          <w:szCs w:val="20"/>
        </w:rPr>
        <w:t>other than a Saturday, a Sunday or a day on which banks in the City of New York, New York, the United States, the Cayman Islands, Hong Kong or Beijing, China are authorized or required by Laws or Orders to be closed for general business.</w:t>
      </w:r>
    </w:p>
    <w:p w14:paraId="37AB59D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3A321AA"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Buyer Group Con</w:t>
      </w:r>
      <w:r>
        <w:rPr>
          <w:sz w:val="20"/>
          <w:szCs w:val="20"/>
          <w:u w:val="single"/>
        </w:rPr>
        <w:t>tracts</w:t>
      </w:r>
      <w:r>
        <w:rPr>
          <w:sz w:val="20"/>
          <w:szCs w:val="20"/>
        </w:rPr>
        <w:t>” means collectively, the Limited Guarantee, the Equity Commitment Letter and the Support Agreement.</w:t>
      </w:r>
    </w:p>
    <w:p w14:paraId="644F614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454D26A"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Certificates</w:t>
      </w:r>
      <w:r>
        <w:rPr>
          <w:sz w:val="20"/>
          <w:szCs w:val="20"/>
        </w:rPr>
        <w:t xml:space="preserve">” has the meaning set forth in </w:t>
      </w:r>
      <w:r>
        <w:rPr>
          <w:sz w:val="20"/>
          <w:szCs w:val="20"/>
          <w:u w:val="single"/>
        </w:rPr>
        <w:t>Section 3.2(b)</w:t>
      </w:r>
      <w:r>
        <w:rPr>
          <w:sz w:val="20"/>
          <w:szCs w:val="20"/>
        </w:rPr>
        <w:t>.</w:t>
      </w:r>
    </w:p>
    <w:p w14:paraId="5519079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C4633CE"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Change in Company Recommendation</w:t>
      </w:r>
      <w:r>
        <w:rPr>
          <w:sz w:val="20"/>
          <w:szCs w:val="20"/>
        </w:rPr>
        <w:t xml:space="preserve">” </w:t>
      </w:r>
      <w:r>
        <w:rPr>
          <w:sz w:val="20"/>
          <w:szCs w:val="20"/>
        </w:rPr>
        <w:t xml:space="preserve">has the meaning set forth in </w:t>
      </w:r>
      <w:r>
        <w:rPr>
          <w:sz w:val="20"/>
          <w:szCs w:val="20"/>
          <w:u w:val="single"/>
        </w:rPr>
        <w:t>Section 6.2(e)</w:t>
      </w:r>
      <w:r>
        <w:rPr>
          <w:sz w:val="20"/>
          <w:szCs w:val="20"/>
        </w:rPr>
        <w:t>.</w:t>
      </w:r>
    </w:p>
    <w:p w14:paraId="6C3E45E4"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C0C36C9"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Change in Company Recommendation Notice</w:t>
      </w:r>
      <w:r>
        <w:rPr>
          <w:sz w:val="20"/>
          <w:szCs w:val="20"/>
        </w:rPr>
        <w:t xml:space="preserve">” has the meaning set forth in </w:t>
      </w:r>
      <w:r>
        <w:rPr>
          <w:sz w:val="20"/>
          <w:szCs w:val="20"/>
          <w:u w:val="single"/>
        </w:rPr>
        <w:t>Section 6.2(f)</w:t>
      </w:r>
      <w:r>
        <w:rPr>
          <w:sz w:val="20"/>
          <w:szCs w:val="20"/>
        </w:rPr>
        <w:t>.</w:t>
      </w:r>
    </w:p>
    <w:p w14:paraId="6B9E99B4"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E7B82AE"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Closing</w:t>
      </w:r>
      <w:r>
        <w:rPr>
          <w:sz w:val="20"/>
          <w:szCs w:val="20"/>
        </w:rPr>
        <w:t xml:space="preserve">” has the meaning set forth in </w:t>
      </w:r>
      <w:r>
        <w:rPr>
          <w:sz w:val="20"/>
          <w:szCs w:val="20"/>
          <w:u w:val="single"/>
        </w:rPr>
        <w:t>Section 2.2</w:t>
      </w:r>
      <w:r>
        <w:rPr>
          <w:sz w:val="20"/>
          <w:szCs w:val="20"/>
        </w:rPr>
        <w:t>.</w:t>
      </w:r>
    </w:p>
    <w:p w14:paraId="23512375"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AC9F599"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Closing Date</w:t>
      </w:r>
      <w:r>
        <w:rPr>
          <w:sz w:val="20"/>
          <w:szCs w:val="20"/>
        </w:rPr>
        <w:t xml:space="preserve">” has the meaning set forth in </w:t>
      </w:r>
      <w:r>
        <w:rPr>
          <w:sz w:val="20"/>
          <w:szCs w:val="20"/>
          <w:u w:val="single"/>
        </w:rPr>
        <w:t>Section 2.2</w:t>
      </w:r>
      <w:r>
        <w:rPr>
          <w:sz w:val="20"/>
          <w:szCs w:val="20"/>
        </w:rPr>
        <w:t>.</w:t>
      </w:r>
    </w:p>
    <w:p w14:paraId="30DFF455"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AAD1D33"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Code</w:t>
      </w:r>
      <w:r>
        <w:rPr>
          <w:sz w:val="20"/>
          <w:szCs w:val="20"/>
        </w:rPr>
        <w:t xml:space="preserve">” </w:t>
      </w:r>
      <w:r>
        <w:rPr>
          <w:sz w:val="20"/>
          <w:szCs w:val="20"/>
        </w:rPr>
        <w:t>means the Internal Revenue Code of 1986.</w:t>
      </w:r>
    </w:p>
    <w:p w14:paraId="7E45E97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B1A866C"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Companies Act</w:t>
      </w:r>
      <w:r>
        <w:rPr>
          <w:sz w:val="20"/>
          <w:szCs w:val="20"/>
        </w:rPr>
        <w:t>” means the Companies Act (As Revised) of the Cayman Islands.</w:t>
      </w:r>
    </w:p>
    <w:p w14:paraId="23A3B162"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9D8AF67"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Company</w:t>
      </w:r>
      <w:r>
        <w:rPr>
          <w:sz w:val="20"/>
          <w:szCs w:val="20"/>
        </w:rPr>
        <w:t>” has the meaning set forth in the Preamble.</w:t>
      </w:r>
    </w:p>
    <w:p w14:paraId="68CDE21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D67D790"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Company Equity Awards</w:t>
      </w:r>
      <w:r>
        <w:rPr>
          <w:sz w:val="20"/>
          <w:szCs w:val="20"/>
        </w:rPr>
        <w:t>” means the Company Options, the Company RSUs and any othe</w:t>
      </w:r>
      <w:r>
        <w:rPr>
          <w:sz w:val="20"/>
          <w:szCs w:val="20"/>
        </w:rPr>
        <w:t>r awards granted under any Share Incentive Plan.</w:t>
      </w:r>
    </w:p>
    <w:p w14:paraId="53C57A2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9EC88B4"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Company Intellectual Property</w:t>
      </w:r>
      <w:r>
        <w:rPr>
          <w:sz w:val="20"/>
          <w:szCs w:val="20"/>
        </w:rPr>
        <w:t xml:space="preserve">” has the meaning set forth in </w:t>
      </w:r>
      <w:r>
        <w:rPr>
          <w:sz w:val="20"/>
          <w:szCs w:val="20"/>
          <w:u w:val="single"/>
        </w:rPr>
        <w:t>Section 4.15(a)</w:t>
      </w:r>
      <w:r>
        <w:rPr>
          <w:sz w:val="20"/>
          <w:szCs w:val="20"/>
        </w:rPr>
        <w:t>.</w:t>
      </w:r>
    </w:p>
    <w:p w14:paraId="62454D5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7B5B8D0"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Company Leased Real Property</w:t>
      </w:r>
      <w:r>
        <w:rPr>
          <w:sz w:val="20"/>
          <w:szCs w:val="20"/>
        </w:rPr>
        <w:t xml:space="preserve">” means each leasehold interest held by any of the Group Companies in any real property used or </w:t>
      </w:r>
      <w:r>
        <w:rPr>
          <w:sz w:val="20"/>
          <w:szCs w:val="20"/>
        </w:rPr>
        <w:t>occupied in connection with the businesses of the Group Companies, in each case, that is material to the business of the Group Companies, taken as a whole.</w:t>
      </w:r>
    </w:p>
    <w:p w14:paraId="317FB6B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B924CD3" w14:textId="77777777" w:rsidR="00000000" w:rsidRDefault="002F725F">
      <w:pPr>
        <w:pStyle w:val="NormalWeb"/>
        <w:spacing w:before="0" w:beforeAutospacing="0" w:after="0" w:afterAutospacing="0"/>
        <w:jc w:val="center"/>
        <w:divId w:val="1161392342"/>
        <w:rPr>
          <w:sz w:val="20"/>
          <w:szCs w:val="20"/>
        </w:rPr>
      </w:pPr>
      <w:r>
        <w:rPr>
          <w:sz w:val="20"/>
          <w:szCs w:val="20"/>
        </w:rPr>
        <w:t>A</w:t>
      </w:r>
      <w:r>
        <w:rPr>
          <w:sz w:val="20"/>
          <w:szCs w:val="20"/>
        </w:rPr>
        <w:t>-</w:t>
      </w:r>
      <w:r>
        <w:rPr>
          <w:sz w:val="20"/>
          <w:szCs w:val="20"/>
        </w:rPr>
        <w:t>3</w:t>
      </w:r>
    </w:p>
    <w:p w14:paraId="0699FE2B" w14:textId="77777777" w:rsidR="00000000" w:rsidRDefault="002F725F">
      <w:pPr>
        <w:pStyle w:val="NormalWeb"/>
        <w:spacing w:before="0" w:beforeAutospacing="0" w:after="0" w:afterAutospacing="0"/>
        <w:divId w:val="1678382970"/>
        <w:rPr>
          <w:sz w:val="20"/>
          <w:szCs w:val="20"/>
        </w:rPr>
      </w:pPr>
      <w:r>
        <w:rPr>
          <w:sz w:val="20"/>
          <w:szCs w:val="20"/>
        </w:rPr>
        <w:t> </w:t>
      </w:r>
    </w:p>
    <w:p w14:paraId="5CB85DF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7FA6663"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Company Material Adverse Effect</w:t>
      </w:r>
      <w:r>
        <w:rPr>
          <w:sz w:val="20"/>
          <w:szCs w:val="20"/>
        </w:rPr>
        <w:t xml:space="preserve">” </w:t>
      </w:r>
      <w:r>
        <w:rPr>
          <w:sz w:val="20"/>
          <w:szCs w:val="20"/>
        </w:rPr>
        <w:t>means any Effect (as defined below) that, individually or in the aggregate with all other Effects, (a) has had, or would reasonably be expected to have, a material adverse effect on the business, financial condition, assets, liabilities, or results of oper</w:t>
      </w:r>
      <w:r>
        <w:rPr>
          <w:sz w:val="20"/>
          <w:szCs w:val="20"/>
        </w:rPr>
        <w:t>ations of the Group Companies taken as a whole; or (b) prevents or materially delays or would reasonably be expected to prevent or materially delay the consummation by the Company of the Merger or otherwise be materially adverse to the ability of the Compa</w:t>
      </w:r>
      <w:r>
        <w:rPr>
          <w:sz w:val="20"/>
          <w:szCs w:val="20"/>
        </w:rPr>
        <w:t xml:space="preserve">ny to perform its material obligations under this Agreement; </w:t>
      </w:r>
      <w:r>
        <w:rPr>
          <w:sz w:val="20"/>
          <w:szCs w:val="20"/>
          <w:u w:val="single"/>
        </w:rPr>
        <w:t>provided</w:t>
      </w:r>
      <w:r>
        <w:rPr>
          <w:sz w:val="20"/>
          <w:szCs w:val="20"/>
        </w:rPr>
        <w:t>, however, that in no event shall any Effects arising out of, relating to or resulting from any of the following, either alone or in combination, constitute, or be taken into account in d</w:t>
      </w:r>
      <w:r>
        <w:rPr>
          <w:sz w:val="20"/>
          <w:szCs w:val="20"/>
        </w:rPr>
        <w:t>etermining whether there has been or would be, a Company Material Adverse Effect described in clause (a) above: (i) changes in general business, economic or political conditions or changes in financial, credit or securities markets in general; (ii) changes</w:t>
      </w:r>
      <w:r>
        <w:rPr>
          <w:sz w:val="20"/>
          <w:szCs w:val="20"/>
        </w:rPr>
        <w:t xml:space="preserve"> in GAAP (as defined below) or regulatory accounting requirements (or any interpretation or enforcement thereof) after the date hereof; (iii) changes in applicable Laws (or any interpretation or enforcement thereof) that are </w:t>
      </w:r>
      <w:r>
        <w:rPr>
          <w:sz w:val="20"/>
          <w:szCs w:val="20"/>
        </w:rPr>
        <w:lastRenderedPageBreak/>
        <w:t>applicable to the Company or an</w:t>
      </w:r>
      <w:r>
        <w:rPr>
          <w:sz w:val="20"/>
          <w:szCs w:val="20"/>
        </w:rPr>
        <w:t>y of the other Group Companies; (iv) the public announcement or disclosure of or performance of this Agreement or the Transactions, the pendency or consummation of the Transactions, or the identity of the Parties hereto, including the initiation of shareho</w:t>
      </w:r>
      <w:r>
        <w:rPr>
          <w:sz w:val="20"/>
          <w:szCs w:val="20"/>
        </w:rPr>
        <w:t>lder litigation or other Legal Proceeding related to this Agreement or the Transactions, or any impact thereof on relationships, contractual or otherwise, with customers, employees, suppliers, distributors, contractors, lenders, investors, partners or simi</w:t>
      </w:r>
      <w:r>
        <w:rPr>
          <w:sz w:val="20"/>
          <w:szCs w:val="20"/>
        </w:rPr>
        <w:t>lar parties with whom the Company or any of the other Group Companies has any relationship (in each case, resulting from the consummation of the Transactions, or the public announcement or disclosure of this Agreement or the Transactions, or the identity o</w:t>
      </w:r>
      <w:r>
        <w:rPr>
          <w:sz w:val="20"/>
          <w:szCs w:val="20"/>
        </w:rPr>
        <w:t>f the Parties hereto); (v) geopolitical conditions, acts of God, natural or man-made disasters, epidemics, pandemic or other public health crises, declared or undeclared acts of war, acts of sabotage or terrorism, outbreak or escalation of hostilities or o</w:t>
      </w:r>
      <w:r>
        <w:rPr>
          <w:sz w:val="20"/>
          <w:szCs w:val="20"/>
        </w:rPr>
        <w:t>ther comparable events or outbreaks; (vi) changes in the market price or trading volume of the Shares (it being understood that the facts or occurrences giving rise to or contributing to such changes in this clause (vi) may be taken into account in determi</w:t>
      </w:r>
      <w:r>
        <w:rPr>
          <w:sz w:val="20"/>
          <w:szCs w:val="20"/>
        </w:rPr>
        <w:t>ning whether a Company Material Adverse Effect has occurred); (vii) actions or omissions of any of the Group Companies taken that are required by this Agreement or with the written consent or at the written request of Parent, Merger Sub or any of their Aff</w:t>
      </w:r>
      <w:r>
        <w:rPr>
          <w:sz w:val="20"/>
          <w:szCs w:val="20"/>
        </w:rPr>
        <w:t>iliates or Representatives; (viii) changes, effects or circumstances affecting the industries or markets in which the Group Companies operate; (ix) the failure by the Company to meet any internal or industry estimates, expectations, forecasts, guidance, mi</w:t>
      </w:r>
      <w:r>
        <w:rPr>
          <w:sz w:val="20"/>
          <w:szCs w:val="20"/>
        </w:rPr>
        <w:t>lestones, projections or budgets or internal or published projections of revenue, earnings, cash flaw or cash position for any period (it being understood that the facts or occurrences giving rise to or contributing to such failure may be taken into accoun</w:t>
      </w:r>
      <w:r>
        <w:rPr>
          <w:sz w:val="20"/>
          <w:szCs w:val="20"/>
        </w:rPr>
        <w:t xml:space="preserve">t in determining whether a Company Material Adverse Effect has occurred); (x) any change or prospective change in the Company’s credit ratings (it being understood that the facts or occurrences giving rise to or contributing to such changes in this clause </w:t>
      </w:r>
      <w:r>
        <w:rPr>
          <w:sz w:val="20"/>
          <w:szCs w:val="20"/>
        </w:rPr>
        <w:t xml:space="preserve">(x) may be taken into account in determining whether a Company Material Adverse Effect has occurred); or (xi) any breach of the Transaction Agreements by Parent, Merger Sub or any other party thereunder (other than the Company), or any action taken by any </w:t>
      </w:r>
      <w:r>
        <w:rPr>
          <w:sz w:val="20"/>
          <w:szCs w:val="20"/>
        </w:rPr>
        <w:t>Group Companies at the direction or consent of Parent, Merger Sub, the Sponsor, or any of their Affiliates or Representatives; provided, that the Effects set forth in clauses (i), (ii), (iii), (v) and (viii) above may be taken into account in determining w</w:t>
      </w:r>
      <w:r>
        <w:rPr>
          <w:sz w:val="20"/>
          <w:szCs w:val="20"/>
        </w:rPr>
        <w:t>hether a Company Material Adverse Effect has occurred only to the extent such Effects, individually or in the aggregate, have a materially disproportionate impact on the Group Companies, taken as a whole, relative to other participants in the industries in</w:t>
      </w:r>
      <w:r>
        <w:rPr>
          <w:sz w:val="20"/>
          <w:szCs w:val="20"/>
        </w:rPr>
        <w:t xml:space="preserve"> which the Company and any of the Group Companies operate (in which case solely the incremental disproportionate effect may be taken into account in determining whether there has been, or would reasonably expected to be, a Company Material Adverse Effect).</w:t>
      </w:r>
    </w:p>
    <w:p w14:paraId="4C36B5A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9E3079A"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Company Material Contracts</w:t>
      </w:r>
      <w:r>
        <w:rPr>
          <w:sz w:val="20"/>
          <w:szCs w:val="20"/>
        </w:rPr>
        <w:t xml:space="preserve">” has the meaning set forth in </w:t>
      </w:r>
      <w:r>
        <w:rPr>
          <w:sz w:val="20"/>
          <w:szCs w:val="20"/>
          <w:u w:val="single"/>
        </w:rPr>
        <w:t>Section 4.14(a)</w:t>
      </w:r>
      <w:r>
        <w:rPr>
          <w:sz w:val="20"/>
          <w:szCs w:val="20"/>
        </w:rPr>
        <w:t>.</w:t>
      </w:r>
    </w:p>
    <w:p w14:paraId="45A7938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8D3BA86" w14:textId="77777777" w:rsidR="00000000" w:rsidRDefault="002F725F">
      <w:pPr>
        <w:pStyle w:val="NormalWeb"/>
        <w:spacing w:before="0" w:beforeAutospacing="0" w:after="0" w:afterAutospacing="0"/>
        <w:jc w:val="center"/>
        <w:divId w:val="1082726989"/>
        <w:rPr>
          <w:sz w:val="20"/>
          <w:szCs w:val="20"/>
        </w:rPr>
      </w:pPr>
      <w:r>
        <w:rPr>
          <w:sz w:val="20"/>
          <w:szCs w:val="20"/>
        </w:rPr>
        <w:t>A</w:t>
      </w:r>
      <w:r>
        <w:rPr>
          <w:sz w:val="20"/>
          <w:szCs w:val="20"/>
        </w:rPr>
        <w:t>-</w:t>
      </w:r>
      <w:r>
        <w:rPr>
          <w:sz w:val="20"/>
          <w:szCs w:val="20"/>
        </w:rPr>
        <w:t>4</w:t>
      </w:r>
    </w:p>
    <w:p w14:paraId="7DA772A7" w14:textId="77777777" w:rsidR="00000000" w:rsidRDefault="002F725F">
      <w:pPr>
        <w:pStyle w:val="NormalWeb"/>
        <w:spacing w:before="0" w:beforeAutospacing="0" w:after="0" w:afterAutospacing="0"/>
        <w:divId w:val="412239506"/>
        <w:rPr>
          <w:sz w:val="20"/>
          <w:szCs w:val="20"/>
        </w:rPr>
      </w:pPr>
      <w:r>
        <w:rPr>
          <w:sz w:val="20"/>
          <w:szCs w:val="20"/>
        </w:rPr>
        <w:t> </w:t>
      </w:r>
    </w:p>
    <w:p w14:paraId="1BE677E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3932099"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Company Option</w:t>
      </w:r>
      <w:r>
        <w:rPr>
          <w:sz w:val="20"/>
          <w:szCs w:val="20"/>
        </w:rPr>
        <w:t>” means each option to purchase Shares granted under the Share Incentive Plans at or prior to the Effective Time, whether or not such option has become v</w:t>
      </w:r>
      <w:r>
        <w:rPr>
          <w:sz w:val="20"/>
          <w:szCs w:val="20"/>
        </w:rPr>
        <w:t>ested at or prior to the Effective Time in accordance with the terms thereof.</w:t>
      </w:r>
    </w:p>
    <w:p w14:paraId="6E56908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9F484E9"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Company Owned Real Property</w:t>
      </w:r>
      <w:r>
        <w:rPr>
          <w:sz w:val="20"/>
          <w:szCs w:val="20"/>
        </w:rPr>
        <w:t>” means all real property and interests in real property owned by any of the Group Companies as of the date of this Agreement.</w:t>
      </w:r>
    </w:p>
    <w:p w14:paraId="049B92B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F587FE6"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Company Permits</w:t>
      </w:r>
      <w:r>
        <w:rPr>
          <w:sz w:val="20"/>
          <w:szCs w:val="20"/>
        </w:rPr>
        <w:t>” h</w:t>
      </w:r>
      <w:r>
        <w:rPr>
          <w:sz w:val="20"/>
          <w:szCs w:val="20"/>
        </w:rPr>
        <w:t xml:space="preserve">as the meaning set forth in </w:t>
      </w:r>
      <w:r>
        <w:rPr>
          <w:sz w:val="20"/>
          <w:szCs w:val="20"/>
          <w:u w:val="single"/>
        </w:rPr>
        <w:t>Section 4.12(b)</w:t>
      </w:r>
      <w:r>
        <w:rPr>
          <w:sz w:val="20"/>
          <w:szCs w:val="20"/>
        </w:rPr>
        <w:t>.</w:t>
      </w:r>
    </w:p>
    <w:p w14:paraId="612F795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54ECFD3"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Company Personnel</w:t>
      </w:r>
      <w:r>
        <w:rPr>
          <w:sz w:val="20"/>
          <w:szCs w:val="20"/>
        </w:rPr>
        <w:t xml:space="preserve">” has the meaning set forth in </w:t>
      </w:r>
      <w:r>
        <w:rPr>
          <w:sz w:val="20"/>
          <w:szCs w:val="20"/>
          <w:u w:val="single"/>
        </w:rPr>
        <w:t>Section 4.19(b)</w:t>
      </w:r>
      <w:r>
        <w:rPr>
          <w:sz w:val="20"/>
          <w:szCs w:val="20"/>
        </w:rPr>
        <w:t>.</w:t>
      </w:r>
    </w:p>
    <w:p w14:paraId="6B87CDF5"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3F51708"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Company Recommendation</w:t>
      </w:r>
      <w:r>
        <w:rPr>
          <w:sz w:val="20"/>
          <w:szCs w:val="20"/>
        </w:rPr>
        <w:t xml:space="preserve">” has the meaning set forth in </w:t>
      </w:r>
      <w:r>
        <w:rPr>
          <w:sz w:val="20"/>
          <w:szCs w:val="20"/>
          <w:u w:val="single"/>
        </w:rPr>
        <w:t>Section 4.4(b)</w:t>
      </w:r>
      <w:r>
        <w:rPr>
          <w:sz w:val="20"/>
          <w:szCs w:val="20"/>
        </w:rPr>
        <w:t>.</w:t>
      </w:r>
    </w:p>
    <w:p w14:paraId="7C815E7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A116C19"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Company RSU</w:t>
      </w:r>
      <w:r>
        <w:rPr>
          <w:sz w:val="20"/>
          <w:szCs w:val="20"/>
        </w:rPr>
        <w:t>” means each restricted share unit or other right to acqu</w:t>
      </w:r>
      <w:r>
        <w:rPr>
          <w:sz w:val="20"/>
          <w:szCs w:val="20"/>
        </w:rPr>
        <w:t>ire Shares granted under the Share Incentive Plans at or prior to the Effective Time, the restrictions over which have not lapsed at or prior to the Effective Time in accordance with the terms thereof.</w:t>
      </w:r>
    </w:p>
    <w:p w14:paraId="596CBA8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B3D60EE"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w:t>
      </w:r>
      <w:r>
        <w:rPr>
          <w:sz w:val="20"/>
          <w:szCs w:val="20"/>
          <w:u w:val="single"/>
        </w:rPr>
        <w:t>Company Related Parties</w:t>
      </w:r>
      <w:r>
        <w:rPr>
          <w:sz w:val="20"/>
          <w:szCs w:val="20"/>
        </w:rPr>
        <w:t xml:space="preserve">” means the Company and its </w:t>
      </w:r>
      <w:r>
        <w:rPr>
          <w:sz w:val="20"/>
          <w:szCs w:val="20"/>
        </w:rPr>
        <w:t>Subsidiaries and any of their respective former, current and future employees, partners, shareholders, agents, managers, members or Affiliates (excluding any member of the Parent Group).</w:t>
      </w:r>
    </w:p>
    <w:p w14:paraId="3CBC5CA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13B7CD7"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Company SEC Reports</w:t>
      </w:r>
      <w:r>
        <w:rPr>
          <w:sz w:val="20"/>
          <w:szCs w:val="20"/>
        </w:rPr>
        <w:t xml:space="preserve">” has the meaning set forth in </w:t>
      </w:r>
      <w:r>
        <w:rPr>
          <w:sz w:val="20"/>
          <w:szCs w:val="20"/>
          <w:u w:val="single"/>
        </w:rPr>
        <w:t>Section 4.7(a)</w:t>
      </w:r>
      <w:r>
        <w:rPr>
          <w:sz w:val="20"/>
          <w:szCs w:val="20"/>
        </w:rPr>
        <w:t>.</w:t>
      </w:r>
    </w:p>
    <w:p w14:paraId="0230F57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B46646C"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Company Shareholder Approval</w:t>
      </w:r>
      <w:r>
        <w:rPr>
          <w:sz w:val="20"/>
          <w:szCs w:val="20"/>
        </w:rPr>
        <w:t xml:space="preserve">” means a special resolution (as defined in the Companies Act) of the shareholders of the Company, passed by not less than two-thirds of the votes cast by the holders of Shares as, being entitled to do so, vote in person or, </w:t>
      </w:r>
      <w:r>
        <w:rPr>
          <w:sz w:val="20"/>
          <w:szCs w:val="20"/>
        </w:rPr>
        <w:t xml:space="preserve">in the case of corporations, by their respective duly authorized representatives or, where proxies are allowed, by proxy, as a single class to approve and authorize this Agreement, the Plan of Merger and the consummation of the Transactions, including the </w:t>
      </w:r>
      <w:r>
        <w:rPr>
          <w:sz w:val="20"/>
          <w:szCs w:val="20"/>
        </w:rPr>
        <w:t>Merger, in accordance with the Companies Act and the Company’s articles of association, at a general meeting of the Company of which notice specifying the intention to propose this resolution as a special resolution has been duly given.</w:t>
      </w:r>
    </w:p>
    <w:p w14:paraId="46875CE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204CAD6"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Company Termination Fee</w:t>
      </w:r>
      <w:r>
        <w:rPr>
          <w:sz w:val="20"/>
          <w:szCs w:val="20"/>
        </w:rPr>
        <w:t xml:space="preserve">” has the meaning set forth in </w:t>
      </w:r>
      <w:r>
        <w:rPr>
          <w:sz w:val="20"/>
          <w:szCs w:val="20"/>
          <w:u w:val="single"/>
        </w:rPr>
        <w:t>Section 9.3(a)</w:t>
      </w:r>
      <w:r>
        <w:rPr>
          <w:sz w:val="20"/>
          <w:szCs w:val="20"/>
        </w:rPr>
        <w:t>.</w:t>
      </w:r>
    </w:p>
    <w:p w14:paraId="1CE64C4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A0A4100"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Company Warrant(s)</w:t>
      </w:r>
      <w:r>
        <w:rPr>
          <w:sz w:val="20"/>
          <w:szCs w:val="20"/>
        </w:rPr>
        <w:t xml:space="preserve">” has the meaning set forth in </w:t>
      </w:r>
      <w:r>
        <w:rPr>
          <w:sz w:val="20"/>
          <w:szCs w:val="20"/>
          <w:u w:val="single"/>
        </w:rPr>
        <w:t>Section 3.1(f)</w:t>
      </w:r>
      <w:r>
        <w:rPr>
          <w:sz w:val="20"/>
          <w:szCs w:val="20"/>
        </w:rPr>
        <w:t>.</w:t>
      </w:r>
    </w:p>
    <w:p w14:paraId="066C6FB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906D411"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Competing Proposal</w:t>
      </w:r>
      <w:r>
        <w:rPr>
          <w:sz w:val="20"/>
          <w:szCs w:val="20"/>
        </w:rPr>
        <w:t xml:space="preserve">” means any </w:t>
      </w:r>
      <w:r>
        <w:rPr>
          <w:i/>
          <w:iCs/>
          <w:sz w:val="20"/>
          <w:szCs w:val="20"/>
        </w:rPr>
        <w:t>bona fide</w:t>
      </w:r>
      <w:r>
        <w:rPr>
          <w:sz w:val="20"/>
          <w:szCs w:val="20"/>
        </w:rPr>
        <w:t xml:space="preserve"> written offer, proposal, inquiry or indication of interest (other than an o</w:t>
      </w:r>
      <w:r>
        <w:rPr>
          <w:sz w:val="20"/>
          <w:szCs w:val="20"/>
        </w:rPr>
        <w:t>ffer, proposal, inquiry, or indication of interest by Parent) constituting or may reasonably be expected to lead to any Competing Transaction.</w:t>
      </w:r>
    </w:p>
    <w:p w14:paraId="66024B1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106C28A" w14:textId="77777777" w:rsidR="00000000" w:rsidRDefault="002F725F">
      <w:pPr>
        <w:pStyle w:val="NormalWeb"/>
        <w:spacing w:before="0" w:beforeAutospacing="0" w:after="0" w:afterAutospacing="0"/>
        <w:jc w:val="center"/>
        <w:divId w:val="1884250370"/>
        <w:rPr>
          <w:sz w:val="20"/>
          <w:szCs w:val="20"/>
        </w:rPr>
      </w:pPr>
      <w:r>
        <w:rPr>
          <w:sz w:val="20"/>
          <w:szCs w:val="20"/>
        </w:rPr>
        <w:t>A</w:t>
      </w:r>
      <w:r>
        <w:rPr>
          <w:sz w:val="20"/>
          <w:szCs w:val="20"/>
        </w:rPr>
        <w:t>-</w:t>
      </w:r>
      <w:r>
        <w:rPr>
          <w:sz w:val="20"/>
          <w:szCs w:val="20"/>
        </w:rPr>
        <w:t>5</w:t>
      </w:r>
    </w:p>
    <w:p w14:paraId="7B61E92B" w14:textId="77777777" w:rsidR="00000000" w:rsidRDefault="002F725F">
      <w:pPr>
        <w:pStyle w:val="NormalWeb"/>
        <w:spacing w:before="0" w:beforeAutospacing="0" w:after="0" w:afterAutospacing="0"/>
        <w:divId w:val="1007824531"/>
        <w:rPr>
          <w:sz w:val="20"/>
          <w:szCs w:val="20"/>
        </w:rPr>
      </w:pPr>
      <w:r>
        <w:rPr>
          <w:sz w:val="20"/>
          <w:szCs w:val="20"/>
        </w:rPr>
        <w:t> </w:t>
      </w:r>
    </w:p>
    <w:p w14:paraId="763B09E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1F9102E"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Competing Transaction</w:t>
      </w:r>
      <w:r>
        <w:rPr>
          <w:sz w:val="20"/>
          <w:szCs w:val="20"/>
        </w:rPr>
        <w:t>” means, other than the Transactions, any transaction or series of transactions f</w:t>
      </w:r>
      <w:r>
        <w:rPr>
          <w:sz w:val="20"/>
          <w:szCs w:val="20"/>
        </w:rPr>
        <w:t>or or relating to (a) any merger, reorganization, consolidation, share exchange, business combination, scheme of arrangement, amalgamation, recapitalization, extra-ordinary dividend, share repurchase, liquidation, dissolution or other similar transaction i</w:t>
      </w:r>
      <w:r>
        <w:rPr>
          <w:sz w:val="20"/>
          <w:szCs w:val="20"/>
        </w:rPr>
        <w:t>nvolving the Company or any of its Subsidiaries whose assets, individually or in the aggregate, constitute twenty percent (20%) or more of the consolidated assets of the Company or to which twenty percent (20%) or more of the total revenue, operating incom</w:t>
      </w:r>
      <w:r>
        <w:rPr>
          <w:sz w:val="20"/>
          <w:szCs w:val="20"/>
        </w:rPr>
        <w:t>e or EBITDA of the Company are attributable; (b) any sale, lease, exchange, transfer or other disposition of assets or businesses of the Group Companies that constitute or represent twenty percent (20%) or more of the total revenue, operating income, EBITD</w:t>
      </w:r>
      <w:r>
        <w:rPr>
          <w:sz w:val="20"/>
          <w:szCs w:val="20"/>
        </w:rPr>
        <w:t>A or assets of the Group Companies, taken as a whole; (c) any sale, exchange, transfer or other disposition of twenty percent (20%) or more of any class of equity securities of the Company; (d) any general offer, tender offer or exchange offer that, if con</w:t>
      </w:r>
      <w:r>
        <w:rPr>
          <w:sz w:val="20"/>
          <w:szCs w:val="20"/>
        </w:rPr>
        <w:t>summated, would result in any Person Beneficially Owning twenty percent (20%) or more of any class of equity securities of the Company; (e) any other transaction having an effect similar to the foregoing; or (f) any combination of the foregoing. For purpos</w:t>
      </w:r>
      <w:r>
        <w:rPr>
          <w:sz w:val="20"/>
          <w:szCs w:val="20"/>
        </w:rPr>
        <w:t>es of this definition, revenue, operating income and EBITDA of the Company shall be determined on a consolidated basis for the prior twelve (12)-month period preceding the date of determination and shall be determined in accordance with GAAP (or, in the ca</w:t>
      </w:r>
      <w:r>
        <w:rPr>
          <w:sz w:val="20"/>
          <w:szCs w:val="20"/>
        </w:rPr>
        <w:t>se of EBITDA, in a manner consistent with the Company’s past accounting practices and, with respect to the components of EBITDA that are customarily GAAP items, in any case in accordance with GAAP).</w:t>
      </w:r>
    </w:p>
    <w:p w14:paraId="5AEEA660"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0719FC6"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Confidentiality Agreements</w:t>
      </w:r>
      <w:r>
        <w:rPr>
          <w:sz w:val="20"/>
          <w:szCs w:val="20"/>
        </w:rPr>
        <w:t>” means, collectively, (a) t</w:t>
      </w:r>
      <w:r>
        <w:rPr>
          <w:sz w:val="20"/>
          <w:szCs w:val="20"/>
        </w:rPr>
        <w:t xml:space="preserve">he confidentiality agreement, dated September 13, 2025, by and among the Company, the Special Committee, Oceanpine Investment Fund II LP and Oceanpine Capital Inc., (b) the confidentiality agreement, dated September 13, 2025, by and among the Company, the </w:t>
      </w:r>
      <w:r>
        <w:rPr>
          <w:sz w:val="20"/>
          <w:szCs w:val="20"/>
        </w:rPr>
        <w:t>Special Committee and Crystal Peak Investment Inc., (c) the confidentiality agreement, dated October 5, 2025, by and among the Company, the Special Committee, Adjuvant Global Health Technology Fund, L.P. and Adjuvant Global Health Technology Fund DE, L.P.,</w:t>
      </w:r>
      <w:r>
        <w:rPr>
          <w:sz w:val="20"/>
          <w:szCs w:val="20"/>
        </w:rPr>
        <w:t xml:space="preserve"> (d) the confidentiality agreement, dated October 27, 2025, by and among the Company, the Special Committee and Superstring Capital Master Fund LP, (e) the confidentiality agreement, dated October 27, 2025, by and among the Company, the Special Committee a</w:t>
      </w:r>
      <w:r>
        <w:rPr>
          <w:sz w:val="20"/>
          <w:szCs w:val="20"/>
        </w:rPr>
        <w:t>nd Epiphron Capital (Hong Kong) Limited, (f) the confidentiality agreement, dated October 27, 2025, by and among the Company, the Special Committee and MSA GROWTH FUND II, L.P.</w:t>
      </w:r>
    </w:p>
    <w:p w14:paraId="720B1BC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F36CCD6"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w:t>
      </w:r>
      <w:r>
        <w:rPr>
          <w:sz w:val="20"/>
          <w:szCs w:val="20"/>
          <w:u w:val="single"/>
        </w:rPr>
        <w:t>Consortium Agreement</w:t>
      </w:r>
      <w:r>
        <w:rPr>
          <w:sz w:val="20"/>
          <w:szCs w:val="20"/>
        </w:rPr>
        <w:t>” means, collectively, (a) that certain consortium agree</w:t>
      </w:r>
      <w:r>
        <w:rPr>
          <w:sz w:val="20"/>
          <w:szCs w:val="20"/>
        </w:rPr>
        <w:t>ment, dated as of August 26, 2025, entered into by and among Oceanpine Investment Fund II LP, Oceanpine Capital Inc. and Crystal Peak Investment Inc., (b) that certain deed of adherence, dated as of October 5, 2025, executed by Adjuvant Global Health Techn</w:t>
      </w:r>
      <w:r>
        <w:rPr>
          <w:sz w:val="20"/>
          <w:szCs w:val="20"/>
        </w:rPr>
        <w:t>ology Fund, L.P. and Adjuvant Global Health Technology Fund DE, L.P., (c) that certain deed of adherence, dated as of October 27, 2025, executed by Superstring Capital Master Fund LP, (d) that certain deed of adherence, dated as of October 27, 2025, execut</w:t>
      </w:r>
      <w:r>
        <w:rPr>
          <w:sz w:val="20"/>
          <w:szCs w:val="20"/>
        </w:rPr>
        <w:t>ed by Epiphron Capital (Hong Kong) Limited, and (e) that certain deed of adherence, dated as of October 27, 2025, executed by MSA GROWTH FUND II, L.P.</w:t>
      </w:r>
    </w:p>
    <w:p w14:paraId="645CF24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CC85587"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Contract</w:t>
      </w:r>
      <w:r>
        <w:rPr>
          <w:sz w:val="20"/>
          <w:szCs w:val="20"/>
        </w:rPr>
        <w:t xml:space="preserve">” means any legally </w:t>
      </w:r>
      <w:r>
        <w:rPr>
          <w:sz w:val="20"/>
          <w:szCs w:val="20"/>
        </w:rPr>
        <w:t>binding written, oral or other agreement, contract, subcontract, lease, understanding, arrangement, instrument, note, option, warranty, license, sublicense, insurance policy, benefit plan or legally binding commitment or undertaking of any nature.</w:t>
      </w:r>
    </w:p>
    <w:p w14:paraId="0C8608E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D10CFEE"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D&amp;O I</w:t>
      </w:r>
      <w:r>
        <w:rPr>
          <w:sz w:val="20"/>
          <w:szCs w:val="20"/>
          <w:u w:val="single"/>
        </w:rPr>
        <w:t>nsurance</w:t>
      </w:r>
      <w:r>
        <w:rPr>
          <w:sz w:val="20"/>
          <w:szCs w:val="20"/>
        </w:rPr>
        <w:t xml:space="preserve">” has the meaning set forth in </w:t>
      </w:r>
      <w:r>
        <w:rPr>
          <w:sz w:val="20"/>
          <w:szCs w:val="20"/>
          <w:u w:val="single"/>
        </w:rPr>
        <w:t>Section 7.5(e)</w:t>
      </w:r>
      <w:r>
        <w:rPr>
          <w:sz w:val="20"/>
          <w:szCs w:val="20"/>
        </w:rPr>
        <w:t>.</w:t>
      </w:r>
    </w:p>
    <w:p w14:paraId="5905858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3E12C84"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Dissenting Shareholders</w:t>
      </w:r>
      <w:r>
        <w:rPr>
          <w:sz w:val="20"/>
          <w:szCs w:val="20"/>
        </w:rPr>
        <w:t xml:space="preserve">” has the meaning set forth in </w:t>
      </w:r>
      <w:r>
        <w:rPr>
          <w:sz w:val="20"/>
          <w:szCs w:val="20"/>
          <w:u w:val="single"/>
        </w:rPr>
        <w:t>Section 3.4</w:t>
      </w:r>
      <w:r>
        <w:rPr>
          <w:sz w:val="20"/>
          <w:szCs w:val="20"/>
        </w:rPr>
        <w:t>.</w:t>
      </w:r>
    </w:p>
    <w:p w14:paraId="3075A9E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D04F178"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Dissenting Shares</w:t>
      </w:r>
      <w:r>
        <w:rPr>
          <w:sz w:val="20"/>
          <w:szCs w:val="20"/>
        </w:rPr>
        <w:t xml:space="preserve">” has the meaning set forth in </w:t>
      </w:r>
      <w:r>
        <w:rPr>
          <w:sz w:val="20"/>
          <w:szCs w:val="20"/>
          <w:u w:val="single"/>
        </w:rPr>
        <w:t>Section 3.4</w:t>
      </w:r>
      <w:r>
        <w:rPr>
          <w:sz w:val="20"/>
          <w:szCs w:val="20"/>
        </w:rPr>
        <w:t>.</w:t>
      </w:r>
    </w:p>
    <w:p w14:paraId="31B0528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45BA96A"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Effect</w:t>
      </w:r>
      <w:r>
        <w:rPr>
          <w:sz w:val="20"/>
          <w:szCs w:val="20"/>
        </w:rPr>
        <w:t>” means any effect, event, fact, development, circumstance</w:t>
      </w:r>
      <w:r>
        <w:rPr>
          <w:sz w:val="20"/>
          <w:szCs w:val="20"/>
        </w:rPr>
        <w:t>, condition or change.</w:t>
      </w:r>
    </w:p>
    <w:p w14:paraId="5B7F1834"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5D074C8"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Effective Time</w:t>
      </w:r>
      <w:r>
        <w:rPr>
          <w:sz w:val="20"/>
          <w:szCs w:val="20"/>
        </w:rPr>
        <w:t xml:space="preserve">” has the meaning set forth in </w:t>
      </w:r>
      <w:r>
        <w:rPr>
          <w:sz w:val="20"/>
          <w:szCs w:val="20"/>
          <w:u w:val="single"/>
        </w:rPr>
        <w:t>Section 2.3</w:t>
      </w:r>
      <w:r>
        <w:rPr>
          <w:sz w:val="20"/>
          <w:szCs w:val="20"/>
        </w:rPr>
        <w:t>.</w:t>
      </w:r>
    </w:p>
    <w:p w14:paraId="191CFA1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7B3319B"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Enforceability Exceptions</w:t>
      </w:r>
      <w:r>
        <w:rPr>
          <w:sz w:val="20"/>
          <w:szCs w:val="20"/>
        </w:rPr>
        <w:t xml:space="preserve">” </w:t>
      </w:r>
      <w:r>
        <w:rPr>
          <w:sz w:val="20"/>
          <w:szCs w:val="20"/>
        </w:rPr>
        <w:t>means any exceptions to the enforceability of any Contract under applicable bankruptcy, insolvency, reorganization or other similar Laws affecting the enforcement of creditors’ rights generally or under principles of equity regarding the availability of re</w:t>
      </w:r>
      <w:r>
        <w:rPr>
          <w:sz w:val="20"/>
          <w:szCs w:val="20"/>
        </w:rPr>
        <w:t>medies.</w:t>
      </w:r>
    </w:p>
    <w:p w14:paraId="0082B45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14D4DD1" w14:textId="77777777" w:rsidR="00000000" w:rsidRDefault="002F725F">
      <w:pPr>
        <w:pStyle w:val="NormalWeb"/>
        <w:spacing w:before="0" w:beforeAutospacing="0" w:after="0" w:afterAutospacing="0"/>
        <w:jc w:val="center"/>
        <w:divId w:val="1360887339"/>
        <w:rPr>
          <w:sz w:val="20"/>
          <w:szCs w:val="20"/>
        </w:rPr>
      </w:pPr>
      <w:r>
        <w:rPr>
          <w:sz w:val="20"/>
          <w:szCs w:val="20"/>
        </w:rPr>
        <w:t>A</w:t>
      </w:r>
      <w:r>
        <w:rPr>
          <w:sz w:val="20"/>
          <w:szCs w:val="20"/>
        </w:rPr>
        <w:t>-</w:t>
      </w:r>
      <w:r>
        <w:rPr>
          <w:sz w:val="20"/>
          <w:szCs w:val="20"/>
        </w:rPr>
        <w:t>6</w:t>
      </w:r>
    </w:p>
    <w:p w14:paraId="7DAF0717" w14:textId="77777777" w:rsidR="00000000" w:rsidRDefault="002F725F">
      <w:pPr>
        <w:pStyle w:val="NormalWeb"/>
        <w:spacing w:before="0" w:beforeAutospacing="0" w:after="0" w:afterAutospacing="0"/>
        <w:divId w:val="1661812681"/>
        <w:rPr>
          <w:sz w:val="20"/>
          <w:szCs w:val="20"/>
        </w:rPr>
      </w:pPr>
      <w:r>
        <w:rPr>
          <w:sz w:val="20"/>
          <w:szCs w:val="20"/>
        </w:rPr>
        <w:t> </w:t>
      </w:r>
    </w:p>
    <w:p w14:paraId="3EB0039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1868E40"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Entity</w:t>
      </w:r>
      <w:r>
        <w:rPr>
          <w:sz w:val="20"/>
          <w:szCs w:val="20"/>
        </w:rPr>
        <w:t xml:space="preserve">” means any corporation (including any non-profit corporation), general partnership, limited partnership, limited liability partnership, joint venture, joint venture syndicate, estate, trust, company (including any company limited </w:t>
      </w:r>
      <w:r>
        <w:rPr>
          <w:sz w:val="20"/>
          <w:szCs w:val="20"/>
        </w:rPr>
        <w:t>by shares, limited liability company or joint stock company), firm, society or other enterprise, association, organization or entity.</w:t>
      </w:r>
    </w:p>
    <w:p w14:paraId="220BF14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F3454AA"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Environmental Law</w:t>
      </w:r>
      <w:r>
        <w:rPr>
          <w:sz w:val="20"/>
          <w:szCs w:val="20"/>
        </w:rPr>
        <w:t>” means any applicable Law binding on any of the Group Companies or its operations or property as of o</w:t>
      </w:r>
      <w:r>
        <w:rPr>
          <w:sz w:val="20"/>
          <w:szCs w:val="20"/>
        </w:rPr>
        <w:t>r prior to the date hereof relating in any way to the environment, natural resources or Hazardous Materials.</w:t>
      </w:r>
    </w:p>
    <w:p w14:paraId="55A0C640"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3E26829"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Equity Commitment Letter</w:t>
      </w:r>
      <w:r>
        <w:rPr>
          <w:sz w:val="20"/>
          <w:szCs w:val="20"/>
        </w:rPr>
        <w:t xml:space="preserve">” means the equity commitment letter, dated November 4, 2025, to Parent from the Sponsor, pursuant to which the Sponsor </w:t>
      </w:r>
      <w:r>
        <w:rPr>
          <w:sz w:val="20"/>
          <w:szCs w:val="20"/>
        </w:rPr>
        <w:t>has committed, subject to the terms and conditions set forth therein, to purchase or cause the purchase of the Equity Interests of Parent, for the cash amount set forth therein.</w:t>
      </w:r>
    </w:p>
    <w:p w14:paraId="6FC29760"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7363DB5"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Equity Interests</w:t>
      </w:r>
      <w:r>
        <w:rPr>
          <w:sz w:val="20"/>
          <w:szCs w:val="20"/>
        </w:rPr>
        <w:t xml:space="preserve">” means, with respect to any Entity, any and all shares of </w:t>
      </w:r>
      <w:r>
        <w:rPr>
          <w:sz w:val="20"/>
          <w:szCs w:val="20"/>
        </w:rPr>
        <w:t>capital stock, membership interests, units, profits interests, ownership interests, equity interests, registered capital and other equity securities of such Entity, and any right, warrant, option, call, commitment, conversion privilege, preemptive right or</w:t>
      </w:r>
      <w:r>
        <w:rPr>
          <w:sz w:val="20"/>
          <w:szCs w:val="20"/>
        </w:rPr>
        <w:t xml:space="preserve"> other right to acquire any of the foregoing, or security convertible into, exchangeable or exercisable for any of the foregoing.</w:t>
      </w:r>
    </w:p>
    <w:p w14:paraId="16E9F7B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8D1BCDE"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Exchange Act</w:t>
      </w:r>
      <w:r>
        <w:rPr>
          <w:sz w:val="20"/>
          <w:szCs w:val="20"/>
        </w:rPr>
        <w:t>” means the Securities Exchange Act of 1934, as amended from time to time.</w:t>
      </w:r>
    </w:p>
    <w:p w14:paraId="114754C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88B7495"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Exchange Fund</w:t>
      </w:r>
      <w:r>
        <w:rPr>
          <w:sz w:val="20"/>
          <w:szCs w:val="20"/>
        </w:rPr>
        <w:t>” has the meaning se</w:t>
      </w:r>
      <w:r>
        <w:rPr>
          <w:sz w:val="20"/>
          <w:szCs w:val="20"/>
        </w:rPr>
        <w:t xml:space="preserve">t forth in </w:t>
      </w:r>
      <w:r>
        <w:rPr>
          <w:sz w:val="20"/>
          <w:szCs w:val="20"/>
          <w:u w:val="single"/>
        </w:rPr>
        <w:t>Section 3.2(a)</w:t>
      </w:r>
      <w:r>
        <w:rPr>
          <w:sz w:val="20"/>
          <w:szCs w:val="20"/>
        </w:rPr>
        <w:t>.</w:t>
      </w:r>
    </w:p>
    <w:p w14:paraId="19047DB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C581D50"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Exchange Ratio</w:t>
      </w:r>
      <w:r>
        <w:rPr>
          <w:sz w:val="20"/>
          <w:szCs w:val="20"/>
        </w:rPr>
        <w:t xml:space="preserve">” has the meaning set forth in </w:t>
      </w:r>
      <w:r>
        <w:rPr>
          <w:sz w:val="20"/>
          <w:szCs w:val="20"/>
          <w:u w:val="single"/>
        </w:rPr>
        <w:t>Section 3.3(a)</w:t>
      </w:r>
      <w:r>
        <w:rPr>
          <w:sz w:val="20"/>
          <w:szCs w:val="20"/>
        </w:rPr>
        <w:t>.</w:t>
      </w:r>
    </w:p>
    <w:p w14:paraId="3B69709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711F5C0"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w:t>
      </w:r>
      <w:r>
        <w:rPr>
          <w:sz w:val="20"/>
          <w:szCs w:val="20"/>
          <w:u w:val="single"/>
        </w:rPr>
        <w:t>Excluded Shares</w:t>
      </w:r>
      <w:r>
        <w:rPr>
          <w:sz w:val="20"/>
          <w:szCs w:val="20"/>
        </w:rPr>
        <w:t>” means, collectively, (a) the Rollover Shares, (b) Shares held by any of Parent, Merger Sub and any of their respective Affiliates; (c) Shares hel</w:t>
      </w:r>
      <w:r>
        <w:rPr>
          <w:sz w:val="20"/>
          <w:szCs w:val="20"/>
        </w:rPr>
        <w:t>d by the Company or any Subsidiary of the Company or held in the Company’s treasury; and (d) Shares held by holders who prior to the Closing agree with Parent not to receive any Merger Consideration with respect to such Shares.</w:t>
      </w:r>
    </w:p>
    <w:p w14:paraId="670DA1D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1077055"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Exercise Price</w:t>
      </w:r>
      <w:r>
        <w:rPr>
          <w:sz w:val="20"/>
          <w:szCs w:val="20"/>
        </w:rPr>
        <w:t>” means, wi</w:t>
      </w:r>
      <w:r>
        <w:rPr>
          <w:sz w:val="20"/>
          <w:szCs w:val="20"/>
        </w:rPr>
        <w:t>th respect to any Company Option, the applicable exercise price per Share underlying such Company Option.</w:t>
      </w:r>
    </w:p>
    <w:p w14:paraId="656D2692"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76DAA00"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Financial Advisor</w:t>
      </w:r>
      <w:r>
        <w:rPr>
          <w:sz w:val="20"/>
          <w:szCs w:val="20"/>
        </w:rPr>
        <w:t xml:space="preserve">” has the meaning set forth in </w:t>
      </w:r>
      <w:r>
        <w:rPr>
          <w:sz w:val="20"/>
          <w:szCs w:val="20"/>
          <w:u w:val="single"/>
        </w:rPr>
        <w:t>Section 4.4(c)</w:t>
      </w:r>
      <w:r>
        <w:rPr>
          <w:sz w:val="20"/>
          <w:szCs w:val="20"/>
        </w:rPr>
        <w:t>.</w:t>
      </w:r>
    </w:p>
    <w:p w14:paraId="351F7840"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354F636"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Financing</w:t>
      </w:r>
      <w:r>
        <w:rPr>
          <w:sz w:val="20"/>
          <w:szCs w:val="20"/>
        </w:rPr>
        <w:t xml:space="preserve">” has the meaning set forth in </w:t>
      </w:r>
      <w:r>
        <w:rPr>
          <w:sz w:val="20"/>
          <w:szCs w:val="20"/>
          <w:u w:val="single"/>
        </w:rPr>
        <w:t>Section 5.12(a)</w:t>
      </w:r>
      <w:r>
        <w:rPr>
          <w:sz w:val="20"/>
          <w:szCs w:val="20"/>
        </w:rPr>
        <w:t>.</w:t>
      </w:r>
    </w:p>
    <w:p w14:paraId="3D76299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9276E7B"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GAAP</w:t>
      </w:r>
      <w:r>
        <w:rPr>
          <w:sz w:val="20"/>
          <w:szCs w:val="20"/>
        </w:rPr>
        <w:t xml:space="preserve">” </w:t>
      </w:r>
      <w:r>
        <w:rPr>
          <w:sz w:val="20"/>
          <w:szCs w:val="20"/>
        </w:rPr>
        <w:t xml:space="preserve">has the meaning set forth in </w:t>
      </w:r>
      <w:r>
        <w:rPr>
          <w:sz w:val="20"/>
          <w:szCs w:val="20"/>
          <w:u w:val="single"/>
        </w:rPr>
        <w:t>Section 4.7(b)</w:t>
      </w:r>
      <w:r>
        <w:rPr>
          <w:sz w:val="20"/>
          <w:szCs w:val="20"/>
        </w:rPr>
        <w:t>.</w:t>
      </w:r>
    </w:p>
    <w:p w14:paraId="78C66DF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F74FA7C"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Governmental Entity</w:t>
      </w:r>
      <w:r>
        <w:rPr>
          <w:sz w:val="20"/>
          <w:szCs w:val="20"/>
        </w:rPr>
        <w:t>” means any (a) nation, state, commonwealth, province, territory, county, municipality, tribal territory, district or other jurisdiction of any nature; (b) U.S. federal, state, local or mun</w:t>
      </w:r>
      <w:r>
        <w:rPr>
          <w:sz w:val="20"/>
          <w:szCs w:val="20"/>
        </w:rPr>
        <w:t>icipal, non-U.S. or other government; or (c) governmental or quasi-governmental authority of any nature (including any governmental division, department, agency, commission, instrumentality, official, ministry, fund, foundation, center, organization, unit,</w:t>
      </w:r>
      <w:r>
        <w:rPr>
          <w:sz w:val="20"/>
          <w:szCs w:val="20"/>
        </w:rPr>
        <w:t xml:space="preserve"> body or Entity, and any court or other tribunal).</w:t>
      </w:r>
    </w:p>
    <w:p w14:paraId="75BA66F2"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B0C5485"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Group Companies</w:t>
      </w:r>
      <w:r>
        <w:rPr>
          <w:sz w:val="20"/>
          <w:szCs w:val="20"/>
        </w:rPr>
        <w:t>” means the Company and each of the Company’s Subsidiaries.</w:t>
      </w:r>
    </w:p>
    <w:p w14:paraId="7313168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E5348CD"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Guarantor</w:t>
      </w:r>
      <w:r>
        <w:rPr>
          <w:sz w:val="20"/>
          <w:szCs w:val="20"/>
        </w:rPr>
        <w:t>” means Oceanpine Capital Inc.</w:t>
      </w:r>
    </w:p>
    <w:p w14:paraId="1C1CB6B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49A66F2" w14:textId="77777777" w:rsidR="00000000" w:rsidRDefault="002F725F">
      <w:pPr>
        <w:pStyle w:val="NormalWeb"/>
        <w:spacing w:before="0" w:beforeAutospacing="0" w:after="0" w:afterAutospacing="0"/>
        <w:jc w:val="center"/>
        <w:divId w:val="236599803"/>
        <w:rPr>
          <w:sz w:val="20"/>
          <w:szCs w:val="20"/>
        </w:rPr>
      </w:pPr>
      <w:r>
        <w:rPr>
          <w:sz w:val="20"/>
          <w:szCs w:val="20"/>
        </w:rPr>
        <w:t>A</w:t>
      </w:r>
      <w:r>
        <w:rPr>
          <w:sz w:val="20"/>
          <w:szCs w:val="20"/>
        </w:rPr>
        <w:t>-</w:t>
      </w:r>
      <w:r>
        <w:rPr>
          <w:sz w:val="20"/>
          <w:szCs w:val="20"/>
        </w:rPr>
        <w:t>7</w:t>
      </w:r>
    </w:p>
    <w:p w14:paraId="026C0AF0" w14:textId="77777777" w:rsidR="00000000" w:rsidRDefault="002F725F">
      <w:pPr>
        <w:pStyle w:val="NormalWeb"/>
        <w:spacing w:before="0" w:beforeAutospacing="0" w:after="0" w:afterAutospacing="0"/>
        <w:divId w:val="1771772513"/>
        <w:rPr>
          <w:sz w:val="20"/>
          <w:szCs w:val="20"/>
        </w:rPr>
      </w:pPr>
      <w:r>
        <w:rPr>
          <w:sz w:val="20"/>
          <w:szCs w:val="20"/>
        </w:rPr>
        <w:t> </w:t>
      </w:r>
    </w:p>
    <w:p w14:paraId="05EC556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696384D"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Hazardous Materials</w:t>
      </w:r>
      <w:r>
        <w:rPr>
          <w:sz w:val="20"/>
          <w:szCs w:val="20"/>
        </w:rPr>
        <w:t>” means any chemical, substance or waste that is regul</w:t>
      </w:r>
      <w:r>
        <w:rPr>
          <w:sz w:val="20"/>
          <w:szCs w:val="20"/>
        </w:rPr>
        <w:t>ated and defined by a Governmental Entity as “hazardous,” “toxic,” a “pollutant,” or “radioactive” under applicable Environmental Law.</w:t>
      </w:r>
    </w:p>
    <w:p w14:paraId="5BFABC8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D204EEE"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HKIAC</w:t>
      </w:r>
      <w:r>
        <w:rPr>
          <w:sz w:val="20"/>
          <w:szCs w:val="20"/>
        </w:rPr>
        <w:t xml:space="preserve">” has the meaning set forth in </w:t>
      </w:r>
      <w:r>
        <w:rPr>
          <w:sz w:val="20"/>
          <w:szCs w:val="20"/>
          <w:u w:val="single"/>
        </w:rPr>
        <w:t>Section 10.9</w:t>
      </w:r>
      <w:r>
        <w:rPr>
          <w:sz w:val="20"/>
          <w:szCs w:val="20"/>
        </w:rPr>
        <w:t>.</w:t>
      </w:r>
    </w:p>
    <w:p w14:paraId="1B80D4E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87496F5"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HKIAC Rules</w:t>
      </w:r>
      <w:r>
        <w:rPr>
          <w:sz w:val="20"/>
          <w:szCs w:val="20"/>
        </w:rPr>
        <w:t xml:space="preserve">” has the meaning set forth in </w:t>
      </w:r>
      <w:r>
        <w:rPr>
          <w:sz w:val="20"/>
          <w:szCs w:val="20"/>
          <w:u w:val="single"/>
        </w:rPr>
        <w:t>Section 10.9</w:t>
      </w:r>
      <w:r>
        <w:rPr>
          <w:sz w:val="20"/>
          <w:szCs w:val="20"/>
        </w:rPr>
        <w:t>.</w:t>
      </w:r>
    </w:p>
    <w:p w14:paraId="6BD0043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63E1882"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Hong K</w:t>
      </w:r>
      <w:r>
        <w:rPr>
          <w:sz w:val="20"/>
          <w:szCs w:val="20"/>
          <w:u w:val="single"/>
        </w:rPr>
        <w:t>ong</w:t>
      </w:r>
      <w:r>
        <w:rPr>
          <w:sz w:val="20"/>
          <w:szCs w:val="20"/>
        </w:rPr>
        <w:t>” means the Hong Kong Special Administrative Region of the People’s Republic of China.</w:t>
      </w:r>
    </w:p>
    <w:p w14:paraId="373EEFF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489C908"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Indebtedness</w:t>
      </w:r>
      <w:r>
        <w:rPr>
          <w:sz w:val="20"/>
          <w:szCs w:val="20"/>
        </w:rPr>
        <w:t>” means, with respect to any Person, (a) all indebtedness of such Person for borrowed money, including all obligations of such Person evidenced by note</w:t>
      </w:r>
      <w:r>
        <w:rPr>
          <w:sz w:val="20"/>
          <w:szCs w:val="20"/>
        </w:rPr>
        <w:t xml:space="preserve">s, bonds, debentures or other similar instruments; and (b) all obligations, contingent or otherwise, of such Person under acceptance, letter of credit or similar facilities; in each case, </w:t>
      </w:r>
      <w:r>
        <w:rPr>
          <w:sz w:val="20"/>
          <w:szCs w:val="20"/>
          <w:u w:val="single"/>
        </w:rPr>
        <w:t>provided</w:t>
      </w:r>
      <w:r>
        <w:rPr>
          <w:sz w:val="20"/>
          <w:szCs w:val="20"/>
        </w:rPr>
        <w:t xml:space="preserve"> that in no event will Indebtedness include any accounts pay</w:t>
      </w:r>
      <w:r>
        <w:rPr>
          <w:sz w:val="20"/>
          <w:szCs w:val="20"/>
        </w:rPr>
        <w:t>able or other trade payable arising in the ordinary course of business.</w:t>
      </w:r>
    </w:p>
    <w:p w14:paraId="34F1DEA5"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DF73642"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Indemnified Party</w:t>
      </w:r>
      <w:r>
        <w:rPr>
          <w:sz w:val="20"/>
          <w:szCs w:val="20"/>
        </w:rPr>
        <w:t xml:space="preserve">” has the meaning set forth in </w:t>
      </w:r>
      <w:r>
        <w:rPr>
          <w:sz w:val="20"/>
          <w:szCs w:val="20"/>
          <w:u w:val="single"/>
        </w:rPr>
        <w:t>Section 7.5(a)</w:t>
      </w:r>
      <w:r>
        <w:rPr>
          <w:sz w:val="20"/>
          <w:szCs w:val="20"/>
        </w:rPr>
        <w:t>.</w:t>
      </w:r>
    </w:p>
    <w:p w14:paraId="4FE9656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7E4220B"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Insolvent</w:t>
      </w:r>
      <w:r>
        <w:rPr>
          <w:sz w:val="20"/>
          <w:szCs w:val="20"/>
        </w:rPr>
        <w:t>” means, with respect to any Person, that (a) </w:t>
      </w:r>
      <w:r>
        <w:rPr>
          <w:sz w:val="20"/>
          <w:szCs w:val="20"/>
        </w:rPr>
        <w:t xml:space="preserve">the present fair saleable value of such Person’s assets is less than the amount required to pay such Person’s total liabilities, including contingent liabilities; (b) the present fair saleable value of such Person’s assets is less than the amount required </w:t>
      </w:r>
      <w:r>
        <w:rPr>
          <w:sz w:val="20"/>
          <w:szCs w:val="20"/>
        </w:rPr>
        <w:t>to pay the probable liability (subordinated, contingent or otherwise) of such Person on its debts, as such debts and liabilities become absolute and matured; (c) such Person intends to incur or believes that it will incur debts or liabilities that would be</w:t>
      </w:r>
      <w:r>
        <w:rPr>
          <w:sz w:val="20"/>
          <w:szCs w:val="20"/>
        </w:rPr>
        <w:t xml:space="preserve"> beyond its ability to pay such debts and liabilities as they mature; or (d) such Person has unreasonably small capital with which to conduct the business in which it is engaged as such business is now conducted and is proposed to be conducted.</w:t>
      </w:r>
    </w:p>
    <w:p w14:paraId="15FAE2F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4E268A3"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Intellec</w:t>
      </w:r>
      <w:r>
        <w:rPr>
          <w:sz w:val="20"/>
          <w:szCs w:val="20"/>
          <w:u w:val="single"/>
        </w:rPr>
        <w:t>tual Property</w:t>
      </w:r>
      <w:r>
        <w:rPr>
          <w:sz w:val="20"/>
          <w:szCs w:val="20"/>
        </w:rPr>
        <w:t xml:space="preserve">” has the meaning set forth in </w:t>
      </w:r>
      <w:r>
        <w:rPr>
          <w:sz w:val="20"/>
          <w:szCs w:val="20"/>
          <w:u w:val="single"/>
        </w:rPr>
        <w:t>Section 4.15(a)</w:t>
      </w:r>
      <w:r>
        <w:rPr>
          <w:sz w:val="20"/>
          <w:szCs w:val="20"/>
        </w:rPr>
        <w:t>.</w:t>
      </w:r>
    </w:p>
    <w:p w14:paraId="0CD50A90"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 </w:t>
      </w:r>
    </w:p>
    <w:p w14:paraId="6402E584"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Interim Investors Agreement</w:t>
      </w:r>
      <w:r>
        <w:rPr>
          <w:sz w:val="20"/>
          <w:szCs w:val="20"/>
        </w:rPr>
        <w:t>” means that certain interim investors agreement, dated as of November 4, 2025, entered into by and among Oceanpine Investment Fund II LP, Oceanpine Capital Inc., Cr</w:t>
      </w:r>
      <w:r>
        <w:rPr>
          <w:sz w:val="20"/>
          <w:szCs w:val="20"/>
        </w:rPr>
        <w:t>ystal Peak Investment Inc., Adjuvant Global Health Technology Fund, L.P., Adjuvant Global Health Technology Fund DE, L.P., Superstring Capital Master Fund LP, Epiphron Capital (Hong Kong) Limited, MSA GROWTH FUND II, L.P., Parent and Merger Sub.</w:t>
      </w:r>
    </w:p>
    <w:p w14:paraId="5E2BE36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4C0AAB5"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Knowled</w:t>
      </w:r>
      <w:r>
        <w:rPr>
          <w:sz w:val="20"/>
          <w:szCs w:val="20"/>
          <w:u w:val="single"/>
        </w:rPr>
        <w:t>ge</w:t>
      </w:r>
      <w:r>
        <w:rPr>
          <w:sz w:val="20"/>
          <w:szCs w:val="20"/>
        </w:rPr>
        <w:t>” means,(a) with respect to the Company, such facts and other information that as of the date of determination are actually known by members of the Special Committee; and (b) with respect to Parent or other party, such facts and other information that as</w:t>
      </w:r>
      <w:r>
        <w:rPr>
          <w:sz w:val="20"/>
          <w:szCs w:val="20"/>
        </w:rPr>
        <w:t xml:space="preserve"> of the date of determination are actually known by any director, officer, general or managing partner or person in similar positions of such Person, in each case, after due inquiry.</w:t>
      </w:r>
    </w:p>
    <w:p w14:paraId="7E61C0F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7357E95"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Law</w:t>
      </w:r>
      <w:r>
        <w:rPr>
          <w:sz w:val="20"/>
          <w:szCs w:val="20"/>
        </w:rPr>
        <w:t>” means any federal, state, provincial, local, municipal or foreign</w:t>
      </w:r>
      <w:r>
        <w:rPr>
          <w:sz w:val="20"/>
          <w:szCs w:val="20"/>
        </w:rPr>
        <w:t xml:space="preserve"> law, statute, ordinance, regulation, constitution, code, Order, franchise, license, requirement or permit issued, enacted, adopted, promulgated, implemented or otherwise having the force of law or Orders of any Governmental Entity, including any listing, </w:t>
      </w:r>
      <w:r>
        <w:rPr>
          <w:sz w:val="20"/>
          <w:szCs w:val="20"/>
        </w:rPr>
        <w:t>corporate governance and other rules and regulations of the relevant stock exchange on which the relevant parties’ securities are listed.</w:t>
      </w:r>
    </w:p>
    <w:p w14:paraId="2A45D77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468F3E9"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Legal Proceeding</w:t>
      </w:r>
      <w:r>
        <w:rPr>
          <w:sz w:val="20"/>
          <w:szCs w:val="20"/>
        </w:rPr>
        <w:t>” means any action, suit, litigation, arbitration, proceeding (including any civil, criminal, admin</w:t>
      </w:r>
      <w:r>
        <w:rPr>
          <w:sz w:val="20"/>
          <w:szCs w:val="20"/>
        </w:rPr>
        <w:t>istrative, investigative or appellate proceeding), hearing, audit, examination or investigation commenced, brought, conducted or heard by or before, or otherwise involving, any court or other Governmental Entity or any arbitrator or arbitration panel.</w:t>
      </w:r>
    </w:p>
    <w:p w14:paraId="59620424"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045B265" w14:textId="77777777" w:rsidR="00000000" w:rsidRDefault="002F725F">
      <w:pPr>
        <w:pStyle w:val="NormalWeb"/>
        <w:spacing w:before="0" w:beforeAutospacing="0" w:after="0" w:afterAutospacing="0"/>
        <w:jc w:val="center"/>
        <w:divId w:val="2036734339"/>
        <w:rPr>
          <w:sz w:val="20"/>
          <w:szCs w:val="20"/>
        </w:rPr>
      </w:pPr>
      <w:r>
        <w:rPr>
          <w:sz w:val="20"/>
          <w:szCs w:val="20"/>
        </w:rPr>
        <w:t>A</w:t>
      </w:r>
      <w:r>
        <w:rPr>
          <w:sz w:val="20"/>
          <w:szCs w:val="20"/>
        </w:rPr>
        <w:t>-</w:t>
      </w:r>
      <w:r>
        <w:rPr>
          <w:sz w:val="20"/>
          <w:szCs w:val="20"/>
        </w:rPr>
        <w:t>8</w:t>
      </w:r>
    </w:p>
    <w:p w14:paraId="2CD993F3" w14:textId="77777777" w:rsidR="00000000" w:rsidRDefault="002F725F">
      <w:pPr>
        <w:pStyle w:val="NormalWeb"/>
        <w:spacing w:before="0" w:beforeAutospacing="0" w:after="0" w:afterAutospacing="0"/>
        <w:divId w:val="1081097647"/>
        <w:rPr>
          <w:sz w:val="20"/>
          <w:szCs w:val="20"/>
        </w:rPr>
      </w:pPr>
      <w:r>
        <w:rPr>
          <w:sz w:val="20"/>
          <w:szCs w:val="20"/>
        </w:rPr>
        <w:t> </w:t>
      </w:r>
    </w:p>
    <w:p w14:paraId="320DA12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FEC20C5"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Lien</w:t>
      </w:r>
      <w:r>
        <w:rPr>
          <w:sz w:val="20"/>
          <w:szCs w:val="20"/>
        </w:rPr>
        <w:t xml:space="preserve">” means, with respect </w:t>
      </w:r>
      <w:r>
        <w:rPr>
          <w:sz w:val="20"/>
          <w:szCs w:val="20"/>
        </w:rPr>
        <w:t>to any property or asset, any lien, mortgage, charge, pledge, encumbrance, security interest or adverse claim; and, with respect to securities, in addition to the foregoing, right of first offer or refusal, call option, limitation on voting rights or trans</w:t>
      </w:r>
      <w:r>
        <w:rPr>
          <w:sz w:val="20"/>
          <w:szCs w:val="20"/>
        </w:rPr>
        <w:t>fer restrictions, but excluding restrictions on transfer pursuant to federal and state securities Laws. For the avoidance of doubt, “Lien” does not include a license of Intellectual Property.</w:t>
      </w:r>
    </w:p>
    <w:p w14:paraId="30B209F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9355838"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Limited Guarantee</w:t>
      </w:r>
      <w:r>
        <w:rPr>
          <w:sz w:val="20"/>
          <w:szCs w:val="20"/>
        </w:rPr>
        <w:t>” has the meaning set forth in the Recitals.</w:t>
      </w:r>
    </w:p>
    <w:p w14:paraId="4E86301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CF0A53A"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Merger</w:t>
      </w:r>
      <w:r>
        <w:rPr>
          <w:sz w:val="20"/>
          <w:szCs w:val="20"/>
        </w:rPr>
        <w:t>” has the meaning set forth in the Recitals.</w:t>
      </w:r>
    </w:p>
    <w:p w14:paraId="06FF49A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AB8A219"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Merger Consideration</w:t>
      </w:r>
      <w:r>
        <w:rPr>
          <w:sz w:val="20"/>
          <w:szCs w:val="20"/>
        </w:rPr>
        <w:t xml:space="preserve">” has the meaning set forth in </w:t>
      </w:r>
      <w:r>
        <w:rPr>
          <w:sz w:val="20"/>
          <w:szCs w:val="20"/>
          <w:u w:val="single"/>
        </w:rPr>
        <w:t>Section 3.2(a)</w:t>
      </w:r>
      <w:r>
        <w:rPr>
          <w:sz w:val="20"/>
          <w:szCs w:val="20"/>
        </w:rPr>
        <w:t>.</w:t>
      </w:r>
    </w:p>
    <w:p w14:paraId="682F4F2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9FD7717"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Merger Sub</w:t>
      </w:r>
      <w:r>
        <w:rPr>
          <w:sz w:val="20"/>
          <w:szCs w:val="20"/>
        </w:rPr>
        <w:t>” has the meaning set forth in the Preamble.</w:t>
      </w:r>
    </w:p>
    <w:p w14:paraId="0BCEB654"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435697E"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Notice Period</w:t>
      </w:r>
      <w:r>
        <w:rPr>
          <w:sz w:val="20"/>
          <w:szCs w:val="20"/>
        </w:rPr>
        <w:t xml:space="preserve">” has the meaning set forth in </w:t>
      </w:r>
      <w:r>
        <w:rPr>
          <w:sz w:val="20"/>
          <w:szCs w:val="20"/>
          <w:u w:val="single"/>
        </w:rPr>
        <w:t>Section 6.2(f)</w:t>
      </w:r>
      <w:r>
        <w:rPr>
          <w:sz w:val="20"/>
          <w:szCs w:val="20"/>
        </w:rPr>
        <w:t>.</w:t>
      </w:r>
    </w:p>
    <w:p w14:paraId="601CCA5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B8BFF1E"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Order</w:t>
      </w:r>
      <w:r>
        <w:rPr>
          <w:sz w:val="20"/>
          <w:szCs w:val="20"/>
        </w:rPr>
        <w:t>” means any order, writ, ruling, injunction, judgment, stipulation, determination, award or decree entered by or with any Governmental Entity.</w:t>
      </w:r>
    </w:p>
    <w:p w14:paraId="54C6F79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0163A71"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OTC Market</w:t>
      </w:r>
      <w:r>
        <w:rPr>
          <w:sz w:val="20"/>
          <w:szCs w:val="20"/>
        </w:rPr>
        <w:t>” means the OTC Pink Open Market.</w:t>
      </w:r>
    </w:p>
    <w:p w14:paraId="1FCCFD4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61D934B"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Parent</w:t>
      </w:r>
      <w:r>
        <w:rPr>
          <w:sz w:val="20"/>
          <w:szCs w:val="20"/>
        </w:rPr>
        <w:t>” has the meaning set forth in th</w:t>
      </w:r>
      <w:r>
        <w:rPr>
          <w:sz w:val="20"/>
          <w:szCs w:val="20"/>
        </w:rPr>
        <w:t>e Preamble.</w:t>
      </w:r>
    </w:p>
    <w:p w14:paraId="07A8597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07C42E7"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Parent Group</w:t>
      </w:r>
      <w:r>
        <w:rPr>
          <w:sz w:val="20"/>
          <w:szCs w:val="20"/>
        </w:rPr>
        <w:t>” means collectively, (a) Parent, Merger Sub, the Rollover Shareholders, the Sponsor and the Guarantor, (b) the former, current and future holders of any equity, partnership or limited liability company interest, controlling pers</w:t>
      </w:r>
      <w:r>
        <w:rPr>
          <w:sz w:val="20"/>
          <w:szCs w:val="20"/>
        </w:rPr>
        <w:t>ons, directors, officers, employees, agents, attorneys, Affiliates, members, managers, general or limited partners, shareholders or assignees of each of the Persons listed in clause (a), and (c) any former, current or future holders of any equity, stock, p</w:t>
      </w:r>
      <w:r>
        <w:rPr>
          <w:sz w:val="20"/>
          <w:szCs w:val="20"/>
        </w:rPr>
        <w:t>artnership or limited liability company interest, controlling persons, directors, officers, employees, agents, attorneys, Affiliates, members, managers, general or limited partners, shareholders or assignees of any of the foregoing.</w:t>
      </w:r>
    </w:p>
    <w:p w14:paraId="1A1F859E"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 </w:t>
      </w:r>
    </w:p>
    <w:p w14:paraId="4655AEE1"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Parent Material Adve</w:t>
      </w:r>
      <w:r>
        <w:rPr>
          <w:sz w:val="20"/>
          <w:szCs w:val="20"/>
          <w:u w:val="single"/>
        </w:rPr>
        <w:t>rse Effect</w:t>
      </w:r>
      <w:r>
        <w:rPr>
          <w:sz w:val="20"/>
          <w:szCs w:val="20"/>
        </w:rPr>
        <w:t>” means any Effect that prevents or materially impedes, interferes with, hinders or delays or would reasonably be expected to prevent or materially impede, interfere with, hinder or delay (a) the consummation by Parent and Merger Sub of the Merge</w:t>
      </w:r>
      <w:r>
        <w:rPr>
          <w:sz w:val="20"/>
          <w:szCs w:val="20"/>
        </w:rPr>
        <w:t>r or any of the other Transactions; or (b) the compliance by each of Parent and Merger Sub of each of their respective obligations under this Agreement in any material respect.</w:t>
      </w:r>
    </w:p>
    <w:p w14:paraId="6022B53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E8F0A20"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Parent Proposal</w:t>
      </w:r>
      <w:r>
        <w:rPr>
          <w:sz w:val="20"/>
          <w:szCs w:val="20"/>
        </w:rPr>
        <w:t xml:space="preserve">” has the meaning set forth in </w:t>
      </w:r>
      <w:r>
        <w:rPr>
          <w:sz w:val="20"/>
          <w:szCs w:val="20"/>
          <w:u w:val="single"/>
        </w:rPr>
        <w:t>Section 6.2(f)</w:t>
      </w:r>
      <w:r>
        <w:rPr>
          <w:sz w:val="20"/>
          <w:szCs w:val="20"/>
        </w:rPr>
        <w:t>.</w:t>
      </w:r>
    </w:p>
    <w:p w14:paraId="40842CD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9B9FFD1"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Parent Shar</w:t>
      </w:r>
      <w:r>
        <w:rPr>
          <w:sz w:val="20"/>
          <w:szCs w:val="20"/>
          <w:u w:val="single"/>
        </w:rPr>
        <w:t>e</w:t>
      </w:r>
      <w:r>
        <w:rPr>
          <w:sz w:val="20"/>
          <w:szCs w:val="20"/>
        </w:rPr>
        <w:t xml:space="preserve">” has the meaning set forth in </w:t>
      </w:r>
      <w:r>
        <w:rPr>
          <w:sz w:val="20"/>
          <w:szCs w:val="20"/>
          <w:u w:val="single"/>
        </w:rPr>
        <w:t>Section 5.3(a)</w:t>
      </w:r>
      <w:r>
        <w:rPr>
          <w:sz w:val="20"/>
          <w:szCs w:val="20"/>
        </w:rPr>
        <w:t>.</w:t>
      </w:r>
    </w:p>
    <w:p w14:paraId="5F97AD1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8D960F1"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Parent Termination Fee</w:t>
      </w:r>
      <w:r>
        <w:rPr>
          <w:sz w:val="20"/>
          <w:szCs w:val="20"/>
        </w:rPr>
        <w:t xml:space="preserve">” has the meaning set forth in </w:t>
      </w:r>
      <w:r>
        <w:rPr>
          <w:sz w:val="20"/>
          <w:szCs w:val="20"/>
          <w:u w:val="single"/>
        </w:rPr>
        <w:t>Section 9.3(b)</w:t>
      </w:r>
      <w:r>
        <w:rPr>
          <w:sz w:val="20"/>
          <w:szCs w:val="20"/>
        </w:rPr>
        <w:t>.</w:t>
      </w:r>
    </w:p>
    <w:p w14:paraId="2668DFD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060BA63"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Parties</w:t>
      </w:r>
      <w:r>
        <w:rPr>
          <w:sz w:val="20"/>
          <w:szCs w:val="20"/>
        </w:rPr>
        <w:t>” or “</w:t>
      </w:r>
      <w:r>
        <w:rPr>
          <w:sz w:val="20"/>
          <w:szCs w:val="20"/>
          <w:u w:val="single"/>
        </w:rPr>
        <w:t>Party</w:t>
      </w:r>
      <w:r>
        <w:rPr>
          <w:sz w:val="20"/>
          <w:szCs w:val="20"/>
        </w:rPr>
        <w:t>” has the meaning set forth in the Preamble.</w:t>
      </w:r>
    </w:p>
    <w:p w14:paraId="39DB3C0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A9AF778"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Paying Agent</w:t>
      </w:r>
      <w:r>
        <w:rPr>
          <w:sz w:val="20"/>
          <w:szCs w:val="20"/>
        </w:rPr>
        <w:t xml:space="preserve">” has the meaning set forth in </w:t>
      </w:r>
      <w:r>
        <w:rPr>
          <w:sz w:val="20"/>
          <w:szCs w:val="20"/>
          <w:u w:val="single"/>
        </w:rPr>
        <w:t>Section 3.2(a)</w:t>
      </w:r>
      <w:r>
        <w:rPr>
          <w:sz w:val="20"/>
          <w:szCs w:val="20"/>
        </w:rPr>
        <w:t>.</w:t>
      </w:r>
    </w:p>
    <w:p w14:paraId="1614740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9B45503" w14:textId="77777777" w:rsidR="00000000" w:rsidRDefault="002F725F">
      <w:pPr>
        <w:pStyle w:val="NormalWeb"/>
        <w:spacing w:before="0" w:beforeAutospacing="0" w:after="0" w:afterAutospacing="0"/>
        <w:jc w:val="center"/>
        <w:divId w:val="1933126619"/>
        <w:rPr>
          <w:sz w:val="20"/>
          <w:szCs w:val="20"/>
        </w:rPr>
      </w:pPr>
      <w:r>
        <w:rPr>
          <w:sz w:val="20"/>
          <w:szCs w:val="20"/>
        </w:rPr>
        <w:t>A</w:t>
      </w:r>
      <w:r>
        <w:rPr>
          <w:sz w:val="20"/>
          <w:szCs w:val="20"/>
        </w:rPr>
        <w:t>-</w:t>
      </w:r>
      <w:r>
        <w:rPr>
          <w:sz w:val="20"/>
          <w:szCs w:val="20"/>
        </w:rPr>
        <w:t>9</w:t>
      </w:r>
    </w:p>
    <w:p w14:paraId="062E2278" w14:textId="77777777" w:rsidR="00000000" w:rsidRDefault="002F725F">
      <w:pPr>
        <w:pStyle w:val="NormalWeb"/>
        <w:spacing w:before="0" w:beforeAutospacing="0" w:after="0" w:afterAutospacing="0"/>
        <w:divId w:val="97987983"/>
        <w:rPr>
          <w:sz w:val="20"/>
          <w:szCs w:val="20"/>
        </w:rPr>
      </w:pPr>
      <w:r>
        <w:rPr>
          <w:sz w:val="20"/>
          <w:szCs w:val="20"/>
        </w:rPr>
        <w:t> </w:t>
      </w:r>
    </w:p>
    <w:p w14:paraId="32ED08E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A7C0978"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Per Share Merger Consideration</w:t>
      </w:r>
      <w:r>
        <w:rPr>
          <w:sz w:val="20"/>
          <w:szCs w:val="20"/>
        </w:rPr>
        <w:t xml:space="preserve">” has the meaning set forth in </w:t>
      </w:r>
      <w:r>
        <w:rPr>
          <w:sz w:val="20"/>
          <w:szCs w:val="20"/>
          <w:u w:val="single"/>
        </w:rPr>
        <w:t>Section 3.1(a)</w:t>
      </w:r>
      <w:r>
        <w:rPr>
          <w:sz w:val="20"/>
          <w:szCs w:val="20"/>
        </w:rPr>
        <w:t>.</w:t>
      </w:r>
    </w:p>
    <w:p w14:paraId="1384223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F21D88C"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Permitted Liens</w:t>
      </w:r>
      <w:r>
        <w:rPr>
          <w:sz w:val="20"/>
          <w:szCs w:val="20"/>
        </w:rPr>
        <w:t>” means, collectively, (a) Liens for Taxes, assessments and other governmental charges, levies or claims of payment not yet due and delinquent, or that are be</w:t>
      </w:r>
      <w:r>
        <w:rPr>
          <w:sz w:val="20"/>
          <w:szCs w:val="20"/>
        </w:rPr>
        <w:t>ing contested in good faith by appropriate Legal Proceedings, in each case for which adequate accruals or reserves have been established in accordance with GAAP; (b) carriers’, warehousemen’s, mechanics’, materialmen’s, repairmen’s, landlord’s or other Lie</w:t>
      </w:r>
      <w:r>
        <w:rPr>
          <w:sz w:val="20"/>
          <w:szCs w:val="20"/>
        </w:rPr>
        <w:t xml:space="preserve">ns or security interests arising or incurred in the ordinary course of business; (c) easements, permits, rights of way, restrictions, covenants, reservations or encroachments, minor defects or irregularities in and other similar matters affecting title to </w:t>
      </w:r>
      <w:r>
        <w:rPr>
          <w:sz w:val="20"/>
          <w:szCs w:val="20"/>
        </w:rPr>
        <w:t xml:space="preserve">any real property owned or leased by any Group Companies that do not materially impair the value or current use and operation of such properties; (d) zoning, entitlement, conservation restriction and other land use and environmental regulations imposed by </w:t>
      </w:r>
      <w:r>
        <w:rPr>
          <w:sz w:val="20"/>
          <w:szCs w:val="20"/>
        </w:rPr>
        <w:t>Governmental Entities having jurisdiction over any real property owned or leased by any Group Companies, which are not violated by the current use and operation of such real property; (e) any exceptions or other matters disclosed by any title insurance com</w:t>
      </w:r>
      <w:r>
        <w:rPr>
          <w:sz w:val="20"/>
          <w:szCs w:val="20"/>
        </w:rPr>
        <w:t>mitment or title insurance policy for any real property owned or leased by any Group Companies; (f) statutory Liens in favor of suppliers of goods or lessors arising or incurred in the ordinary course of business for which payment is not yet due or delinqu</w:t>
      </w:r>
      <w:r>
        <w:rPr>
          <w:sz w:val="20"/>
          <w:szCs w:val="20"/>
        </w:rPr>
        <w:t>ent; (g) Liens, for Indebtedness, obligations or liabilities that are as of the date hereof described in the Company SEC Reports; (h) Liens for securing any equipment financing incurred in the ordinary course of business; (i) any Liens, encroachments, cove</w:t>
      </w:r>
      <w:r>
        <w:rPr>
          <w:sz w:val="20"/>
          <w:szCs w:val="20"/>
        </w:rPr>
        <w:t>nants, restrictions, statement of facts or other matters which an accurate survey or inspection of the real property owned or leased by any Group Companies would disclose, which would not materially impair the occupancy or current use of such real property</w:t>
      </w:r>
      <w:r>
        <w:rPr>
          <w:sz w:val="20"/>
          <w:szCs w:val="20"/>
        </w:rPr>
        <w:t xml:space="preserve"> which they encumber; (j) Liens imposed by applicable Law; (j) pledges or deposits to secure obligations under workers’ compensation Laws or similar legislation or to secure public or statutory obligations; (k) pledges or deposits to secure the performance</w:t>
      </w:r>
      <w:r>
        <w:rPr>
          <w:sz w:val="20"/>
          <w:szCs w:val="20"/>
        </w:rPr>
        <w:t xml:space="preserve"> of bids, trade contracts, leases, surety and appeal bonds, performance bonds and other obligations of a similar nature, in each case, in the ordinary course of business; (l) outbound non-exclusive license agreements and non-disclosure agreements entered i</w:t>
      </w:r>
      <w:r>
        <w:rPr>
          <w:sz w:val="20"/>
          <w:szCs w:val="20"/>
        </w:rPr>
        <w:t>nto in the ordinary course of business; (m) limitations or restrictions on transfers imposed by the Securities Act, blue sky laws and comparable foreign laws governing securities; (n) any Liens to which the underlying fee or any other interest in the lease</w:t>
      </w:r>
      <w:r>
        <w:rPr>
          <w:sz w:val="20"/>
          <w:szCs w:val="20"/>
        </w:rPr>
        <w:t xml:space="preserve">d premises (or the land on which or the building in which the leased premises may be located) is subject, including rights of the landlord under the lease and all superior, underlying and ground leases and renewals, extensions, amendments or substitutions </w:t>
      </w:r>
      <w:r>
        <w:rPr>
          <w:sz w:val="20"/>
          <w:szCs w:val="20"/>
        </w:rPr>
        <w:t>thereof, in each case that do not materially impair the value or current use and operation of the any affected real property owned or leased by the Group Companies; and (o) any other Liens that would not have or be reasonably expected to have a Company Mat</w:t>
      </w:r>
      <w:r>
        <w:rPr>
          <w:sz w:val="20"/>
          <w:szCs w:val="20"/>
        </w:rPr>
        <w:t>erial Adverse Effect.</w:t>
      </w:r>
    </w:p>
    <w:p w14:paraId="607D45A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0E60CDB"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Person</w:t>
      </w:r>
      <w:r>
        <w:rPr>
          <w:sz w:val="20"/>
          <w:szCs w:val="20"/>
        </w:rPr>
        <w:t>” means an individual, corporation, partnership, limited partnership, limited liability company, person (including, without limitation, a “person” as defined in Section 13(d)(3) of the Exchange Act), trust, association or Ent</w:t>
      </w:r>
      <w:r>
        <w:rPr>
          <w:sz w:val="20"/>
          <w:szCs w:val="20"/>
        </w:rPr>
        <w:t>ity or government, political subdivision, agency or instrumentality of a government.</w:t>
      </w:r>
    </w:p>
    <w:p w14:paraId="54880AB2"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 </w:t>
      </w:r>
    </w:p>
    <w:p w14:paraId="020F200A"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Plan of Merger</w:t>
      </w:r>
      <w:r>
        <w:rPr>
          <w:sz w:val="20"/>
          <w:szCs w:val="20"/>
        </w:rPr>
        <w:t xml:space="preserve">” has the meaning set forth in </w:t>
      </w:r>
      <w:r>
        <w:rPr>
          <w:sz w:val="20"/>
          <w:szCs w:val="20"/>
          <w:u w:val="single"/>
        </w:rPr>
        <w:t>Section 2.3</w:t>
      </w:r>
      <w:r>
        <w:rPr>
          <w:sz w:val="20"/>
          <w:szCs w:val="20"/>
        </w:rPr>
        <w:t>.</w:t>
      </w:r>
    </w:p>
    <w:p w14:paraId="194CDD2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4CCD984"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Policies</w:t>
      </w:r>
      <w:r>
        <w:rPr>
          <w:sz w:val="20"/>
          <w:szCs w:val="20"/>
        </w:rPr>
        <w:t xml:space="preserve">” has the meaning set forth in </w:t>
      </w:r>
      <w:r>
        <w:rPr>
          <w:sz w:val="20"/>
          <w:szCs w:val="20"/>
          <w:u w:val="single"/>
        </w:rPr>
        <w:t>Section 4.18</w:t>
      </w:r>
      <w:r>
        <w:rPr>
          <w:sz w:val="20"/>
          <w:szCs w:val="20"/>
        </w:rPr>
        <w:t>.</w:t>
      </w:r>
    </w:p>
    <w:p w14:paraId="31C17E3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713AE9D"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PRC</w:t>
      </w:r>
      <w:r>
        <w:rPr>
          <w:sz w:val="20"/>
          <w:szCs w:val="20"/>
        </w:rPr>
        <w:t xml:space="preserve">” means the People’s Republic of China; </w:t>
      </w:r>
      <w:r>
        <w:rPr>
          <w:sz w:val="20"/>
          <w:szCs w:val="20"/>
          <w:u w:val="single"/>
        </w:rPr>
        <w:t>provided</w:t>
      </w:r>
      <w:r>
        <w:rPr>
          <w:sz w:val="20"/>
          <w:szCs w:val="20"/>
        </w:rPr>
        <w:t>, that solely for the purpose of this Agreement, excluding Hong Kong, the Macau Special Administrative Region of the People’s Republic of China and the islands of Taiwan.</w:t>
      </w:r>
    </w:p>
    <w:p w14:paraId="791EA46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79729A4" w14:textId="77777777" w:rsidR="00000000" w:rsidRDefault="002F725F">
      <w:pPr>
        <w:pStyle w:val="NormalWeb"/>
        <w:spacing w:before="0" w:beforeAutospacing="0" w:after="0" w:afterAutospacing="0"/>
        <w:jc w:val="center"/>
        <w:divId w:val="1634407048"/>
        <w:rPr>
          <w:sz w:val="20"/>
          <w:szCs w:val="20"/>
        </w:rPr>
      </w:pPr>
      <w:r>
        <w:rPr>
          <w:sz w:val="20"/>
          <w:szCs w:val="20"/>
        </w:rPr>
        <w:t>A</w:t>
      </w:r>
      <w:r>
        <w:rPr>
          <w:sz w:val="20"/>
          <w:szCs w:val="20"/>
        </w:rPr>
        <w:t>-</w:t>
      </w:r>
      <w:r>
        <w:rPr>
          <w:sz w:val="20"/>
          <w:szCs w:val="20"/>
        </w:rPr>
        <w:t>1</w:t>
      </w:r>
      <w:r>
        <w:rPr>
          <w:sz w:val="20"/>
          <w:szCs w:val="20"/>
        </w:rPr>
        <w:t>0</w:t>
      </w:r>
    </w:p>
    <w:p w14:paraId="6D254108" w14:textId="77777777" w:rsidR="00000000" w:rsidRDefault="002F725F">
      <w:pPr>
        <w:pStyle w:val="NormalWeb"/>
        <w:spacing w:before="0" w:beforeAutospacing="0" w:after="0" w:afterAutospacing="0"/>
        <w:divId w:val="2129739585"/>
        <w:rPr>
          <w:sz w:val="20"/>
          <w:szCs w:val="20"/>
        </w:rPr>
      </w:pPr>
      <w:r>
        <w:rPr>
          <w:sz w:val="20"/>
          <w:szCs w:val="20"/>
        </w:rPr>
        <w:t> </w:t>
      </w:r>
    </w:p>
    <w:p w14:paraId="493CC28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B004B67"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Pre-Closing Period</w:t>
      </w:r>
      <w:r>
        <w:rPr>
          <w:sz w:val="20"/>
          <w:szCs w:val="20"/>
        </w:rPr>
        <w:t xml:space="preserve">” has the meaning set forth in </w:t>
      </w:r>
      <w:r>
        <w:rPr>
          <w:sz w:val="20"/>
          <w:szCs w:val="20"/>
          <w:u w:val="single"/>
        </w:rPr>
        <w:t>Section 6.1</w:t>
      </w:r>
      <w:r>
        <w:rPr>
          <w:sz w:val="20"/>
          <w:szCs w:val="20"/>
        </w:rPr>
        <w:t>.</w:t>
      </w:r>
    </w:p>
    <w:p w14:paraId="15598064"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59F4B3B"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Proceedi</w:t>
      </w:r>
      <w:r>
        <w:rPr>
          <w:sz w:val="20"/>
          <w:szCs w:val="20"/>
          <w:u w:val="single"/>
        </w:rPr>
        <w:t>ng</w:t>
      </w:r>
      <w:r>
        <w:rPr>
          <w:sz w:val="20"/>
          <w:szCs w:val="20"/>
        </w:rPr>
        <w:t xml:space="preserve">” has the meaning set forth in </w:t>
      </w:r>
      <w:r>
        <w:rPr>
          <w:sz w:val="20"/>
          <w:szCs w:val="20"/>
          <w:u w:val="single"/>
        </w:rPr>
        <w:t>Section 7.5(a)</w:t>
      </w:r>
      <w:r>
        <w:rPr>
          <w:sz w:val="20"/>
          <w:szCs w:val="20"/>
        </w:rPr>
        <w:t>.</w:t>
      </w:r>
    </w:p>
    <w:p w14:paraId="6B15D42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F798F99"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Proxy Statement</w:t>
      </w:r>
      <w:r>
        <w:rPr>
          <w:sz w:val="20"/>
          <w:szCs w:val="20"/>
        </w:rPr>
        <w:t xml:space="preserve">” has the meaning set forth in </w:t>
      </w:r>
      <w:r>
        <w:rPr>
          <w:sz w:val="20"/>
          <w:szCs w:val="20"/>
          <w:u w:val="single"/>
        </w:rPr>
        <w:t>Section 4.8</w:t>
      </w:r>
      <w:r>
        <w:rPr>
          <w:sz w:val="20"/>
          <w:szCs w:val="20"/>
        </w:rPr>
        <w:t>.</w:t>
      </w:r>
    </w:p>
    <w:p w14:paraId="3586C4E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E3D00CE"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Record Date</w:t>
      </w:r>
      <w:r>
        <w:rPr>
          <w:sz w:val="20"/>
          <w:szCs w:val="20"/>
        </w:rPr>
        <w:t xml:space="preserve">” has the meaning set forth in </w:t>
      </w:r>
      <w:r>
        <w:rPr>
          <w:sz w:val="20"/>
          <w:szCs w:val="20"/>
          <w:u w:val="single"/>
        </w:rPr>
        <w:t>Section 7.2(a)</w:t>
      </w:r>
      <w:r>
        <w:rPr>
          <w:sz w:val="20"/>
          <w:szCs w:val="20"/>
        </w:rPr>
        <w:t>.</w:t>
      </w:r>
    </w:p>
    <w:p w14:paraId="5554905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8331C19"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Release</w:t>
      </w:r>
      <w:r>
        <w:rPr>
          <w:sz w:val="20"/>
          <w:szCs w:val="20"/>
        </w:rPr>
        <w:t>” has the same meaning under the Comprehensive Environmental Response Act,</w:t>
      </w:r>
      <w:r>
        <w:rPr>
          <w:sz w:val="20"/>
          <w:szCs w:val="20"/>
        </w:rPr>
        <w:t xml:space="preserve"> 42 U.S.C. Section 9601(22).</w:t>
      </w:r>
    </w:p>
    <w:p w14:paraId="4BC9BC8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55271E5"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Representatives</w:t>
      </w:r>
      <w:r>
        <w:rPr>
          <w:sz w:val="20"/>
          <w:szCs w:val="20"/>
        </w:rPr>
        <w:t>” means, with respect to any Person, such Person’</w:t>
      </w:r>
      <w:r>
        <w:rPr>
          <w:sz w:val="20"/>
          <w:szCs w:val="20"/>
        </w:rPr>
        <w:t>s directors, officers, general or managing partners, other employees, agents, attorneys, accountants, financial and legal advisors, consultants, financing sources and other representatives, and the respective Representatives of the foregoing.</w:t>
      </w:r>
    </w:p>
    <w:p w14:paraId="16E8126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0175D7F"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Rollover S</w:t>
      </w:r>
      <w:r>
        <w:rPr>
          <w:sz w:val="20"/>
          <w:szCs w:val="20"/>
          <w:u w:val="single"/>
        </w:rPr>
        <w:t>hareholders</w:t>
      </w:r>
      <w:r>
        <w:rPr>
          <w:sz w:val="20"/>
          <w:szCs w:val="20"/>
        </w:rPr>
        <w:t>” means Oceanpine Investment Fund II LP, Oceanpine Capital Inc., Crystal Peak Investment Inc., Adjuvant Global Health Technology Fund, L.P., Adjuvant Global Health Technology Fund DE, L.P., Superstring Capital Master Fund LP, Epiphron Capital (H</w:t>
      </w:r>
      <w:r>
        <w:rPr>
          <w:sz w:val="20"/>
          <w:szCs w:val="20"/>
        </w:rPr>
        <w:t>ong Kong) Limited, and MSA GROWTH FUND II, L.P., and “</w:t>
      </w:r>
      <w:r>
        <w:rPr>
          <w:sz w:val="20"/>
          <w:szCs w:val="20"/>
          <w:u w:val="single"/>
        </w:rPr>
        <w:t>Rollover Shareholder</w:t>
      </w:r>
      <w:r>
        <w:rPr>
          <w:sz w:val="20"/>
          <w:szCs w:val="20"/>
        </w:rPr>
        <w:t>” means any one of them.</w:t>
      </w:r>
    </w:p>
    <w:p w14:paraId="7B6ACE0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B6F4DF8"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Rollover Shares</w:t>
      </w:r>
      <w:r>
        <w:rPr>
          <w:sz w:val="20"/>
          <w:szCs w:val="20"/>
        </w:rPr>
        <w:t>” means (i) the Shares held by the Rollover Shareholders as of the date hereof set forth in the column titled “Number of Rollover Shares” o</w:t>
      </w:r>
      <w:r>
        <w:rPr>
          <w:sz w:val="20"/>
          <w:szCs w:val="20"/>
        </w:rPr>
        <w:t xml:space="preserve">pposite each Rollover Shareholder’s name on </w:t>
      </w:r>
      <w:r>
        <w:rPr>
          <w:sz w:val="20"/>
          <w:szCs w:val="20"/>
          <w:u w:val="single"/>
        </w:rPr>
        <w:t>Schedule A</w:t>
      </w:r>
      <w:r>
        <w:rPr>
          <w:sz w:val="20"/>
          <w:szCs w:val="20"/>
        </w:rPr>
        <w:t xml:space="preserve"> of the Support Agreement, and (ii) any Shares that the Rollover Shareholders may acquire following the date hereof and prior to the Effective Time by means of purchase, dividend or distribution, or iss</w:t>
      </w:r>
      <w:r>
        <w:rPr>
          <w:sz w:val="20"/>
          <w:szCs w:val="20"/>
        </w:rPr>
        <w:t>uance upon the exercise of any Company Options or warrants, the conversion of any convertible securities, the vesting of any Company RSUs or otherwise.</w:t>
      </w:r>
    </w:p>
    <w:p w14:paraId="080EF22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06C411F"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Sarbanes-Oxley Act</w:t>
      </w:r>
      <w:r>
        <w:rPr>
          <w:sz w:val="20"/>
          <w:szCs w:val="20"/>
        </w:rPr>
        <w:t xml:space="preserve">” has the meaning set forth in </w:t>
      </w:r>
      <w:r>
        <w:rPr>
          <w:sz w:val="20"/>
          <w:szCs w:val="20"/>
          <w:u w:val="single"/>
        </w:rPr>
        <w:t>Section 4.7(c)</w:t>
      </w:r>
      <w:r>
        <w:rPr>
          <w:sz w:val="20"/>
          <w:szCs w:val="20"/>
        </w:rPr>
        <w:t>.</w:t>
      </w:r>
    </w:p>
    <w:p w14:paraId="140B074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622C713"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Schedule 13E-3</w:t>
      </w:r>
      <w:r>
        <w:rPr>
          <w:sz w:val="20"/>
          <w:szCs w:val="20"/>
        </w:rPr>
        <w:t xml:space="preserve">” </w:t>
      </w:r>
      <w:r>
        <w:rPr>
          <w:sz w:val="20"/>
          <w:szCs w:val="20"/>
        </w:rPr>
        <w:t xml:space="preserve">has the meaning set forth in </w:t>
      </w:r>
      <w:r>
        <w:rPr>
          <w:sz w:val="20"/>
          <w:szCs w:val="20"/>
          <w:u w:val="single"/>
        </w:rPr>
        <w:t>Section 4.8</w:t>
      </w:r>
      <w:r>
        <w:rPr>
          <w:sz w:val="20"/>
          <w:szCs w:val="20"/>
        </w:rPr>
        <w:t>.</w:t>
      </w:r>
    </w:p>
    <w:p w14:paraId="7F3BD1A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4E7FFBD"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SEC</w:t>
      </w:r>
      <w:r>
        <w:rPr>
          <w:sz w:val="20"/>
          <w:szCs w:val="20"/>
        </w:rPr>
        <w:t>” means the United States Securities and Exchange Commission.</w:t>
      </w:r>
    </w:p>
    <w:p w14:paraId="434AD57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8ED28D4"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Securities Act</w:t>
      </w:r>
      <w:r>
        <w:rPr>
          <w:sz w:val="20"/>
          <w:szCs w:val="20"/>
        </w:rPr>
        <w:t>” means the Securities Act of 1933.</w:t>
      </w:r>
    </w:p>
    <w:p w14:paraId="2D440FA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7185953"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Share Incentive Plans</w:t>
      </w:r>
      <w:r>
        <w:rPr>
          <w:sz w:val="20"/>
          <w:szCs w:val="20"/>
        </w:rPr>
        <w:t>” means, collectively, the 2020 Plan and the 2024 Plan.</w:t>
      </w:r>
    </w:p>
    <w:p w14:paraId="6C2783B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2F4F705"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Shareholde</w:t>
      </w:r>
      <w:r>
        <w:rPr>
          <w:sz w:val="20"/>
          <w:szCs w:val="20"/>
          <w:u w:val="single"/>
        </w:rPr>
        <w:t>rs’ Meeting</w:t>
      </w:r>
      <w:r>
        <w:rPr>
          <w:sz w:val="20"/>
          <w:szCs w:val="20"/>
        </w:rPr>
        <w:t xml:space="preserve">” has the meaning set forth in </w:t>
      </w:r>
      <w:r>
        <w:rPr>
          <w:sz w:val="20"/>
          <w:szCs w:val="20"/>
          <w:u w:val="single"/>
        </w:rPr>
        <w:t>Section 7.2</w:t>
      </w:r>
      <w:r>
        <w:rPr>
          <w:sz w:val="20"/>
          <w:szCs w:val="20"/>
        </w:rPr>
        <w:t>.</w:t>
      </w:r>
    </w:p>
    <w:p w14:paraId="4AB55840"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A077C7F"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Shares</w:t>
      </w:r>
      <w:r>
        <w:rPr>
          <w:sz w:val="20"/>
          <w:szCs w:val="20"/>
        </w:rPr>
        <w:t>” means the ordinary shares, per value US$0.0002 per share, of the Company.</w:t>
      </w:r>
    </w:p>
    <w:p w14:paraId="7C3FE78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AA22C9D"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Special Committee</w:t>
      </w:r>
      <w:r>
        <w:rPr>
          <w:sz w:val="20"/>
          <w:szCs w:val="20"/>
        </w:rPr>
        <w:t>” means the special committee of the Board consisting of Mr. Jutao (Adam) Zhao, Mr. Linnan (Thom</w:t>
      </w:r>
      <w:r>
        <w:rPr>
          <w:sz w:val="20"/>
          <w:szCs w:val="20"/>
        </w:rPr>
        <w:t xml:space="preserve">as) Xue, and Mr. Chunyang Shao as of the date hereof, who are each (a) a member of the Board; (b) not affiliated with Parent or Merger Sub; and (c) not members of the Company’s management; </w:t>
      </w:r>
      <w:r>
        <w:rPr>
          <w:sz w:val="20"/>
          <w:szCs w:val="20"/>
          <w:u w:val="single"/>
        </w:rPr>
        <w:t>provided</w:t>
      </w:r>
      <w:r>
        <w:rPr>
          <w:sz w:val="20"/>
          <w:szCs w:val="20"/>
        </w:rPr>
        <w:t xml:space="preserve">, that solely if the existing </w:t>
      </w:r>
      <w:r>
        <w:rPr>
          <w:sz w:val="20"/>
          <w:szCs w:val="20"/>
        </w:rPr>
        <w:lastRenderedPageBreak/>
        <w:t>Special Committee no longer e</w:t>
      </w:r>
      <w:r>
        <w:rPr>
          <w:sz w:val="20"/>
          <w:szCs w:val="20"/>
        </w:rPr>
        <w:t xml:space="preserve">xists after the date hereof or is otherwise altered by the Board, it means any other special committee of the Board composed solely of disinterested and independent directors who are (i) not affiliated with Parent or Merger Sub and (ii) not members of the </w:t>
      </w:r>
      <w:r>
        <w:rPr>
          <w:sz w:val="20"/>
          <w:szCs w:val="20"/>
        </w:rPr>
        <w:t>Company’s management.</w:t>
      </w:r>
    </w:p>
    <w:p w14:paraId="7A966590"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6C3400B" w14:textId="77777777" w:rsidR="00000000" w:rsidRDefault="002F725F">
      <w:pPr>
        <w:pStyle w:val="NormalWeb"/>
        <w:spacing w:before="0" w:beforeAutospacing="0" w:after="0" w:afterAutospacing="0"/>
        <w:jc w:val="center"/>
        <w:divId w:val="691497214"/>
        <w:rPr>
          <w:sz w:val="20"/>
          <w:szCs w:val="20"/>
        </w:rPr>
      </w:pPr>
      <w:r>
        <w:rPr>
          <w:sz w:val="20"/>
          <w:szCs w:val="20"/>
        </w:rPr>
        <w:t>A</w:t>
      </w:r>
      <w:r>
        <w:rPr>
          <w:sz w:val="20"/>
          <w:szCs w:val="20"/>
        </w:rPr>
        <w:t>-</w:t>
      </w:r>
      <w:r>
        <w:rPr>
          <w:sz w:val="20"/>
          <w:szCs w:val="20"/>
        </w:rPr>
        <w:t>1</w:t>
      </w:r>
      <w:r>
        <w:rPr>
          <w:sz w:val="20"/>
          <w:szCs w:val="20"/>
        </w:rPr>
        <w:t>1</w:t>
      </w:r>
    </w:p>
    <w:p w14:paraId="3B7CD437" w14:textId="77777777" w:rsidR="00000000" w:rsidRDefault="002F725F">
      <w:pPr>
        <w:pStyle w:val="NormalWeb"/>
        <w:spacing w:before="0" w:beforeAutospacing="0" w:after="0" w:afterAutospacing="0"/>
        <w:divId w:val="1970740532"/>
        <w:rPr>
          <w:sz w:val="20"/>
          <w:szCs w:val="20"/>
        </w:rPr>
      </w:pPr>
      <w:r>
        <w:rPr>
          <w:sz w:val="20"/>
          <w:szCs w:val="20"/>
        </w:rPr>
        <w:t> </w:t>
      </w:r>
    </w:p>
    <w:p w14:paraId="3EE62350"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DE58C08"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Sponsor</w:t>
      </w:r>
      <w:r>
        <w:rPr>
          <w:sz w:val="20"/>
          <w:szCs w:val="20"/>
        </w:rPr>
        <w:t>” means Oceanpine Capital Inc.</w:t>
      </w:r>
    </w:p>
    <w:p w14:paraId="0A39CBD4"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64D2AFA"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Subsidiary</w:t>
      </w:r>
      <w:r>
        <w:rPr>
          <w:sz w:val="20"/>
          <w:szCs w:val="20"/>
        </w:rPr>
        <w:t>” means, as to any Person, any Person (a) </w:t>
      </w:r>
      <w:r>
        <w:rPr>
          <w:sz w:val="20"/>
          <w:szCs w:val="20"/>
        </w:rPr>
        <w:t>of which such first Person directly or indirectly owns securities or other Equity Interests representing more than fifty percent (50%) of the aggregate voting power; (b) of which such first Person possesses directly or indirectly the right to elect a major</w:t>
      </w:r>
      <w:r>
        <w:rPr>
          <w:sz w:val="20"/>
          <w:szCs w:val="20"/>
        </w:rPr>
        <w:t xml:space="preserve">ity of the board of directors or Persons holding similar positions; or (c) of which such first Person or any other subsidiary of such first Person is a general or managing partner or similar positions; and (d) that such Person controls through contractual </w:t>
      </w:r>
      <w:r>
        <w:rPr>
          <w:sz w:val="20"/>
          <w:szCs w:val="20"/>
        </w:rPr>
        <w:t xml:space="preserve">arrangements; </w:t>
      </w:r>
      <w:r>
        <w:rPr>
          <w:sz w:val="20"/>
          <w:szCs w:val="20"/>
          <w:u w:val="single"/>
        </w:rPr>
        <w:t>provided</w:t>
      </w:r>
      <w:r>
        <w:rPr>
          <w:sz w:val="20"/>
          <w:szCs w:val="20"/>
        </w:rPr>
        <w:t>, that, for purposes of this Agreement, none of the Group Companies shall be deemed to be a Subsidiary of the Rollover Shareholders, the Sponsor, the Guarantor or any of their respective Affiliates prior to the Effective Time.</w:t>
      </w:r>
    </w:p>
    <w:p w14:paraId="3976A40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7801111"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Supe</w:t>
      </w:r>
      <w:r>
        <w:rPr>
          <w:sz w:val="20"/>
          <w:szCs w:val="20"/>
          <w:u w:val="single"/>
        </w:rPr>
        <w:t>rior Proposal</w:t>
      </w:r>
      <w:r>
        <w:rPr>
          <w:sz w:val="20"/>
          <w:szCs w:val="20"/>
        </w:rPr>
        <w:t xml:space="preserve">” means a </w:t>
      </w:r>
      <w:r>
        <w:rPr>
          <w:i/>
          <w:iCs/>
          <w:sz w:val="20"/>
          <w:szCs w:val="20"/>
        </w:rPr>
        <w:t>bona fide</w:t>
      </w:r>
      <w:r>
        <w:rPr>
          <w:sz w:val="20"/>
          <w:szCs w:val="20"/>
        </w:rPr>
        <w:t xml:space="preserve"> written offer or proposal with respect to a Competing Transaction (provided, that for purposes of the definition of “Superior Proposal”, each reference to “20%” in clauses (a) and (b) in the definition of “Competing Transac</w:t>
      </w:r>
      <w:r>
        <w:rPr>
          <w:sz w:val="20"/>
          <w:szCs w:val="20"/>
        </w:rPr>
        <w:t>tion” shall be replaced with “50%” and each reference to “20%” in clauses (c) and (d) in the definition of “Competing Transaction” shall be replaced with “75%”) made by a Third Party that (a) provides for the payment of cash consideration per Share to hold</w:t>
      </w:r>
      <w:r>
        <w:rPr>
          <w:sz w:val="20"/>
          <w:szCs w:val="20"/>
        </w:rPr>
        <w:t>ers thereof that is in excess of the Per Share Merger Consideration and (b) the Board determines, in good faith judgment acting upon the recommendation of the Special Committee after (i) consultation with its financial advisor and outside legal counsel; (i</w:t>
      </w:r>
      <w:r>
        <w:rPr>
          <w:sz w:val="20"/>
          <w:szCs w:val="20"/>
        </w:rPr>
        <w:t>i) taking into account all terms and conditions of such proposal, including the likelihood and timing of consummation thereof; and (iii) taking into account any changes to this Agreement proposed by Parent in connection with the exercise of its rights in r</w:t>
      </w:r>
      <w:r>
        <w:rPr>
          <w:sz w:val="20"/>
          <w:szCs w:val="20"/>
        </w:rPr>
        <w:t xml:space="preserve">esponse to such Superior Proposal pursuant to </w:t>
      </w:r>
      <w:r>
        <w:rPr>
          <w:sz w:val="20"/>
          <w:szCs w:val="20"/>
          <w:u w:val="single"/>
        </w:rPr>
        <w:t>Section 6.2(f)</w:t>
      </w:r>
      <w:r>
        <w:rPr>
          <w:sz w:val="20"/>
          <w:szCs w:val="20"/>
        </w:rPr>
        <w:t xml:space="preserve">, to be more favorable to the shareholders of the Company (other than the holders of Excluded Shares) than the Merger; </w:t>
      </w:r>
      <w:r>
        <w:rPr>
          <w:sz w:val="20"/>
          <w:szCs w:val="20"/>
          <w:u w:val="single"/>
        </w:rPr>
        <w:t>provided</w:t>
      </w:r>
      <w:r>
        <w:rPr>
          <w:sz w:val="20"/>
          <w:szCs w:val="20"/>
        </w:rPr>
        <w:t>, that any such offer shall not be deemed to be a “Superior Proposal”</w:t>
      </w:r>
      <w:r>
        <w:rPr>
          <w:sz w:val="20"/>
          <w:szCs w:val="20"/>
        </w:rPr>
        <w:t xml:space="preserve"> if (A) any financing required to consummate the transaction contemplated by such offer is not fully committed to such Third Party; (B) the consummation of the transaction contemplated by such offer or proposal is conditional upon the obtaining and/or fund</w:t>
      </w:r>
      <w:r>
        <w:rPr>
          <w:sz w:val="20"/>
          <w:szCs w:val="20"/>
        </w:rPr>
        <w:t>ing of such financing; or (C) the transaction contemplated by such offer is not reasonably capable of being completed on the terms proposed without unreasonable delay.</w:t>
      </w:r>
    </w:p>
    <w:p w14:paraId="271B6F3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285CFF1"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Support Agreement</w:t>
      </w:r>
      <w:r>
        <w:rPr>
          <w:sz w:val="20"/>
          <w:szCs w:val="20"/>
        </w:rPr>
        <w:t>” has the meaning set forth in the Recitals.</w:t>
      </w:r>
    </w:p>
    <w:p w14:paraId="4287374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86079C1"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Surviving Company</w:t>
      </w:r>
      <w:r>
        <w:rPr>
          <w:sz w:val="20"/>
          <w:szCs w:val="20"/>
        </w:rPr>
        <w:t>” h</w:t>
      </w:r>
      <w:r>
        <w:rPr>
          <w:sz w:val="20"/>
          <w:szCs w:val="20"/>
        </w:rPr>
        <w:t xml:space="preserve">as the meaning set forth in </w:t>
      </w:r>
      <w:r>
        <w:rPr>
          <w:sz w:val="20"/>
          <w:szCs w:val="20"/>
          <w:u w:val="single"/>
        </w:rPr>
        <w:t>Section 2.1</w:t>
      </w:r>
      <w:r>
        <w:rPr>
          <w:sz w:val="20"/>
          <w:szCs w:val="20"/>
        </w:rPr>
        <w:t>.</w:t>
      </w:r>
    </w:p>
    <w:p w14:paraId="082BCE9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3A1126F"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Tax</w:t>
      </w:r>
      <w:r>
        <w:rPr>
          <w:sz w:val="20"/>
          <w:szCs w:val="20"/>
        </w:rPr>
        <w:t>” or “</w:t>
      </w:r>
      <w:r>
        <w:rPr>
          <w:sz w:val="20"/>
          <w:szCs w:val="20"/>
          <w:u w:val="single"/>
        </w:rPr>
        <w:t>Taxes</w:t>
      </w:r>
      <w:r>
        <w:rPr>
          <w:sz w:val="20"/>
          <w:szCs w:val="20"/>
        </w:rPr>
        <w:t>” means any federal, state, local or foreign income, gross receipts, excise, real or personal property, sales, value added, franchise, withholding, social security, occupation, use, margin, environm</w:t>
      </w:r>
      <w:r>
        <w:rPr>
          <w:sz w:val="20"/>
          <w:szCs w:val="20"/>
        </w:rPr>
        <w:t>ental, escheat, unclaimed property, workers’ compensation, service, service use, value added, license, net worth, payroll, franchise, alternative, transfer or recording tax or other tax, fee, levy, duty, tariff, impost or other charge of any kind whatsoeve</w:t>
      </w:r>
      <w:r>
        <w:rPr>
          <w:sz w:val="20"/>
          <w:szCs w:val="20"/>
        </w:rPr>
        <w:t>r, including any interest, penalties or additions thereto, whether disputed or not.</w:t>
      </w:r>
    </w:p>
    <w:p w14:paraId="254CD9C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04C977E"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Tax Return</w:t>
      </w:r>
      <w:r>
        <w:rPr>
          <w:sz w:val="20"/>
          <w:szCs w:val="20"/>
        </w:rPr>
        <w:t>” means any report, return, estimate, schedule, notice, notification, form, election, certificate or other document or information, and any amendment or supple</w:t>
      </w:r>
      <w:r>
        <w:rPr>
          <w:sz w:val="20"/>
          <w:szCs w:val="20"/>
        </w:rPr>
        <w:t>ment to any of the foregoing, filed with or submitted to, or required to be filed with or submitted to a Governmental Entity under the applicable Laws with respect to Taxes.</w:t>
      </w:r>
    </w:p>
    <w:p w14:paraId="655C869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9A3B262"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Termination Date</w:t>
      </w:r>
      <w:r>
        <w:rPr>
          <w:sz w:val="20"/>
          <w:szCs w:val="20"/>
        </w:rPr>
        <w:t xml:space="preserve">” has the meaning set forth in </w:t>
      </w:r>
      <w:r>
        <w:rPr>
          <w:sz w:val="20"/>
          <w:szCs w:val="20"/>
          <w:u w:val="single"/>
        </w:rPr>
        <w:t>Section 9.1(b)(2)</w:t>
      </w:r>
      <w:r>
        <w:rPr>
          <w:sz w:val="20"/>
          <w:szCs w:val="20"/>
        </w:rPr>
        <w:t>.</w:t>
      </w:r>
    </w:p>
    <w:p w14:paraId="07FF328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442C946" w14:textId="77777777" w:rsidR="00000000" w:rsidRDefault="002F725F">
      <w:pPr>
        <w:pStyle w:val="NormalWeb"/>
        <w:spacing w:before="0" w:beforeAutospacing="0" w:after="0" w:afterAutospacing="0"/>
        <w:jc w:val="center"/>
        <w:divId w:val="1887834770"/>
        <w:rPr>
          <w:sz w:val="20"/>
          <w:szCs w:val="20"/>
        </w:rPr>
      </w:pPr>
      <w:r>
        <w:rPr>
          <w:sz w:val="20"/>
          <w:szCs w:val="20"/>
        </w:rPr>
        <w:t>A</w:t>
      </w:r>
      <w:r>
        <w:rPr>
          <w:sz w:val="20"/>
          <w:szCs w:val="20"/>
        </w:rPr>
        <w:t>-</w:t>
      </w:r>
      <w:r>
        <w:rPr>
          <w:sz w:val="20"/>
          <w:szCs w:val="20"/>
        </w:rPr>
        <w:t>1</w:t>
      </w:r>
      <w:r>
        <w:rPr>
          <w:sz w:val="20"/>
          <w:szCs w:val="20"/>
        </w:rPr>
        <w:t>2</w:t>
      </w:r>
    </w:p>
    <w:p w14:paraId="713066E8" w14:textId="77777777" w:rsidR="00000000" w:rsidRDefault="002F725F">
      <w:pPr>
        <w:pStyle w:val="NormalWeb"/>
        <w:spacing w:before="0" w:beforeAutospacing="0" w:after="0" w:afterAutospacing="0"/>
        <w:divId w:val="1797486331"/>
        <w:rPr>
          <w:sz w:val="20"/>
          <w:szCs w:val="20"/>
        </w:rPr>
      </w:pPr>
      <w:r>
        <w:rPr>
          <w:sz w:val="20"/>
          <w:szCs w:val="20"/>
        </w:rPr>
        <w:t> </w:t>
      </w:r>
    </w:p>
    <w:p w14:paraId="68E8C25F"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 </w:t>
      </w:r>
    </w:p>
    <w:p w14:paraId="4475AC86"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T</w:t>
      </w:r>
      <w:r>
        <w:rPr>
          <w:sz w:val="20"/>
          <w:szCs w:val="20"/>
          <w:u w:val="single"/>
        </w:rPr>
        <w:t>hird Party</w:t>
      </w:r>
      <w:r>
        <w:rPr>
          <w:sz w:val="20"/>
          <w:szCs w:val="20"/>
        </w:rPr>
        <w:t>” means any Person or “group” (as defined in Section 13(d) of the Exchange Act)of persons, other than Parent, Merger Sub, the Rollover Shareholders, the Sponsor, the Guarantor, or any of their respective Affiliates or Representatives.</w:t>
      </w:r>
    </w:p>
    <w:p w14:paraId="71686DB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E46DC6D"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Transact</w:t>
      </w:r>
      <w:r>
        <w:rPr>
          <w:sz w:val="20"/>
          <w:szCs w:val="20"/>
          <w:u w:val="single"/>
        </w:rPr>
        <w:t>ion Documents</w:t>
      </w:r>
      <w:r>
        <w:rPr>
          <w:sz w:val="20"/>
          <w:szCs w:val="20"/>
        </w:rPr>
        <w:t>” means this Agreement, the Buyer Group Contracts or any other document contemplated thereby or any document or instrument delivered in connection hereunder or thereunder.</w:t>
      </w:r>
    </w:p>
    <w:p w14:paraId="0F8329A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5E290CA"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Transactions</w:t>
      </w:r>
      <w:r>
        <w:rPr>
          <w:sz w:val="20"/>
          <w:szCs w:val="20"/>
        </w:rPr>
        <w:t>” has the meaning set forth in the Recitals.</w:t>
      </w:r>
    </w:p>
    <w:p w14:paraId="4FD95F0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11FCB50" w14:textId="77777777" w:rsidR="00000000" w:rsidRDefault="002F725F">
      <w:pPr>
        <w:pStyle w:val="NormalWeb"/>
        <w:spacing w:before="0" w:beforeAutospacing="0" w:after="0" w:afterAutospacing="0"/>
        <w:jc w:val="both"/>
        <w:divId w:val="415980837"/>
        <w:rPr>
          <w:sz w:val="20"/>
          <w:szCs w:val="20"/>
        </w:rPr>
      </w:pPr>
      <w:r>
        <w:rPr>
          <w:sz w:val="20"/>
          <w:szCs w:val="20"/>
        </w:rPr>
        <w:t>“</w:t>
      </w:r>
      <w:r>
        <w:rPr>
          <w:sz w:val="20"/>
          <w:szCs w:val="20"/>
          <w:u w:val="single"/>
        </w:rPr>
        <w:t>Warrant Agreement</w:t>
      </w:r>
      <w:r>
        <w:rPr>
          <w:sz w:val="20"/>
          <w:szCs w:val="20"/>
        </w:rPr>
        <w:t>” means that certain warrant agreement, dated June 8, 2021, by and between Summit Healthcare Acquisition Corp. and Continental Stock Transfer &amp; Trust Company, as amended by that certain warrant assignment agreement, dated September 29, 202</w:t>
      </w:r>
      <w:r>
        <w:rPr>
          <w:sz w:val="20"/>
          <w:szCs w:val="20"/>
        </w:rPr>
        <w:t>2, by and among Summit Healthcare Acquisition Corp., the Company and Continental Stock Transfer &amp; Trust Company.</w:t>
      </w:r>
    </w:p>
    <w:p w14:paraId="1BC79D3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3E843EA"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1.2 </w:t>
      </w:r>
      <w:r>
        <w:rPr>
          <w:sz w:val="20"/>
          <w:szCs w:val="20"/>
          <w:u w:val="single"/>
        </w:rPr>
        <w:t>Other Definitional Provisions; Interpretation</w:t>
      </w:r>
    </w:p>
    <w:p w14:paraId="10825388" w14:textId="77777777" w:rsidR="00000000" w:rsidRDefault="002F725F">
      <w:pPr>
        <w:pStyle w:val="NormalWeb"/>
        <w:spacing w:before="0" w:beforeAutospacing="0" w:after="0" w:afterAutospacing="0"/>
        <w:jc w:val="both"/>
        <w:divId w:val="415980837"/>
        <w:rPr>
          <w:sz w:val="20"/>
          <w:szCs w:val="20"/>
        </w:rPr>
      </w:pPr>
      <w:r>
        <w:rPr>
          <w:sz w:val="20"/>
          <w:szCs w:val="20"/>
        </w:rPr>
        <w:t>.</w:t>
      </w:r>
    </w:p>
    <w:p w14:paraId="72CB54FB"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The words “hereof,” “herein” and “herewith” and words of similar import shall</w:t>
      </w:r>
      <w:r>
        <w:rPr>
          <w:sz w:val="20"/>
          <w:szCs w:val="20"/>
        </w:rPr>
        <w:t>, unless otherwise stated, be construed to refer to this Agreement as a whole and not to any particular provision of this Agreement, and references to articles, sections, clauses, sub-clauses, annexes, exhibits and/or schedules are to the articles, section</w:t>
      </w:r>
      <w:r>
        <w:rPr>
          <w:sz w:val="20"/>
          <w:szCs w:val="20"/>
        </w:rPr>
        <w:t>s, clauses, sub-clauses of, and annexes, exhibits and/or schedules to, this Agreement, unless otherwise specified.</w:t>
      </w:r>
    </w:p>
    <w:p w14:paraId="7D881372"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85EFCC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Whenever the words “include,” “includes” or “including” are used in this Agreement, they shall be deemed to be followed by the phrase “</w:t>
      </w:r>
      <w:r>
        <w:rPr>
          <w:sz w:val="20"/>
          <w:szCs w:val="20"/>
        </w:rPr>
        <w:t>without limitation.”</w:t>
      </w:r>
    </w:p>
    <w:p w14:paraId="1F13CAE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555B3E9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(c) Words describing the singular number shall be deemed to include the plural and vice versa, words denoting any gender shall be deemed to include all genders and words denoting natural persons shall be deemed to include business en</w:t>
      </w:r>
      <w:r>
        <w:rPr>
          <w:sz w:val="20"/>
          <w:szCs w:val="20"/>
        </w:rPr>
        <w:t>tities and vice versa.</w:t>
      </w:r>
    </w:p>
    <w:p w14:paraId="287CA4FC"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50D21CA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(d) The term “or” is not exclusive and the word “will” shall be construed to have the same meaning and effect as the word “shall.”</w:t>
      </w:r>
    </w:p>
    <w:p w14:paraId="27A13876"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EFFD6E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(e) Any reference to “US$” shall be to U.S. dollars.</w:t>
      </w:r>
    </w:p>
    <w:p w14:paraId="67E3C25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7A46C6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(f)   References to any statute are to that</w:t>
      </w:r>
      <w:r>
        <w:rPr>
          <w:sz w:val="20"/>
          <w:szCs w:val="20"/>
        </w:rPr>
        <w:t xml:space="preserve"> statute, as amended from time to time, and to the rules and regulations promulgated thereunder, in effect as of the date of this Agreement.</w:t>
      </w:r>
    </w:p>
    <w:p w14:paraId="69DEDC7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5BBCA06"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(g) A reference to any document (including this Agreement) is, unless otherwise specified, to that document as am</w:t>
      </w:r>
      <w:r>
        <w:rPr>
          <w:sz w:val="20"/>
          <w:szCs w:val="20"/>
        </w:rPr>
        <w:t>ended, consolidated, supplemented, novated or replaced from time to time in accordance with the terms thereof and including any annexes, schedules and exhibits thereto.</w:t>
      </w:r>
    </w:p>
    <w:p w14:paraId="3041FC0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E6E8D0E"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Article II</w:t>
      </w:r>
      <w:r>
        <w:rPr>
          <w:b/>
          <w:bCs/>
          <w:caps/>
          <w:sz w:val="20"/>
          <w:szCs w:val="20"/>
        </w:rPr>
        <w:br/>
        <w:t>THE MERGER</w:t>
      </w:r>
    </w:p>
    <w:p w14:paraId="22263D3C"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3007F70C"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2.1 </w:t>
      </w:r>
      <w:r>
        <w:rPr>
          <w:sz w:val="20"/>
          <w:szCs w:val="20"/>
          <w:u w:val="single"/>
        </w:rPr>
        <w:t>The Merger</w:t>
      </w:r>
      <w:r>
        <w:rPr>
          <w:sz w:val="20"/>
          <w:szCs w:val="20"/>
        </w:rPr>
        <w:t>. Upon the terms and subject to the sat</w:t>
      </w:r>
      <w:r>
        <w:rPr>
          <w:sz w:val="20"/>
          <w:szCs w:val="20"/>
        </w:rPr>
        <w:t>isfaction or waiver of the conditions set forth in this Agreement (to the extent validly waivable by the Company or Parent, as the case may be), and in accordance with the Companies Act, at the Effective Time, the Company and Merger Sub shall consummate th</w:t>
      </w:r>
      <w:r>
        <w:rPr>
          <w:sz w:val="20"/>
          <w:szCs w:val="20"/>
        </w:rPr>
        <w:t xml:space="preserve">e Merger pursuant to which (a) Merger Sub shall be merged with and into the Company and the separate corporate existence of Merger Sub shall thereupon cease and the Merger Sub will be struck off the Register of Companies in the Cayman Islands; and (b) the </w:t>
      </w:r>
      <w:r>
        <w:rPr>
          <w:sz w:val="20"/>
          <w:szCs w:val="20"/>
        </w:rPr>
        <w:t>Company shall be the surviving company (as defined in the Companies Act) (the “</w:t>
      </w:r>
      <w:r>
        <w:rPr>
          <w:sz w:val="20"/>
          <w:szCs w:val="20"/>
          <w:u w:val="single"/>
        </w:rPr>
        <w:t>Surviving Company</w:t>
      </w:r>
      <w:r>
        <w:rPr>
          <w:sz w:val="20"/>
          <w:szCs w:val="20"/>
        </w:rPr>
        <w:t>”) in the Merger and shall continue its corporate existence under the Laws of the Cayman Islands as a wholly-owned subsidiary of Parent.</w:t>
      </w:r>
    </w:p>
    <w:p w14:paraId="3C9D4F7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9FD71D9" w14:textId="77777777" w:rsidR="00000000" w:rsidRDefault="002F725F">
      <w:pPr>
        <w:pStyle w:val="NormalWeb"/>
        <w:spacing w:before="0" w:beforeAutospacing="0" w:after="0" w:afterAutospacing="0"/>
        <w:jc w:val="center"/>
        <w:divId w:val="811556845"/>
        <w:rPr>
          <w:sz w:val="20"/>
          <w:szCs w:val="20"/>
        </w:rPr>
      </w:pPr>
      <w:r>
        <w:rPr>
          <w:sz w:val="20"/>
          <w:szCs w:val="20"/>
        </w:rPr>
        <w:t>A</w:t>
      </w:r>
      <w:r>
        <w:rPr>
          <w:sz w:val="20"/>
          <w:szCs w:val="20"/>
        </w:rPr>
        <w:t>-</w:t>
      </w:r>
      <w:r>
        <w:rPr>
          <w:sz w:val="20"/>
          <w:szCs w:val="20"/>
        </w:rPr>
        <w:t>1</w:t>
      </w:r>
      <w:r>
        <w:rPr>
          <w:sz w:val="20"/>
          <w:szCs w:val="20"/>
        </w:rPr>
        <w:t>3</w:t>
      </w:r>
    </w:p>
    <w:p w14:paraId="0B057CD5" w14:textId="77777777" w:rsidR="00000000" w:rsidRDefault="002F725F">
      <w:pPr>
        <w:pStyle w:val="NormalWeb"/>
        <w:spacing w:before="0" w:beforeAutospacing="0" w:after="0" w:afterAutospacing="0"/>
        <w:divId w:val="497228832"/>
        <w:rPr>
          <w:sz w:val="20"/>
          <w:szCs w:val="20"/>
        </w:rPr>
      </w:pPr>
      <w:r>
        <w:rPr>
          <w:sz w:val="20"/>
          <w:szCs w:val="20"/>
        </w:rPr>
        <w:lastRenderedPageBreak/>
        <w:t> </w:t>
      </w:r>
    </w:p>
    <w:p w14:paraId="6C92B98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3E4CBE2"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2.2 </w:t>
      </w:r>
      <w:r>
        <w:rPr>
          <w:sz w:val="20"/>
          <w:szCs w:val="20"/>
          <w:u w:val="single"/>
        </w:rPr>
        <w:t>Closing; Closing Date</w:t>
      </w:r>
      <w:r>
        <w:rPr>
          <w:sz w:val="20"/>
          <w:szCs w:val="20"/>
        </w:rPr>
        <w:t>. Unless otherwise mutually agreed in writing between the Company and Parent, the closing of the Merger (the “</w:t>
      </w:r>
      <w:r>
        <w:rPr>
          <w:sz w:val="20"/>
          <w:szCs w:val="20"/>
          <w:u w:val="single"/>
        </w:rPr>
        <w:t>Closing</w:t>
      </w:r>
      <w:r>
        <w:rPr>
          <w:sz w:val="20"/>
          <w:szCs w:val="20"/>
        </w:rPr>
        <w:t>”) shall take place remotely by conference call and electronic exchange of documents and signatures on a d</w:t>
      </w:r>
      <w:r>
        <w:rPr>
          <w:sz w:val="20"/>
          <w:szCs w:val="20"/>
        </w:rPr>
        <w:t>ate (the “</w:t>
      </w:r>
      <w:r>
        <w:rPr>
          <w:sz w:val="20"/>
          <w:szCs w:val="20"/>
          <w:u w:val="single"/>
        </w:rPr>
        <w:t>Closing Date</w:t>
      </w:r>
      <w:r>
        <w:rPr>
          <w:sz w:val="20"/>
          <w:szCs w:val="20"/>
        </w:rPr>
        <w:t>”) to be agreed by the Special Committee (on behalf of the Company) and Parent, which shall be as soon as reasonably practicable, but in no event later than the fifth (5th) Business Day following the day on which the last of the condi</w:t>
      </w:r>
      <w:r>
        <w:rPr>
          <w:sz w:val="20"/>
          <w:szCs w:val="20"/>
        </w:rPr>
        <w:t xml:space="preserve">tions set forth in </w:t>
      </w:r>
      <w:r>
        <w:rPr>
          <w:sz w:val="20"/>
          <w:szCs w:val="20"/>
          <w:u w:val="single"/>
        </w:rPr>
        <w:t>Article VIII</w:t>
      </w:r>
      <w:r>
        <w:rPr>
          <w:sz w:val="20"/>
          <w:szCs w:val="20"/>
        </w:rPr>
        <w:t xml:space="preserve"> (other than those conditions that by their nature are to be satisfied at the Closing, but subject to the satisfaction or, if permissible, waiver of those conditions) is satisfied or, if permissible, waived in accordance with</w:t>
      </w:r>
      <w:r>
        <w:rPr>
          <w:sz w:val="20"/>
          <w:szCs w:val="20"/>
        </w:rPr>
        <w:t xml:space="preserve"> this Agreement.</w:t>
      </w:r>
    </w:p>
    <w:p w14:paraId="0B6E748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779D15D"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2.3 </w:t>
      </w:r>
      <w:r>
        <w:rPr>
          <w:sz w:val="20"/>
          <w:szCs w:val="20"/>
          <w:u w:val="single"/>
        </w:rPr>
        <w:t>Effective Time</w:t>
      </w:r>
      <w:r>
        <w:rPr>
          <w:sz w:val="20"/>
          <w:szCs w:val="20"/>
        </w:rPr>
        <w:t xml:space="preserve">. Upon the terms and subject to the conditions set forth in this Agreement, on the Closing Date, the Company, Parent and Merger Sub shall (a) cause the Cayman Islands law-governed plan of merger with respect to </w:t>
      </w:r>
      <w:r>
        <w:rPr>
          <w:sz w:val="20"/>
          <w:szCs w:val="20"/>
        </w:rPr>
        <w:t>the Merger (the “</w:t>
      </w:r>
      <w:r>
        <w:rPr>
          <w:sz w:val="20"/>
          <w:szCs w:val="20"/>
          <w:u w:val="single"/>
        </w:rPr>
        <w:t>Plan of Merger</w:t>
      </w:r>
      <w:r>
        <w:rPr>
          <w:sz w:val="20"/>
          <w:szCs w:val="20"/>
        </w:rPr>
        <w:t xml:space="preserve">”), substantially in the form set out in </w:t>
      </w:r>
      <w:r>
        <w:rPr>
          <w:sz w:val="20"/>
          <w:szCs w:val="20"/>
          <w:u w:val="single"/>
        </w:rPr>
        <w:t>Annex A</w:t>
      </w:r>
      <w:r>
        <w:rPr>
          <w:sz w:val="20"/>
          <w:szCs w:val="20"/>
        </w:rPr>
        <w:t>, to be duly executed by the Company and Merger Sub and filed with the Registrar of Companies of the Cayman Islands as provided by Section 233 of the Companies Act; and (b) make</w:t>
      </w:r>
      <w:r>
        <w:rPr>
          <w:sz w:val="20"/>
          <w:szCs w:val="20"/>
        </w:rPr>
        <w:t xml:space="preserve"> any other filings, recordings or publications required to be made by the Company or Merger Sub under the Companies Act in connection with the Merger. The Merger shall become effective at such time as specified in the Plan of Merger, in accordance with the</w:t>
      </w:r>
      <w:r>
        <w:rPr>
          <w:sz w:val="20"/>
          <w:szCs w:val="20"/>
        </w:rPr>
        <w:t xml:space="preserve"> Companies Act (the effective time of the Merger being hereinafter referred to as the “</w:t>
      </w:r>
      <w:r>
        <w:rPr>
          <w:sz w:val="20"/>
          <w:szCs w:val="20"/>
          <w:u w:val="single"/>
        </w:rPr>
        <w:t>Effective Time</w:t>
      </w:r>
      <w:r>
        <w:rPr>
          <w:sz w:val="20"/>
          <w:szCs w:val="20"/>
        </w:rPr>
        <w:t>”).</w:t>
      </w:r>
    </w:p>
    <w:p w14:paraId="0761A09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75ACFD2"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2.4 </w:t>
      </w:r>
      <w:r>
        <w:rPr>
          <w:sz w:val="20"/>
          <w:szCs w:val="20"/>
          <w:u w:val="single"/>
        </w:rPr>
        <w:t>Effects of the Merger</w:t>
      </w:r>
      <w:r>
        <w:rPr>
          <w:sz w:val="20"/>
          <w:szCs w:val="20"/>
        </w:rPr>
        <w:t>. At the Effective Time, the Merger shall have the effects specified in this Agreement, the Plan of Merger and the C</w:t>
      </w:r>
      <w:r>
        <w:rPr>
          <w:sz w:val="20"/>
          <w:szCs w:val="20"/>
        </w:rPr>
        <w:t>ompanies Act. Without limiting the generality of the foregoing, and subject thereto, at the Effective Time, all the rights, property of every description including choses in action, and the business, undertaking, goodwill, benefits, immunities and privileg</w:t>
      </w:r>
      <w:r>
        <w:rPr>
          <w:sz w:val="20"/>
          <w:szCs w:val="20"/>
        </w:rPr>
        <w:t>es of each of the Company and Merger Sub shall immediately vest in the Surviving Company and the Surviving Company shall be liable for and subject, in the same manner as the Company and Merger Sub, to all mortgages, charges or security interests and all Co</w:t>
      </w:r>
      <w:r>
        <w:rPr>
          <w:sz w:val="20"/>
          <w:szCs w:val="20"/>
        </w:rPr>
        <w:t>ntracts, obligations, claims, debts and liabilities of each of the Company and Merger Sub in accordance with the Companies Act and as provided in this Agreement.</w:t>
      </w:r>
    </w:p>
    <w:p w14:paraId="01E374A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DFEB11D"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2.5 </w:t>
      </w:r>
      <w:r>
        <w:rPr>
          <w:sz w:val="20"/>
          <w:szCs w:val="20"/>
          <w:u w:val="single"/>
        </w:rPr>
        <w:t>Memorandum and Articles of Association of the Surviving Company</w:t>
      </w:r>
      <w:r>
        <w:rPr>
          <w:sz w:val="20"/>
          <w:szCs w:val="20"/>
        </w:rPr>
        <w:t>. At the Effectiv</w:t>
      </w:r>
      <w:r>
        <w:rPr>
          <w:sz w:val="20"/>
          <w:szCs w:val="20"/>
        </w:rPr>
        <w:t xml:space="preserve">e Time, in accordance with the Plan of Merger, the memorandum and articles of association of the Company, by virtue of the Merger and without any further action by the Surviving Company, shall be amended and restated in its entirety to read identically to </w:t>
      </w:r>
      <w:r>
        <w:rPr>
          <w:sz w:val="20"/>
          <w:szCs w:val="20"/>
        </w:rPr>
        <w:t xml:space="preserve">the memorandum and articles of association of Merger Sub, as in effect immediately prior to the Effective Time, until thereafter amended in accordance with applicable Laws and as provided in such memorandum and articles of association; </w:t>
      </w:r>
      <w:r>
        <w:rPr>
          <w:sz w:val="20"/>
          <w:szCs w:val="20"/>
          <w:u w:val="single"/>
        </w:rPr>
        <w:t>provided</w:t>
      </w:r>
      <w:r>
        <w:rPr>
          <w:sz w:val="20"/>
          <w:szCs w:val="20"/>
        </w:rPr>
        <w:t>, that (a) a</w:t>
      </w:r>
      <w:r>
        <w:rPr>
          <w:sz w:val="20"/>
          <w:szCs w:val="20"/>
        </w:rPr>
        <w:t>ll references to “Oceanpine Merger Sub Inc.” in the memorandum and articles of association of the Surviving Company shall be amended to “LakeShore Biopharma Co., Ltd”; (b) references therein to the authorized share capital of the Merger Sub shall be amende</w:t>
      </w:r>
      <w:r>
        <w:rPr>
          <w:sz w:val="20"/>
          <w:szCs w:val="20"/>
        </w:rPr>
        <w:t>d as necessary to correctly describe the authorized share capital of the Surviving Company as approved in the Plan of Merger; and (c) such memorandum and articles of association shall include such indemnification, advancement of expenses and exculpation pr</w:t>
      </w:r>
      <w:r>
        <w:rPr>
          <w:sz w:val="20"/>
          <w:szCs w:val="20"/>
        </w:rPr>
        <w:t xml:space="preserve">ovisions as required by </w:t>
      </w:r>
      <w:r>
        <w:rPr>
          <w:sz w:val="20"/>
          <w:szCs w:val="20"/>
          <w:u w:val="single"/>
        </w:rPr>
        <w:t>Section 7.5</w:t>
      </w:r>
      <w:r>
        <w:rPr>
          <w:sz w:val="20"/>
          <w:szCs w:val="20"/>
        </w:rPr>
        <w:t>.</w:t>
      </w:r>
    </w:p>
    <w:p w14:paraId="7EDD70D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03EC7A4" w14:textId="77777777" w:rsidR="00000000" w:rsidRDefault="002F725F">
      <w:pPr>
        <w:pStyle w:val="NormalWeb"/>
        <w:spacing w:before="0" w:beforeAutospacing="0" w:after="0" w:afterAutospacing="0"/>
        <w:jc w:val="center"/>
        <w:divId w:val="167797473"/>
        <w:rPr>
          <w:sz w:val="20"/>
          <w:szCs w:val="20"/>
        </w:rPr>
      </w:pPr>
      <w:r>
        <w:rPr>
          <w:sz w:val="20"/>
          <w:szCs w:val="20"/>
        </w:rPr>
        <w:t>A</w:t>
      </w:r>
      <w:r>
        <w:rPr>
          <w:sz w:val="20"/>
          <w:szCs w:val="20"/>
        </w:rPr>
        <w:t>-</w:t>
      </w:r>
      <w:r>
        <w:rPr>
          <w:sz w:val="20"/>
          <w:szCs w:val="20"/>
        </w:rPr>
        <w:t>1</w:t>
      </w:r>
      <w:r>
        <w:rPr>
          <w:sz w:val="20"/>
          <w:szCs w:val="20"/>
        </w:rPr>
        <w:t>4</w:t>
      </w:r>
    </w:p>
    <w:p w14:paraId="537DA8D5" w14:textId="77777777" w:rsidR="00000000" w:rsidRDefault="002F725F">
      <w:pPr>
        <w:pStyle w:val="NormalWeb"/>
        <w:spacing w:before="0" w:beforeAutospacing="0" w:after="0" w:afterAutospacing="0"/>
        <w:divId w:val="1967662877"/>
        <w:rPr>
          <w:sz w:val="20"/>
          <w:szCs w:val="20"/>
        </w:rPr>
      </w:pPr>
      <w:r>
        <w:rPr>
          <w:sz w:val="20"/>
          <w:szCs w:val="20"/>
        </w:rPr>
        <w:t> </w:t>
      </w:r>
    </w:p>
    <w:p w14:paraId="16C2CD72"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A504EA1"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2.6 </w:t>
      </w:r>
      <w:r>
        <w:rPr>
          <w:sz w:val="20"/>
          <w:szCs w:val="20"/>
          <w:u w:val="single"/>
        </w:rPr>
        <w:t>Directors and Officers of the Surviving Company</w:t>
      </w:r>
      <w:r>
        <w:rPr>
          <w:sz w:val="20"/>
          <w:szCs w:val="20"/>
        </w:rPr>
        <w:t xml:space="preserve">. The Parties shall take all actions necessary at the Effective Time so that (a) the directors of Merger Sub immediately prior to the Effective Time shall become the initial directors of the Surviving Company at the Effective Time; and (b) the officers of </w:t>
      </w:r>
      <w:r>
        <w:rPr>
          <w:sz w:val="20"/>
          <w:szCs w:val="20"/>
        </w:rPr>
        <w:t xml:space="preserve">the Company immediately prior to the Effective Time shall become the initial officers of the Surviving Company at the Effective Time, in each case, unless otherwise determined by Parent in a written notice delivered to the Company in accordance with </w:t>
      </w:r>
      <w:r>
        <w:rPr>
          <w:sz w:val="20"/>
          <w:szCs w:val="20"/>
          <w:u w:val="single"/>
        </w:rPr>
        <w:t>Sectio</w:t>
      </w:r>
      <w:r>
        <w:rPr>
          <w:sz w:val="20"/>
          <w:szCs w:val="20"/>
          <w:u w:val="single"/>
        </w:rPr>
        <w:t>n 10.2</w:t>
      </w:r>
      <w:r>
        <w:rPr>
          <w:sz w:val="20"/>
          <w:szCs w:val="20"/>
        </w:rPr>
        <w:t xml:space="preserve"> prior to the Effective Time, and until their respective successors are duly elected or appointed and qualified or until the earlier of their death, resignation or removal in accordance with the memorandum and articles of association of the Surviving</w:t>
      </w:r>
      <w:r>
        <w:rPr>
          <w:sz w:val="20"/>
          <w:szCs w:val="20"/>
        </w:rPr>
        <w:t xml:space="preserve"> Company and applicable Laws.</w:t>
      </w:r>
    </w:p>
    <w:p w14:paraId="05E54385"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475BEE4D"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lastRenderedPageBreak/>
        <w:t>Article III</w:t>
      </w:r>
      <w:r>
        <w:rPr>
          <w:b/>
          <w:bCs/>
          <w:caps/>
          <w:sz w:val="20"/>
          <w:szCs w:val="20"/>
        </w:rPr>
        <w:br/>
        <w:t>CONVERSION OF SHARES</w:t>
      </w:r>
    </w:p>
    <w:p w14:paraId="2CD1E786"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0BABDA92"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3.1 </w:t>
      </w:r>
      <w:r>
        <w:rPr>
          <w:sz w:val="20"/>
          <w:szCs w:val="20"/>
          <w:u w:val="single"/>
        </w:rPr>
        <w:t>Treatment of Company Securities and Merger Considerations</w:t>
      </w:r>
      <w:r>
        <w:rPr>
          <w:sz w:val="20"/>
          <w:szCs w:val="20"/>
        </w:rPr>
        <w:t>.</w:t>
      </w:r>
    </w:p>
    <w:p w14:paraId="5AECD32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A6E51C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(a) </w:t>
      </w:r>
      <w:r>
        <w:rPr>
          <w:sz w:val="20"/>
          <w:szCs w:val="20"/>
          <w:u w:val="single"/>
        </w:rPr>
        <w:t>Treatment of Shares</w:t>
      </w:r>
      <w:r>
        <w:rPr>
          <w:sz w:val="20"/>
          <w:szCs w:val="20"/>
        </w:rPr>
        <w:t>. At the Effective Time, each Share issued and outstanding immediately prior to the Effective</w:t>
      </w:r>
      <w:r>
        <w:rPr>
          <w:sz w:val="20"/>
          <w:szCs w:val="20"/>
        </w:rPr>
        <w:t xml:space="preserve"> Time (other than the Excluded Shares and the Dissenting Shares) shall, by virtue of the Merger and without any action on the part of the holder thereof or the Company or Parent, be cancelled and cease to exist in exchange for the right to receive US$0.90 </w:t>
      </w:r>
      <w:r>
        <w:rPr>
          <w:sz w:val="20"/>
          <w:szCs w:val="20"/>
        </w:rPr>
        <w:t>per Share in cash (the “</w:t>
      </w:r>
      <w:r>
        <w:rPr>
          <w:sz w:val="20"/>
          <w:szCs w:val="20"/>
          <w:u w:val="single"/>
        </w:rPr>
        <w:t>Per Share Merger Consideration</w:t>
      </w:r>
      <w:r>
        <w:rPr>
          <w:sz w:val="20"/>
          <w:szCs w:val="20"/>
        </w:rPr>
        <w:t xml:space="preserve">”), without any interest thereon, payable in the manner set forth in </w:t>
      </w:r>
      <w:r>
        <w:rPr>
          <w:sz w:val="20"/>
          <w:szCs w:val="20"/>
          <w:u w:val="single"/>
        </w:rPr>
        <w:t>Section 3.2(b)</w:t>
      </w:r>
      <w:r>
        <w:rPr>
          <w:sz w:val="20"/>
          <w:szCs w:val="20"/>
        </w:rPr>
        <w:t>.</w:t>
      </w:r>
    </w:p>
    <w:p w14:paraId="0543C60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4112E7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(b) </w:t>
      </w:r>
      <w:r>
        <w:rPr>
          <w:sz w:val="20"/>
          <w:szCs w:val="20"/>
          <w:u w:val="single"/>
        </w:rPr>
        <w:t>Treatment of Excluded Shares</w:t>
      </w:r>
      <w:r>
        <w:rPr>
          <w:sz w:val="20"/>
          <w:szCs w:val="20"/>
        </w:rPr>
        <w:t>. All Excluded Shares issued and outstanding immediately prior to the Effective Tim</w:t>
      </w:r>
      <w:r>
        <w:rPr>
          <w:sz w:val="20"/>
          <w:szCs w:val="20"/>
        </w:rPr>
        <w:t>e shall be automatically cancelled and cease to exist, without payment of any Merger Consideration or distribution therefor.</w:t>
      </w:r>
    </w:p>
    <w:p w14:paraId="722FA9D2"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992D866"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(c) </w:t>
      </w:r>
      <w:r>
        <w:rPr>
          <w:sz w:val="20"/>
          <w:szCs w:val="20"/>
          <w:u w:val="single"/>
        </w:rPr>
        <w:t>Treatment of Dissenting Shares</w:t>
      </w:r>
      <w:r>
        <w:rPr>
          <w:sz w:val="20"/>
          <w:szCs w:val="20"/>
        </w:rPr>
        <w:t xml:space="preserve">. Each of the Dissenting Shares shall be cancelled and cease to exist in accordance with </w:t>
      </w:r>
      <w:r>
        <w:rPr>
          <w:sz w:val="20"/>
          <w:szCs w:val="20"/>
          <w:u w:val="single"/>
        </w:rPr>
        <w:t>Sectio</w:t>
      </w:r>
      <w:r>
        <w:rPr>
          <w:sz w:val="20"/>
          <w:szCs w:val="20"/>
          <w:u w:val="single"/>
        </w:rPr>
        <w:t>n 3.4</w:t>
      </w:r>
      <w:r>
        <w:rPr>
          <w:sz w:val="20"/>
          <w:szCs w:val="20"/>
        </w:rPr>
        <w:t xml:space="preserve"> and thereafter represent only the right to receive the applicable payments referred to in </w:t>
      </w:r>
      <w:r>
        <w:rPr>
          <w:sz w:val="20"/>
          <w:szCs w:val="20"/>
          <w:u w:val="single"/>
        </w:rPr>
        <w:t>Section 3.4</w:t>
      </w:r>
      <w:r>
        <w:rPr>
          <w:sz w:val="20"/>
          <w:szCs w:val="20"/>
        </w:rPr>
        <w:t>.</w:t>
      </w:r>
    </w:p>
    <w:p w14:paraId="01848552"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53FB3A1C"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(d) </w:t>
      </w:r>
      <w:r>
        <w:rPr>
          <w:sz w:val="20"/>
          <w:szCs w:val="20"/>
          <w:u w:val="single"/>
        </w:rPr>
        <w:t>Treatment of Merger Sub Securities</w:t>
      </w:r>
      <w:r>
        <w:rPr>
          <w:sz w:val="20"/>
          <w:szCs w:val="20"/>
        </w:rPr>
        <w:t xml:space="preserve">. Each ordinary share, par value US$0.0001 per share, of Merger Sub issued and outstanding immediately prior to the Effective Time shall be converted into and become one (1) validly issued, fully paid and non-assessable ordinary share, par value US$0.0001 </w:t>
      </w:r>
      <w:r>
        <w:rPr>
          <w:sz w:val="20"/>
          <w:szCs w:val="20"/>
        </w:rPr>
        <w:t>per share, of the Surviving Company. Such ordinary shares shall constitute the only issued and outstanding share capital of the Surviving Company, which shall be reflected in the register of members of the Surviving Company.</w:t>
      </w:r>
    </w:p>
    <w:p w14:paraId="67F11B2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7ABFB2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(e) </w:t>
      </w:r>
      <w:r>
        <w:rPr>
          <w:sz w:val="20"/>
          <w:szCs w:val="20"/>
          <w:u w:val="single"/>
        </w:rPr>
        <w:t>Adjustment to Merger Cons</w:t>
      </w:r>
      <w:r>
        <w:rPr>
          <w:sz w:val="20"/>
          <w:szCs w:val="20"/>
          <w:u w:val="single"/>
        </w:rPr>
        <w:t>ideration</w:t>
      </w:r>
      <w:r>
        <w:rPr>
          <w:sz w:val="20"/>
          <w:szCs w:val="20"/>
        </w:rPr>
        <w:t xml:space="preserve">. The Per Share Merger Consideration and any other amounts payable pursuant to this Agreement, as applicable, shall be adjusted appropriately to reflect the effect of any share split, reverse share split, share dividend (including any dividend or </w:t>
      </w:r>
      <w:r>
        <w:rPr>
          <w:sz w:val="20"/>
          <w:szCs w:val="20"/>
        </w:rPr>
        <w:t>other distribution of securities convertible into Shares), reorganization, recapitalization, reclassification, combination, exchange of shares or other like change with respect to the Shares, effectuated after the date hereof and prior to the Effective Tim</w:t>
      </w:r>
      <w:r>
        <w:rPr>
          <w:sz w:val="20"/>
          <w:szCs w:val="20"/>
        </w:rPr>
        <w:t xml:space="preserve">e (but excluding any change that results from any exercise of Company Options or Company Warrants to purchase Shares or the vesting of any Company RSUs) and to provide the holders of Shares, Company Options, Company Warrants and Company RSUs with the same </w:t>
      </w:r>
      <w:r>
        <w:rPr>
          <w:sz w:val="20"/>
          <w:szCs w:val="20"/>
        </w:rPr>
        <w:t>economic effect as contemplated by this Agreement prior to such event and as so adjusted shall, from and after the date of such event, be the Per Share Merger Consideration.</w:t>
      </w:r>
    </w:p>
    <w:p w14:paraId="0BCE689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88F8B3B" w14:textId="77777777" w:rsidR="00000000" w:rsidRDefault="002F725F">
      <w:pPr>
        <w:pStyle w:val="NormalWeb"/>
        <w:spacing w:before="0" w:beforeAutospacing="0" w:after="0" w:afterAutospacing="0"/>
        <w:jc w:val="center"/>
        <w:divId w:val="515585465"/>
        <w:rPr>
          <w:sz w:val="20"/>
          <w:szCs w:val="20"/>
        </w:rPr>
      </w:pPr>
      <w:r>
        <w:rPr>
          <w:sz w:val="20"/>
          <w:szCs w:val="20"/>
        </w:rPr>
        <w:t>A</w:t>
      </w:r>
      <w:r>
        <w:rPr>
          <w:sz w:val="20"/>
          <w:szCs w:val="20"/>
        </w:rPr>
        <w:t>-</w:t>
      </w:r>
      <w:r>
        <w:rPr>
          <w:sz w:val="20"/>
          <w:szCs w:val="20"/>
        </w:rPr>
        <w:t>1</w:t>
      </w:r>
      <w:r>
        <w:rPr>
          <w:sz w:val="20"/>
          <w:szCs w:val="20"/>
        </w:rPr>
        <w:t>5</w:t>
      </w:r>
    </w:p>
    <w:p w14:paraId="05DCFB27" w14:textId="77777777" w:rsidR="00000000" w:rsidRDefault="002F725F">
      <w:pPr>
        <w:pStyle w:val="NormalWeb"/>
        <w:spacing w:before="0" w:beforeAutospacing="0" w:after="0" w:afterAutospacing="0"/>
        <w:divId w:val="291139603"/>
        <w:rPr>
          <w:sz w:val="20"/>
          <w:szCs w:val="20"/>
        </w:rPr>
      </w:pPr>
      <w:r>
        <w:rPr>
          <w:sz w:val="20"/>
          <w:szCs w:val="20"/>
        </w:rPr>
        <w:t> </w:t>
      </w:r>
    </w:p>
    <w:p w14:paraId="099BBACC"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659DD5B"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(f) </w:t>
      </w:r>
      <w:r>
        <w:rPr>
          <w:sz w:val="20"/>
          <w:szCs w:val="20"/>
          <w:u w:val="single"/>
        </w:rPr>
        <w:t>Treatment of Company Warrants</w:t>
      </w:r>
      <w:r>
        <w:rPr>
          <w:sz w:val="20"/>
          <w:szCs w:val="20"/>
        </w:rPr>
        <w:t>. From and after the Effective Time, e</w:t>
      </w:r>
      <w:r>
        <w:rPr>
          <w:sz w:val="20"/>
          <w:szCs w:val="20"/>
        </w:rPr>
        <w:t>ach warrant to purchase Shares outstanding immediately prior to the Effective Time (each, a “</w:t>
      </w:r>
      <w:r>
        <w:rPr>
          <w:sz w:val="20"/>
          <w:szCs w:val="20"/>
          <w:u w:val="single"/>
        </w:rPr>
        <w:t>Company Warrant</w:t>
      </w:r>
      <w:r>
        <w:rPr>
          <w:sz w:val="20"/>
          <w:szCs w:val="20"/>
        </w:rPr>
        <w:t>” and, collectively, “</w:t>
      </w:r>
      <w:r>
        <w:rPr>
          <w:sz w:val="20"/>
          <w:szCs w:val="20"/>
          <w:u w:val="single"/>
        </w:rPr>
        <w:t>Company Warrants</w:t>
      </w:r>
      <w:r>
        <w:rPr>
          <w:sz w:val="20"/>
          <w:szCs w:val="20"/>
        </w:rPr>
        <w:t>”) shall, by virtue of the Merger and without any action on the part of the Company, Parent, Merger Sub or the</w:t>
      </w:r>
      <w:r>
        <w:rPr>
          <w:sz w:val="20"/>
          <w:szCs w:val="20"/>
        </w:rPr>
        <w:t xml:space="preserve"> holders thereof, be treated in the manner set forth in the Warrant Agreement.</w:t>
      </w:r>
    </w:p>
    <w:p w14:paraId="308DBD3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8A0693A"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3.2 </w:t>
      </w:r>
      <w:r>
        <w:rPr>
          <w:sz w:val="20"/>
          <w:szCs w:val="20"/>
          <w:u w:val="single"/>
        </w:rPr>
        <w:t>Exchange of Certificates Representing Shares; Payments</w:t>
      </w:r>
      <w:r>
        <w:rPr>
          <w:sz w:val="20"/>
          <w:szCs w:val="20"/>
        </w:rPr>
        <w:t>.</w:t>
      </w:r>
    </w:p>
    <w:p w14:paraId="4CF1C12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18B7192"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(a) </w:t>
      </w:r>
      <w:r>
        <w:rPr>
          <w:sz w:val="20"/>
          <w:szCs w:val="20"/>
          <w:u w:val="single"/>
        </w:rPr>
        <w:t>Paying Agent</w:t>
      </w:r>
      <w:r>
        <w:rPr>
          <w:sz w:val="20"/>
          <w:szCs w:val="20"/>
        </w:rPr>
        <w:t>. As soon as reasonably practicable after the execution of this Agreement and prior to th</w:t>
      </w:r>
      <w:r>
        <w:rPr>
          <w:sz w:val="20"/>
          <w:szCs w:val="20"/>
        </w:rPr>
        <w:t>e Effective Time, Parent shall designate a bank or trust company to act as paying agent hereunder (the “</w:t>
      </w:r>
      <w:r>
        <w:rPr>
          <w:sz w:val="20"/>
          <w:szCs w:val="20"/>
          <w:u w:val="single"/>
        </w:rPr>
        <w:t>Paying Agent</w:t>
      </w:r>
      <w:r>
        <w:rPr>
          <w:sz w:val="20"/>
          <w:szCs w:val="20"/>
        </w:rPr>
        <w:t>”), the identity and the terms of appointment of which shall be reasonably acceptable to the Company, for all payments required to be made p</w:t>
      </w:r>
      <w:r>
        <w:rPr>
          <w:sz w:val="20"/>
          <w:szCs w:val="20"/>
        </w:rPr>
        <w:t xml:space="preserve">ursuant to </w:t>
      </w:r>
      <w:r>
        <w:rPr>
          <w:sz w:val="20"/>
          <w:szCs w:val="20"/>
          <w:u w:val="single"/>
        </w:rPr>
        <w:t>Section 3.1(a)</w:t>
      </w:r>
      <w:r>
        <w:rPr>
          <w:sz w:val="20"/>
          <w:szCs w:val="20"/>
        </w:rPr>
        <w:t xml:space="preserve"> and </w:t>
      </w:r>
      <w:r>
        <w:rPr>
          <w:sz w:val="20"/>
          <w:szCs w:val="20"/>
          <w:u w:val="single"/>
        </w:rPr>
        <w:t>Section 3.4(b)</w:t>
      </w:r>
      <w:r>
        <w:rPr>
          <w:sz w:val="20"/>
          <w:szCs w:val="20"/>
        </w:rPr>
        <w:t xml:space="preserve"> (in the case of </w:t>
      </w:r>
      <w:r>
        <w:rPr>
          <w:sz w:val="20"/>
          <w:szCs w:val="20"/>
          <w:u w:val="single"/>
        </w:rPr>
        <w:t>Section 3.4(b)</w:t>
      </w:r>
      <w:r>
        <w:rPr>
          <w:sz w:val="20"/>
          <w:szCs w:val="20"/>
        </w:rPr>
        <w:t>, when required thereby) (collectively, the “</w:t>
      </w:r>
      <w:r>
        <w:rPr>
          <w:sz w:val="20"/>
          <w:szCs w:val="20"/>
          <w:u w:val="single"/>
        </w:rPr>
        <w:t>Merger Consideration</w:t>
      </w:r>
      <w:r>
        <w:rPr>
          <w:sz w:val="20"/>
          <w:szCs w:val="20"/>
        </w:rPr>
        <w:t>”), and Parent shall enter into a paying agent agreement on terms reasonably acceptable to the Company with the Payi</w:t>
      </w:r>
      <w:r>
        <w:rPr>
          <w:sz w:val="20"/>
          <w:szCs w:val="20"/>
        </w:rPr>
        <w:t xml:space="preserve">ng Agent prior to the Effective Time. Immediately prior to the Effective Time, or in the case of payments pursuant to </w:t>
      </w:r>
      <w:r>
        <w:rPr>
          <w:sz w:val="20"/>
          <w:szCs w:val="20"/>
          <w:u w:val="single"/>
        </w:rPr>
        <w:t>Section 3.4(b)</w:t>
      </w:r>
      <w:r>
        <w:rPr>
          <w:sz w:val="20"/>
          <w:szCs w:val="20"/>
        </w:rPr>
        <w:t>, when required thereby, Parent shall deposit or cause to be deposited, with the Paying Agent, for the benefit of the holder</w:t>
      </w:r>
      <w:r>
        <w:rPr>
          <w:sz w:val="20"/>
          <w:szCs w:val="20"/>
        </w:rPr>
        <w:t xml:space="preserve">s of Shares, other than the holders of </w:t>
      </w:r>
      <w:r>
        <w:rPr>
          <w:sz w:val="20"/>
          <w:szCs w:val="20"/>
        </w:rPr>
        <w:lastRenderedPageBreak/>
        <w:t xml:space="preserve">Excluded Shares, a cash amount in immediately available funds sufficient for the Paying Agent to make timely payment of the full amount of the Merger Consideration to be paid pursuant to </w:t>
      </w:r>
      <w:r>
        <w:rPr>
          <w:sz w:val="20"/>
          <w:szCs w:val="20"/>
          <w:u w:val="single"/>
        </w:rPr>
        <w:t>Section 3.1</w:t>
      </w:r>
      <w:r>
        <w:rPr>
          <w:sz w:val="20"/>
          <w:szCs w:val="20"/>
        </w:rPr>
        <w:t xml:space="preserve"> and this </w:t>
      </w:r>
      <w:r>
        <w:rPr>
          <w:sz w:val="20"/>
          <w:szCs w:val="20"/>
          <w:u w:val="single"/>
        </w:rPr>
        <w:t>Section 3</w:t>
      </w:r>
      <w:r>
        <w:rPr>
          <w:sz w:val="20"/>
          <w:szCs w:val="20"/>
          <w:u w:val="single"/>
        </w:rPr>
        <w:t>.2</w:t>
      </w:r>
      <w:r>
        <w:rPr>
          <w:sz w:val="20"/>
          <w:szCs w:val="20"/>
        </w:rPr>
        <w:t xml:space="preserve"> (such cash amounts being hereinafter referred to as the “</w:t>
      </w:r>
      <w:r>
        <w:rPr>
          <w:sz w:val="20"/>
          <w:szCs w:val="20"/>
          <w:u w:val="single"/>
        </w:rPr>
        <w:t>Exchange Fund</w:t>
      </w:r>
      <w:r>
        <w:rPr>
          <w:sz w:val="20"/>
          <w:szCs w:val="20"/>
        </w:rPr>
        <w:t>”). The aggregate Per Share Merger Consideration payable to the Dissenting Shareholders who do not serve a notice of dissent under Section 238(5) of the Companies Act shall be added t</w:t>
      </w:r>
      <w:r>
        <w:rPr>
          <w:sz w:val="20"/>
          <w:szCs w:val="20"/>
        </w:rPr>
        <w:t>o the Exchange Fund at the relevant time. Parent (and on and after the Effective Time, the Surviving Company) shall pay, or cause to be paid, all charges and expenses, including those of the Paying Agent, in connection with the exchange of the Shares (othe</w:t>
      </w:r>
      <w:r>
        <w:rPr>
          <w:sz w:val="20"/>
          <w:szCs w:val="20"/>
        </w:rPr>
        <w:t>r than Excluded Shares) for the Per Share Merger Consideration.</w:t>
      </w:r>
    </w:p>
    <w:p w14:paraId="0D90D2AC"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7EEC1D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(b) </w:t>
      </w:r>
      <w:r>
        <w:rPr>
          <w:sz w:val="20"/>
          <w:szCs w:val="20"/>
          <w:u w:val="single"/>
        </w:rPr>
        <w:t>Exchange Procedures</w:t>
      </w:r>
      <w:r>
        <w:rPr>
          <w:sz w:val="20"/>
          <w:szCs w:val="20"/>
        </w:rPr>
        <w:t>.</w:t>
      </w:r>
    </w:p>
    <w:p w14:paraId="6D9009A8"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49CF7215"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xml:space="preserve">(1) Promptly after the Effective Time (and in any event not later than the fifth (5th) Business Day following the Closing Date), the Surviving Company shall cause </w:t>
      </w:r>
      <w:r>
        <w:rPr>
          <w:sz w:val="20"/>
          <w:szCs w:val="20"/>
        </w:rPr>
        <w:t>the Paying Agent to mail (including electronically) to each holder of record of Shares (other than Excluded Shares and Dissenting Shares) represented by certificates (the “</w:t>
      </w:r>
      <w:r>
        <w:rPr>
          <w:sz w:val="20"/>
          <w:szCs w:val="20"/>
          <w:u w:val="single"/>
        </w:rPr>
        <w:t>Certificates</w:t>
      </w:r>
      <w:r>
        <w:rPr>
          <w:sz w:val="20"/>
          <w:szCs w:val="20"/>
        </w:rPr>
        <w:t>”) or Shares not represented by Certificates (the “</w:t>
      </w:r>
      <w:r>
        <w:rPr>
          <w:sz w:val="20"/>
          <w:szCs w:val="20"/>
          <w:u w:val="single"/>
        </w:rPr>
        <w:t>Book-Entry Shares</w:t>
      </w:r>
      <w:r>
        <w:rPr>
          <w:sz w:val="20"/>
          <w:szCs w:val="20"/>
        </w:rPr>
        <w:t>”) w</w:t>
      </w:r>
      <w:r>
        <w:rPr>
          <w:sz w:val="20"/>
          <w:szCs w:val="20"/>
        </w:rPr>
        <w:t xml:space="preserve">hose Shares were converted into the right to receive the Per Share Merger Consideration pursuant to </w:t>
      </w:r>
      <w:r>
        <w:rPr>
          <w:sz w:val="20"/>
          <w:szCs w:val="20"/>
          <w:u w:val="single"/>
        </w:rPr>
        <w:t>Section 3.1</w:t>
      </w:r>
      <w:r>
        <w:rPr>
          <w:sz w:val="20"/>
          <w:szCs w:val="20"/>
        </w:rPr>
        <w:t xml:space="preserve">: (i) a letter of transmittal, which shall be in customary form for a company incorporated in the Cayman Islands reasonably acceptable to Parent </w:t>
      </w:r>
      <w:r>
        <w:rPr>
          <w:sz w:val="20"/>
          <w:szCs w:val="20"/>
        </w:rPr>
        <w:t>and the Company (at the direction of the Special Committee) and contain such other provisions as Parent and the Company (at the direction of the Special Committee) may reasonably agree, and which shall specify that delivery of such Certificates shall be de</w:t>
      </w:r>
      <w:r>
        <w:rPr>
          <w:sz w:val="20"/>
          <w:szCs w:val="20"/>
        </w:rPr>
        <w:t xml:space="preserve">emed to have occurred, and risk of loss and title to the Certificates, shall pass, only upon proper delivery of the Certificates (or affidavits and indemnities of loss in lieu of the Certificates as provided in </w:t>
      </w:r>
      <w:r>
        <w:rPr>
          <w:sz w:val="20"/>
          <w:szCs w:val="20"/>
          <w:u w:val="single"/>
        </w:rPr>
        <w:t>Section 3.2(g)</w:t>
      </w:r>
      <w:r>
        <w:rPr>
          <w:sz w:val="20"/>
          <w:szCs w:val="20"/>
        </w:rPr>
        <w:t>) to the Paying Agent, upon adh</w:t>
      </w:r>
      <w:r>
        <w:rPr>
          <w:sz w:val="20"/>
          <w:szCs w:val="20"/>
        </w:rPr>
        <w:t>erence to the customary procedures set forth in the letter of transmittal; and (ii) instructions for use in effecting the surrender of the Certificates (or affidavits and indemnities of loss in lieu of the Certificates) in exchange for payment of the Per S</w:t>
      </w:r>
      <w:r>
        <w:rPr>
          <w:sz w:val="20"/>
          <w:szCs w:val="20"/>
        </w:rPr>
        <w:t xml:space="preserve">hare Merger Consideration to which the holder thereof is entitled. Promptly following any Shares ceasing to be Dissenting Shares pursuant to </w:t>
      </w:r>
      <w:r>
        <w:rPr>
          <w:sz w:val="20"/>
          <w:szCs w:val="20"/>
          <w:u w:val="single"/>
        </w:rPr>
        <w:t>Section 3.4(b)</w:t>
      </w:r>
      <w:r>
        <w:rPr>
          <w:sz w:val="20"/>
          <w:szCs w:val="20"/>
        </w:rPr>
        <w:t xml:space="preserve"> (and in any event within five (5) Business Days thereafter), Parent shall at the relevant time cause</w:t>
      </w:r>
      <w:r>
        <w:rPr>
          <w:sz w:val="20"/>
          <w:szCs w:val="20"/>
        </w:rPr>
        <w:t xml:space="preserve"> the Paying Agent to mail (including electronically) to the applicable shareholders such letter of transmittal and instructions described in the immediately preceding sentence. Upon surrender of a Certificate (or affidavits and indemnities of loss in lieu </w:t>
      </w:r>
      <w:r>
        <w:rPr>
          <w:sz w:val="20"/>
          <w:szCs w:val="20"/>
        </w:rPr>
        <w:t xml:space="preserve">of the Certificates as provided in </w:t>
      </w:r>
      <w:r>
        <w:rPr>
          <w:sz w:val="20"/>
          <w:szCs w:val="20"/>
          <w:u w:val="single"/>
        </w:rPr>
        <w:t>Section 3.2(g)</w:t>
      </w:r>
      <w:r>
        <w:rPr>
          <w:sz w:val="20"/>
          <w:szCs w:val="20"/>
        </w:rPr>
        <w:t>) for cancellation to the Paying Agent together with such letter of transmittal, duly executed in accordance with the instructions thereto, the holder of such Certificate (or affidavits and indemnities of lo</w:t>
      </w:r>
      <w:r>
        <w:rPr>
          <w:sz w:val="20"/>
          <w:szCs w:val="20"/>
        </w:rPr>
        <w:t xml:space="preserve">ss in lieu of the Certificates as provided in </w:t>
      </w:r>
      <w:r>
        <w:rPr>
          <w:sz w:val="20"/>
          <w:szCs w:val="20"/>
          <w:u w:val="single"/>
        </w:rPr>
        <w:t>Section 3.2(g)</w:t>
      </w:r>
      <w:r>
        <w:rPr>
          <w:sz w:val="20"/>
          <w:szCs w:val="20"/>
        </w:rPr>
        <w:t>) shall be entitled to receive in exchange therefor cash, in the amount (after giving effect to any required withholding of Taxes) equal to (A) the number of Shares formerly represented by such Ce</w:t>
      </w:r>
      <w:r>
        <w:rPr>
          <w:sz w:val="20"/>
          <w:szCs w:val="20"/>
        </w:rPr>
        <w:t xml:space="preserve">rtificate (or affidavits and indemnities of loss in lieu of the Certificates as provided in </w:t>
      </w:r>
      <w:r>
        <w:rPr>
          <w:sz w:val="20"/>
          <w:szCs w:val="20"/>
          <w:u w:val="single"/>
        </w:rPr>
        <w:t>Section 3.2(g)</w:t>
      </w:r>
      <w:r>
        <w:rPr>
          <w:sz w:val="20"/>
          <w:szCs w:val="20"/>
        </w:rPr>
        <w:t>) multiplied by (B) the Per Share Merger Consideration, and the Certificate so surrendered shall forthwith be cancelled. As promptly as practicable af</w:t>
      </w:r>
      <w:r>
        <w:rPr>
          <w:sz w:val="20"/>
          <w:szCs w:val="20"/>
        </w:rPr>
        <w:t>ter the Effective Time (and in any event within five (5) Business Days after the Effective Time), the Surviving Company shall cause the Paying Agent to issue and deliver to each holder of Book-Entry Shares a check or wire transfer for the amount of cash th</w:t>
      </w:r>
      <w:r>
        <w:rPr>
          <w:sz w:val="20"/>
          <w:szCs w:val="20"/>
        </w:rPr>
        <w:t xml:space="preserve">at such holder is entitled to receive pursuant to </w:t>
      </w:r>
      <w:r>
        <w:rPr>
          <w:sz w:val="20"/>
          <w:szCs w:val="20"/>
          <w:u w:val="single"/>
        </w:rPr>
        <w:t>Section 3.1(a)</w:t>
      </w:r>
      <w:r>
        <w:rPr>
          <w:sz w:val="20"/>
          <w:szCs w:val="20"/>
        </w:rPr>
        <w:t xml:space="preserve"> in respect of such Book-Entry Shares (after giving effect to any required withholding of Taxes), without such holder being required to deliver a Certificate to the Paying Agent; </w:t>
      </w:r>
      <w:r>
        <w:rPr>
          <w:sz w:val="20"/>
          <w:szCs w:val="20"/>
          <w:u w:val="single"/>
        </w:rPr>
        <w:t>provided</w:t>
      </w:r>
      <w:r>
        <w:rPr>
          <w:sz w:val="20"/>
          <w:szCs w:val="20"/>
        </w:rPr>
        <w:t>, tha</w:t>
      </w:r>
      <w:r>
        <w:rPr>
          <w:sz w:val="20"/>
          <w:szCs w:val="20"/>
        </w:rPr>
        <w:t>t an “agent’s message” has been previously delivered to the Paying Agent regarding such Book-Entry Shares, and such Book-Entry Shares shall then cease to represent any right to receive the Per Share Merger Consideration hereunder. No interest shall be paid</w:t>
      </w:r>
      <w:r>
        <w:rPr>
          <w:sz w:val="20"/>
          <w:szCs w:val="20"/>
        </w:rPr>
        <w:t xml:space="preserve"> or accrued on the Per Share Merger Consideration payable to holders of Book-Entry Shares or Certificates.</w:t>
      </w:r>
    </w:p>
    <w:p w14:paraId="365879CE"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7B459612" w14:textId="77777777" w:rsidR="00000000" w:rsidRDefault="002F725F">
      <w:pPr>
        <w:pStyle w:val="NormalWeb"/>
        <w:spacing w:before="0" w:beforeAutospacing="0" w:after="0" w:afterAutospacing="0"/>
        <w:jc w:val="center"/>
        <w:divId w:val="1027103898"/>
        <w:rPr>
          <w:sz w:val="20"/>
          <w:szCs w:val="20"/>
        </w:rPr>
      </w:pPr>
      <w:r>
        <w:rPr>
          <w:sz w:val="20"/>
          <w:szCs w:val="20"/>
        </w:rPr>
        <w:t>A</w:t>
      </w:r>
      <w:r>
        <w:rPr>
          <w:sz w:val="20"/>
          <w:szCs w:val="20"/>
        </w:rPr>
        <w:t>-</w:t>
      </w:r>
      <w:r>
        <w:rPr>
          <w:sz w:val="20"/>
          <w:szCs w:val="20"/>
        </w:rPr>
        <w:t>1</w:t>
      </w:r>
      <w:r>
        <w:rPr>
          <w:sz w:val="20"/>
          <w:szCs w:val="20"/>
        </w:rPr>
        <w:t>6</w:t>
      </w:r>
    </w:p>
    <w:p w14:paraId="379B2042" w14:textId="77777777" w:rsidR="00000000" w:rsidRDefault="002F725F">
      <w:pPr>
        <w:pStyle w:val="NormalWeb"/>
        <w:spacing w:before="0" w:beforeAutospacing="0" w:after="0" w:afterAutospacing="0"/>
        <w:divId w:val="630937583"/>
        <w:rPr>
          <w:sz w:val="20"/>
          <w:szCs w:val="20"/>
        </w:rPr>
      </w:pPr>
      <w:r>
        <w:rPr>
          <w:sz w:val="20"/>
          <w:szCs w:val="20"/>
        </w:rPr>
        <w:t> </w:t>
      </w:r>
    </w:p>
    <w:p w14:paraId="55315739"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60EBF7FA"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(2) If any Per Share Merger Consideration is to be paid to a Person other than a Person in whose name the Certificate surrendered in excha</w:t>
      </w:r>
      <w:r>
        <w:rPr>
          <w:sz w:val="20"/>
          <w:szCs w:val="20"/>
        </w:rPr>
        <w:t>nge therefor is registered, it shall be a condition of such exchange that the (i) the Certificate so surrendered shall be accompanied by a proper form of transfer; and (ii) the Person requesting such exchange shall pay to the Paying Agent any transfer or o</w:t>
      </w:r>
      <w:r>
        <w:rPr>
          <w:sz w:val="20"/>
          <w:szCs w:val="20"/>
        </w:rPr>
        <w:t>ther Taxes required by reason of payment of the Per Share Merger Consideration to a Person other than the registered holder of the Certificate surrendered, or shall establish to the reasonable satisfaction of the Paying Agent that such Tax has been paid or</w:t>
      </w:r>
      <w:r>
        <w:rPr>
          <w:sz w:val="20"/>
          <w:szCs w:val="20"/>
        </w:rPr>
        <w:t xml:space="preserve"> is not applicable. Payment of the applicable Per Share Merger Consideration with respect to Book-Entry Shares shall only be made to the Person in whose name such Book-Entry Shares are registered.</w:t>
      </w:r>
    </w:p>
    <w:p w14:paraId="57951C9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lastRenderedPageBreak/>
        <w:t> </w:t>
      </w:r>
    </w:p>
    <w:p w14:paraId="0E76C6D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(c) </w:t>
      </w:r>
      <w:r>
        <w:rPr>
          <w:sz w:val="20"/>
          <w:szCs w:val="20"/>
          <w:u w:val="single"/>
        </w:rPr>
        <w:t>Investment of the Exchange Fund</w:t>
      </w:r>
      <w:r>
        <w:rPr>
          <w:sz w:val="20"/>
          <w:szCs w:val="20"/>
        </w:rPr>
        <w:t xml:space="preserve">. The Exchange Fund, pending its disbursements to the holders of the Shares, shall be invested by the Paying Agent as directed by Parent or, after the Effective Time, the Surviving Company; </w:t>
      </w:r>
      <w:r>
        <w:rPr>
          <w:sz w:val="20"/>
          <w:szCs w:val="20"/>
          <w:u w:val="single"/>
        </w:rPr>
        <w:t>provided</w:t>
      </w:r>
      <w:r>
        <w:rPr>
          <w:sz w:val="20"/>
          <w:szCs w:val="20"/>
        </w:rPr>
        <w:t>, that Parent or the Surviv</w:t>
      </w:r>
      <w:r>
        <w:rPr>
          <w:sz w:val="20"/>
          <w:szCs w:val="20"/>
        </w:rPr>
        <w:t>ing Company, as applicable, shall not direct the Paying Agent to make any such investment that is speculative in nature and that no such investment or loss shall relieve any of Parent, the Surviving Company or the Paying Agent from making the payments requ</w:t>
      </w:r>
      <w:r>
        <w:rPr>
          <w:sz w:val="20"/>
          <w:szCs w:val="20"/>
        </w:rPr>
        <w:t xml:space="preserve">ired by this </w:t>
      </w:r>
      <w:r>
        <w:rPr>
          <w:sz w:val="20"/>
          <w:szCs w:val="20"/>
          <w:u w:val="single"/>
        </w:rPr>
        <w:t>Article III</w:t>
      </w:r>
      <w:r>
        <w:rPr>
          <w:sz w:val="20"/>
          <w:szCs w:val="20"/>
        </w:rPr>
        <w:t>. Parent or the Surviving Company, as applicable, shall promptly replace or cause to be replaced any funds deposited with the Paying Agent that are lost through any investment to the extent necessary to ensure that the Exchange Fund</w:t>
      </w:r>
      <w:r>
        <w:rPr>
          <w:sz w:val="20"/>
          <w:szCs w:val="20"/>
        </w:rPr>
        <w:t xml:space="preserve"> is at all times maintained at a level sufficient for the Paying Agent to pay the Merger Consideration. Earnings from investments shall become a part of the Exchange Fund, and any amounts in excess of the aggregate amounts payable under this </w:t>
      </w:r>
      <w:r>
        <w:rPr>
          <w:sz w:val="20"/>
          <w:szCs w:val="20"/>
          <w:u w:val="single"/>
        </w:rPr>
        <w:t>Article III</w:t>
      </w:r>
      <w:r>
        <w:rPr>
          <w:sz w:val="20"/>
          <w:szCs w:val="20"/>
        </w:rPr>
        <w:t xml:space="preserve"> sh</w:t>
      </w:r>
      <w:r>
        <w:rPr>
          <w:sz w:val="20"/>
          <w:szCs w:val="20"/>
        </w:rPr>
        <w:t xml:space="preserve">all be returned to the Surviving Company. Except as contemplated by </w:t>
      </w:r>
      <w:r>
        <w:rPr>
          <w:sz w:val="20"/>
          <w:szCs w:val="20"/>
          <w:u w:val="single"/>
        </w:rPr>
        <w:t>Section 3.2(b)</w:t>
      </w:r>
      <w:r>
        <w:rPr>
          <w:sz w:val="20"/>
          <w:szCs w:val="20"/>
        </w:rPr>
        <w:t xml:space="preserve">, this </w:t>
      </w:r>
      <w:r>
        <w:rPr>
          <w:sz w:val="20"/>
          <w:szCs w:val="20"/>
          <w:u w:val="single"/>
        </w:rPr>
        <w:t>Section 3.2(c)</w:t>
      </w:r>
      <w:r>
        <w:rPr>
          <w:sz w:val="20"/>
          <w:szCs w:val="20"/>
        </w:rPr>
        <w:t xml:space="preserve">, </w:t>
      </w:r>
      <w:r>
        <w:rPr>
          <w:sz w:val="20"/>
          <w:szCs w:val="20"/>
          <w:u w:val="single"/>
        </w:rPr>
        <w:t>Section 3.2(e)</w:t>
      </w:r>
      <w:r>
        <w:rPr>
          <w:sz w:val="20"/>
          <w:szCs w:val="20"/>
        </w:rPr>
        <w:t xml:space="preserve"> and </w:t>
      </w:r>
      <w:r>
        <w:rPr>
          <w:sz w:val="20"/>
          <w:szCs w:val="20"/>
          <w:u w:val="single"/>
        </w:rPr>
        <w:t>Section 3.2(h)</w:t>
      </w:r>
      <w:r>
        <w:rPr>
          <w:sz w:val="20"/>
          <w:szCs w:val="20"/>
        </w:rPr>
        <w:t>, the Exchange Fund shall not be used for any other purpose.</w:t>
      </w:r>
    </w:p>
    <w:p w14:paraId="7DB6F4D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EDC4BB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(d) </w:t>
      </w:r>
      <w:r>
        <w:rPr>
          <w:sz w:val="20"/>
          <w:szCs w:val="20"/>
          <w:u w:val="single"/>
        </w:rPr>
        <w:t>No Transfers</w:t>
      </w:r>
      <w:r>
        <w:rPr>
          <w:sz w:val="20"/>
          <w:szCs w:val="20"/>
        </w:rPr>
        <w:t>. At the Effective Time, there shall be no further registration of transfers of the Shares that were issued and outstanding immediately prior to the Effective Time. If, after the Effective Time, Certificates or Book-Entry Shares are presented to the Surviv</w:t>
      </w:r>
      <w:r>
        <w:rPr>
          <w:sz w:val="20"/>
          <w:szCs w:val="20"/>
        </w:rPr>
        <w:t xml:space="preserve">ing Company or the Paying Agent for any reason, they shall be cancelled, in exchange for the right to receive the cash consideration to which the holders thereof are entitled under this </w:t>
      </w:r>
      <w:r>
        <w:rPr>
          <w:sz w:val="20"/>
          <w:szCs w:val="20"/>
          <w:u w:val="single"/>
        </w:rPr>
        <w:t>Article III</w:t>
      </w:r>
      <w:r>
        <w:rPr>
          <w:sz w:val="20"/>
          <w:szCs w:val="20"/>
        </w:rPr>
        <w:t xml:space="preserve"> in the case of Shares other than the Excluded Shares and t</w:t>
      </w:r>
      <w:r>
        <w:rPr>
          <w:sz w:val="20"/>
          <w:szCs w:val="20"/>
        </w:rPr>
        <w:t>he Dissenting Shares, except as otherwise provided by this Agreement or by Laws.</w:t>
      </w:r>
    </w:p>
    <w:p w14:paraId="1451F43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712AD2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(e) </w:t>
      </w:r>
      <w:r>
        <w:rPr>
          <w:sz w:val="20"/>
          <w:szCs w:val="20"/>
          <w:u w:val="single"/>
        </w:rPr>
        <w:t>Termination of Exchange Fund</w:t>
      </w:r>
      <w:r>
        <w:rPr>
          <w:sz w:val="20"/>
          <w:szCs w:val="20"/>
        </w:rPr>
        <w:t>. Any portion of the Exchange Fund (including all interest and the other proceeds of any investments thereof) that remains undistributed to t</w:t>
      </w:r>
      <w:r>
        <w:rPr>
          <w:sz w:val="20"/>
          <w:szCs w:val="20"/>
        </w:rPr>
        <w:t>he former holders of Shares for one (1) year after the Effective Time shall be delivered by the Paying Agent to the Surviving Company, and any former holders of Shares (other than the Excluded Shares) who have not theretofore complied with this </w:t>
      </w:r>
      <w:r>
        <w:rPr>
          <w:sz w:val="20"/>
          <w:szCs w:val="20"/>
          <w:u w:val="single"/>
        </w:rPr>
        <w:t>Section 3.2</w:t>
      </w:r>
      <w:r>
        <w:rPr>
          <w:sz w:val="20"/>
          <w:szCs w:val="20"/>
        </w:rPr>
        <w:t xml:space="preserve"> shall thereafter look only to the Surviving Company for the cash to which they are entitled pursuant to this </w:t>
      </w:r>
      <w:r>
        <w:rPr>
          <w:sz w:val="20"/>
          <w:szCs w:val="20"/>
          <w:u w:val="single"/>
        </w:rPr>
        <w:t>Article III</w:t>
      </w:r>
      <w:r>
        <w:rPr>
          <w:sz w:val="20"/>
          <w:szCs w:val="20"/>
        </w:rPr>
        <w:t xml:space="preserve"> without any interest thereon, upon compliance with the procedures in </w:t>
      </w:r>
      <w:r>
        <w:rPr>
          <w:sz w:val="20"/>
          <w:szCs w:val="20"/>
          <w:u w:val="single"/>
        </w:rPr>
        <w:t>Section 3.2(b)</w:t>
      </w:r>
      <w:r>
        <w:rPr>
          <w:sz w:val="20"/>
          <w:szCs w:val="20"/>
        </w:rPr>
        <w:t>, in each case subject to applicable abandoned prop</w:t>
      </w:r>
      <w:r>
        <w:rPr>
          <w:sz w:val="20"/>
          <w:szCs w:val="20"/>
        </w:rPr>
        <w:t>erty, escheat or similar Laws.</w:t>
      </w:r>
    </w:p>
    <w:p w14:paraId="1288D25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5F8FC3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(f) </w:t>
      </w:r>
      <w:r>
        <w:rPr>
          <w:sz w:val="20"/>
          <w:szCs w:val="20"/>
          <w:u w:val="single"/>
        </w:rPr>
        <w:t>No Liability</w:t>
      </w:r>
      <w:r>
        <w:rPr>
          <w:sz w:val="20"/>
          <w:szCs w:val="20"/>
        </w:rPr>
        <w:t>. Notwithstanding the foregoing, none of the Paying Agent, Parent, Merger Sub, the Rollover Shareholders, the Surviving Company, or the Company, or any shareholder, partner, member, Representative or Affilia</w:t>
      </w:r>
      <w:r>
        <w:rPr>
          <w:sz w:val="20"/>
          <w:szCs w:val="20"/>
        </w:rPr>
        <w:t>te thereof, shall be liable to any Person in respect of cash from the Exchange Fund delivered to a public official pursuant to any applicable abandoned property, escheat or similar Laws. Any portion of the Exchange Fund remaining unclaimed by former holder</w:t>
      </w:r>
      <w:r>
        <w:rPr>
          <w:sz w:val="20"/>
          <w:szCs w:val="20"/>
        </w:rPr>
        <w:t>s of Shares as of a date that is immediately prior to such time as such amounts would otherwise escheat to or become property of any Governmental Entity shall, to the fullest extent permitted by applicable Laws, become the property of the Surviving Company</w:t>
      </w:r>
      <w:r>
        <w:rPr>
          <w:sz w:val="20"/>
          <w:szCs w:val="20"/>
        </w:rPr>
        <w:t xml:space="preserve"> free and clear of any claims or interest of any Person previously entitled thereto.</w:t>
      </w:r>
    </w:p>
    <w:p w14:paraId="5BEF8EF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04C3ED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(g) </w:t>
      </w:r>
      <w:r>
        <w:rPr>
          <w:sz w:val="20"/>
          <w:szCs w:val="20"/>
          <w:u w:val="single"/>
        </w:rPr>
        <w:t>Lost, Stolen or Destroyed Certificate</w:t>
      </w:r>
      <w:r>
        <w:rPr>
          <w:sz w:val="20"/>
          <w:szCs w:val="20"/>
        </w:rPr>
        <w:t>. If any Certificate shall have been lost, stolen or destroyed, upon the making of an affidavit of that fact (such affidavit sha</w:t>
      </w:r>
      <w:r>
        <w:rPr>
          <w:sz w:val="20"/>
          <w:szCs w:val="20"/>
        </w:rPr>
        <w:t>ll be in a form reasonably satisfactory to the Surviving Company and the Paying Agent) by the Person claiming such Certificate to be lost, stolen or destroyed, and, if required by the Paying Agent or the Surviving Company, the posting by such Person of a b</w:t>
      </w:r>
      <w:r>
        <w:rPr>
          <w:sz w:val="20"/>
          <w:szCs w:val="20"/>
        </w:rPr>
        <w:t xml:space="preserve">ond in such reasonable amount as the Surviving Company may direct, and upon such terms as may be reasonably required by the Surviving Company or the Paying Agent, as indemnity against any claim that may be made against it with respect to such Certificate, </w:t>
      </w:r>
      <w:r>
        <w:rPr>
          <w:sz w:val="20"/>
          <w:szCs w:val="20"/>
        </w:rPr>
        <w:t>the Paying Agent or the Surviving Company, as the case may be, will issue in exchange for such lost, stolen or destroyed Certificate a check or wire transfer in the amount of the number of Shares represented by such lost, stolen or destroyed Certificate (o</w:t>
      </w:r>
      <w:r>
        <w:rPr>
          <w:sz w:val="20"/>
          <w:szCs w:val="20"/>
        </w:rPr>
        <w:t>ther than the Excluded Shares or the Dissenting Shares whose holders have served a valid notice of dissent under Section 238(5) of the Companies Act) </w:t>
      </w:r>
      <w:r>
        <w:rPr>
          <w:sz w:val="20"/>
          <w:szCs w:val="20"/>
          <w:u w:val="single"/>
        </w:rPr>
        <w:t>multiplied by</w:t>
      </w:r>
      <w:r>
        <w:rPr>
          <w:sz w:val="20"/>
          <w:szCs w:val="20"/>
        </w:rPr>
        <w:t> the Per Share Merger Consideration (less any applicable withholding Taxes), without any inte</w:t>
      </w:r>
      <w:r>
        <w:rPr>
          <w:sz w:val="20"/>
          <w:szCs w:val="20"/>
        </w:rPr>
        <w:t>rest thereon.</w:t>
      </w:r>
    </w:p>
    <w:p w14:paraId="5812D4C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578E17A" w14:textId="77777777" w:rsidR="00000000" w:rsidRDefault="002F725F">
      <w:pPr>
        <w:pStyle w:val="NormalWeb"/>
        <w:spacing w:before="0" w:beforeAutospacing="0" w:after="0" w:afterAutospacing="0"/>
        <w:jc w:val="center"/>
        <w:divId w:val="47073464"/>
        <w:rPr>
          <w:sz w:val="20"/>
          <w:szCs w:val="20"/>
        </w:rPr>
      </w:pPr>
      <w:r>
        <w:rPr>
          <w:sz w:val="20"/>
          <w:szCs w:val="20"/>
        </w:rPr>
        <w:t>A</w:t>
      </w:r>
      <w:r>
        <w:rPr>
          <w:sz w:val="20"/>
          <w:szCs w:val="20"/>
        </w:rPr>
        <w:t>-</w:t>
      </w:r>
      <w:r>
        <w:rPr>
          <w:sz w:val="20"/>
          <w:szCs w:val="20"/>
        </w:rPr>
        <w:t>1</w:t>
      </w:r>
      <w:r>
        <w:rPr>
          <w:sz w:val="20"/>
          <w:szCs w:val="20"/>
        </w:rPr>
        <w:t>7</w:t>
      </w:r>
    </w:p>
    <w:p w14:paraId="696EFEB4" w14:textId="77777777" w:rsidR="00000000" w:rsidRDefault="002F725F">
      <w:pPr>
        <w:pStyle w:val="NormalWeb"/>
        <w:spacing w:before="0" w:beforeAutospacing="0" w:after="0" w:afterAutospacing="0"/>
        <w:divId w:val="1304428549"/>
        <w:rPr>
          <w:sz w:val="20"/>
          <w:szCs w:val="20"/>
        </w:rPr>
      </w:pPr>
      <w:r>
        <w:rPr>
          <w:sz w:val="20"/>
          <w:szCs w:val="20"/>
        </w:rPr>
        <w:t> </w:t>
      </w:r>
    </w:p>
    <w:p w14:paraId="622E231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F062D0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lastRenderedPageBreak/>
        <w:t xml:space="preserve">(h) </w:t>
      </w:r>
      <w:r>
        <w:rPr>
          <w:sz w:val="20"/>
          <w:szCs w:val="20"/>
          <w:u w:val="single"/>
        </w:rPr>
        <w:t>Untraceable Shareholders</w:t>
      </w:r>
      <w:r>
        <w:rPr>
          <w:sz w:val="20"/>
          <w:szCs w:val="20"/>
        </w:rPr>
        <w:t>. Remittances for the Per Share Merger Consideration shall not be sent to holders of Shares who are untraceable unless and until, except as provided below, they notify the Surviving Company or the Paying</w:t>
      </w:r>
      <w:r>
        <w:rPr>
          <w:sz w:val="20"/>
          <w:szCs w:val="20"/>
        </w:rPr>
        <w:t xml:space="preserve"> Agent, as applicable, of their current contact details. A holder of Shares will be deemed to be untraceable if (i) such Person has no registered address in the register of members (or branch register) maintained by the Company; (ii) on the last two consec</w:t>
      </w:r>
      <w:r>
        <w:rPr>
          <w:sz w:val="20"/>
          <w:szCs w:val="20"/>
        </w:rPr>
        <w:t xml:space="preserve">utive occasions on which a dividend has been paid by the Company a check payable to such Person either (A) has been sent to such Person and has been returned undelivered or has not been cashed; or (B) has not been sent to such Person because on an earlier </w:t>
      </w:r>
      <w:r>
        <w:rPr>
          <w:sz w:val="20"/>
          <w:szCs w:val="20"/>
        </w:rPr>
        <w:t>occasion a check for a dividend so payable has been returned undelivered, and in any such case no valid claim in respect thereof has been communicated in writing to the Company; or (iii) notice of the Shareholders’ Meeting convened to vote on the Merger ha</w:t>
      </w:r>
      <w:r>
        <w:rPr>
          <w:sz w:val="20"/>
          <w:szCs w:val="20"/>
        </w:rPr>
        <w:t>s been sent to such Person and has been returned undelivered. Monies due to shareholders of the Company who are untraceable shall be returned to the Surviving Company on demand and held in a non-interest bearing bank account for the benefit of shareholders</w:t>
      </w:r>
      <w:r>
        <w:rPr>
          <w:sz w:val="20"/>
          <w:szCs w:val="20"/>
        </w:rPr>
        <w:t xml:space="preserve"> of the Company who are untraceable. Holders of Shares who are untraceable who subsequently wish to receive any monies otherwise payable in respect of the Merger within applicable time limits or limitation periods will be advised to contact the Surviving C</w:t>
      </w:r>
      <w:r>
        <w:rPr>
          <w:sz w:val="20"/>
          <w:szCs w:val="20"/>
        </w:rPr>
        <w:t>ompany.</w:t>
      </w:r>
    </w:p>
    <w:p w14:paraId="4AFA84C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7C42C85"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3.3 </w:t>
      </w:r>
      <w:r>
        <w:rPr>
          <w:sz w:val="20"/>
          <w:szCs w:val="20"/>
          <w:u w:val="single"/>
        </w:rPr>
        <w:t>Treatment of Equity Awards</w:t>
      </w:r>
      <w:r>
        <w:rPr>
          <w:sz w:val="20"/>
          <w:szCs w:val="20"/>
        </w:rPr>
        <w:t>.</w:t>
      </w:r>
    </w:p>
    <w:p w14:paraId="0BECB19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265244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(a) </w:t>
      </w:r>
      <w:r>
        <w:rPr>
          <w:sz w:val="20"/>
          <w:szCs w:val="20"/>
          <w:u w:val="single"/>
        </w:rPr>
        <w:t>Treatment of Company Options under 2020 Plan</w:t>
      </w:r>
      <w:r>
        <w:rPr>
          <w:sz w:val="20"/>
          <w:szCs w:val="20"/>
        </w:rPr>
        <w:t>. Each Company Option granted under the 2020 Plan that is not vested and is outstanding immediately prior to the Effective Time shall become fully vested as</w:t>
      </w:r>
      <w:r>
        <w:rPr>
          <w:sz w:val="20"/>
          <w:szCs w:val="20"/>
        </w:rPr>
        <w:t xml:space="preserve"> of the Effective Time. Each Company Option granted under the 2020 Plan that is fully vested and outstanding immediately prior to the Effective Time and the unvested Company Options that become fully vested as of the Effective Time pursuant to the precedin</w:t>
      </w:r>
      <w:r>
        <w:rPr>
          <w:sz w:val="20"/>
          <w:szCs w:val="20"/>
        </w:rPr>
        <w:t>g sentence shall be cancelled as of the Effective Time, automatically and without action by the holder of such Company Option, and immediately converted into the right to receive in exchange therefor an amount of cash equal to (i) the excess, if any, of (A</w:t>
      </w:r>
      <w:r>
        <w:rPr>
          <w:sz w:val="20"/>
          <w:szCs w:val="20"/>
        </w:rPr>
        <w:t>) the Per Share Merger Consideration over (B) the Exercise Price of such Company Option, multiplied by (ii) the number of Shares underlying such Company Option, which amount shall be paid as soon as reasonably practicable following the Effective Time by th</w:t>
      </w:r>
      <w:r>
        <w:rPr>
          <w:sz w:val="20"/>
          <w:szCs w:val="20"/>
        </w:rPr>
        <w:t xml:space="preserve">e Surviving Company; </w:t>
      </w:r>
      <w:r>
        <w:rPr>
          <w:sz w:val="20"/>
          <w:szCs w:val="20"/>
          <w:u w:val="single"/>
        </w:rPr>
        <w:t>provided</w:t>
      </w:r>
      <w:r>
        <w:rPr>
          <w:sz w:val="20"/>
          <w:szCs w:val="20"/>
        </w:rPr>
        <w:t>, that if the Exercise Price of any such vested Company Option is equal to or greater than the Per Share Merger Consideration, such vested Company Option shall be cancelled without any payment therefor.</w:t>
      </w:r>
    </w:p>
    <w:p w14:paraId="4D2D836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6169E1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(b) </w:t>
      </w:r>
      <w:r>
        <w:rPr>
          <w:sz w:val="20"/>
          <w:szCs w:val="20"/>
          <w:u w:val="single"/>
        </w:rPr>
        <w:t>Treatment of Compa</w:t>
      </w:r>
      <w:r>
        <w:rPr>
          <w:sz w:val="20"/>
          <w:szCs w:val="20"/>
          <w:u w:val="single"/>
        </w:rPr>
        <w:t>ny RSUs under 2020 Plan</w:t>
      </w:r>
      <w:r>
        <w:rPr>
          <w:sz w:val="20"/>
          <w:szCs w:val="20"/>
        </w:rPr>
        <w:t>. Each Company RSU granted under the 2020 Plan that is not vested and is outstanding immediately prior to the Effective Time shall become fully vested immediately prior to the Effective Time. Each Company RSU granted under the 2020 P</w:t>
      </w:r>
      <w:r>
        <w:rPr>
          <w:sz w:val="20"/>
          <w:szCs w:val="20"/>
        </w:rPr>
        <w:t>lan that is fully vested and outstanding immediately prior to the Effective Time and the unvested Company RSUs that become fully vested as of the Effective Time pursuant to the preceding sentence shall be cancelled as of the Effective Time, automatically a</w:t>
      </w:r>
      <w:r>
        <w:rPr>
          <w:sz w:val="20"/>
          <w:szCs w:val="20"/>
        </w:rPr>
        <w:t>nd without action by the holder of such Company RSU, and immediately converted into the right to receive in exchange therefor an amount of cash equal to (i) the Per Share Merger Consideration, multiplied by (ii) the number of Shares subject to such Company</w:t>
      </w:r>
      <w:r>
        <w:rPr>
          <w:sz w:val="20"/>
          <w:szCs w:val="20"/>
        </w:rPr>
        <w:t xml:space="preserve"> RSUs, which amount shall be paid as soon as reasonably practicable following the Effective Time by the Surviving Company.</w:t>
      </w:r>
    </w:p>
    <w:p w14:paraId="0CBBE7D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FBA1D3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(c) </w:t>
      </w:r>
      <w:r>
        <w:rPr>
          <w:sz w:val="20"/>
          <w:szCs w:val="20"/>
          <w:u w:val="single"/>
        </w:rPr>
        <w:t>Treatment of Company Options under 2024 Plan</w:t>
      </w:r>
      <w:r>
        <w:rPr>
          <w:sz w:val="20"/>
          <w:szCs w:val="20"/>
        </w:rPr>
        <w:t xml:space="preserve">. At the Effective Time, except as otherwise agreed to in writing between a holder </w:t>
      </w:r>
      <w:r>
        <w:rPr>
          <w:sz w:val="20"/>
          <w:szCs w:val="20"/>
        </w:rPr>
        <w:t>of a Company Option and Parent, by virtue of the Merger and without any action on the part of Parent, the Company or the holders of the Company Options under the 2024 Plan, each Company Option under the 2024 Plan, whether vested or unvested, shall be assum</w:t>
      </w:r>
      <w:r>
        <w:rPr>
          <w:sz w:val="20"/>
          <w:szCs w:val="20"/>
        </w:rPr>
        <w:t>ed by Parent as an option to purchase Parent Shares (each, an “</w:t>
      </w:r>
      <w:r>
        <w:rPr>
          <w:sz w:val="20"/>
          <w:szCs w:val="20"/>
          <w:u w:val="single"/>
        </w:rPr>
        <w:t>Assumed Option</w:t>
      </w:r>
      <w:r>
        <w:rPr>
          <w:sz w:val="20"/>
          <w:szCs w:val="20"/>
        </w:rPr>
        <w:t>”) under an equity incentive plan to be established by Parent, exercisable into a number of Parent Shares equal to the product of (i) the number of Shares subject to the correspon</w:t>
      </w:r>
      <w:r>
        <w:rPr>
          <w:sz w:val="20"/>
          <w:szCs w:val="20"/>
        </w:rPr>
        <w:t>ding Company Option immediately prior to the Effective Time, multiplied by (ii) a fraction (such ratio, the “</w:t>
      </w:r>
      <w:r>
        <w:rPr>
          <w:sz w:val="20"/>
          <w:szCs w:val="20"/>
          <w:u w:val="single"/>
        </w:rPr>
        <w:t>Exchange Ratio</w:t>
      </w:r>
      <w:r>
        <w:rPr>
          <w:sz w:val="20"/>
          <w:szCs w:val="20"/>
        </w:rPr>
        <w:t>”), the numerator of which is the Per Share Merger Consideration and the denominator of which is the fair market value of a Parent Sh</w:t>
      </w:r>
      <w:r>
        <w:rPr>
          <w:sz w:val="20"/>
          <w:szCs w:val="20"/>
        </w:rPr>
        <w:t>are as of the Effective Time, and rounding such product down to the nearest whole number of Parent Shares, with an exercise price per share subject to the Assumed Option equal to the exercise price for which the corresponding Company Option was exercisable</w:t>
      </w:r>
      <w:r>
        <w:rPr>
          <w:sz w:val="20"/>
          <w:szCs w:val="20"/>
        </w:rPr>
        <w:t xml:space="preserve"> immediately prior to the Effective Time divided by the Exchange Ratio, and rounded up to the nearest whole cent. Except as provided above, each Assumed Option shall continue to have, and be subject to, the same terms and conditions as the corresponding Co</w:t>
      </w:r>
      <w:r>
        <w:rPr>
          <w:sz w:val="20"/>
          <w:szCs w:val="20"/>
        </w:rPr>
        <w:t>mpany Option set forth in the 2024 Plan and the applicable award agreement as in effect immediately prior to the Effective Time.</w:t>
      </w:r>
    </w:p>
    <w:p w14:paraId="420089D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9B517C2" w14:textId="77777777" w:rsidR="00000000" w:rsidRDefault="002F725F">
      <w:pPr>
        <w:pStyle w:val="NormalWeb"/>
        <w:spacing w:before="0" w:beforeAutospacing="0" w:after="0" w:afterAutospacing="0"/>
        <w:jc w:val="center"/>
        <w:divId w:val="918564294"/>
        <w:rPr>
          <w:sz w:val="20"/>
          <w:szCs w:val="20"/>
        </w:rPr>
      </w:pPr>
      <w:r>
        <w:rPr>
          <w:sz w:val="20"/>
          <w:szCs w:val="20"/>
        </w:rPr>
        <w:t>A</w:t>
      </w:r>
      <w:r>
        <w:rPr>
          <w:sz w:val="20"/>
          <w:szCs w:val="20"/>
        </w:rPr>
        <w:t>-</w:t>
      </w:r>
      <w:r>
        <w:rPr>
          <w:sz w:val="20"/>
          <w:szCs w:val="20"/>
        </w:rPr>
        <w:t>1</w:t>
      </w:r>
      <w:r>
        <w:rPr>
          <w:sz w:val="20"/>
          <w:szCs w:val="20"/>
        </w:rPr>
        <w:t>8</w:t>
      </w:r>
    </w:p>
    <w:p w14:paraId="235D43B9" w14:textId="77777777" w:rsidR="00000000" w:rsidRDefault="002F725F">
      <w:pPr>
        <w:pStyle w:val="NormalWeb"/>
        <w:spacing w:before="0" w:beforeAutospacing="0" w:after="0" w:afterAutospacing="0"/>
        <w:divId w:val="731004581"/>
        <w:rPr>
          <w:sz w:val="20"/>
          <w:szCs w:val="20"/>
        </w:rPr>
      </w:pPr>
      <w:r>
        <w:rPr>
          <w:sz w:val="20"/>
          <w:szCs w:val="20"/>
        </w:rPr>
        <w:lastRenderedPageBreak/>
        <w:t> </w:t>
      </w:r>
    </w:p>
    <w:p w14:paraId="4BFBC64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4F37DB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(d) </w:t>
      </w:r>
      <w:r>
        <w:rPr>
          <w:sz w:val="20"/>
          <w:szCs w:val="20"/>
          <w:u w:val="single"/>
        </w:rPr>
        <w:t>Treatment of Company RSUs under 2024 Plan</w:t>
      </w:r>
      <w:r>
        <w:rPr>
          <w:sz w:val="20"/>
          <w:szCs w:val="20"/>
        </w:rPr>
        <w:t>. At the Effective Time, except as otherwise agreed to in writing between a holder of a Company RSU and Parent, by virtue of the Merger and without any action on the part of Parent, the Company or the holders of the Company RSUs under the 2024 Plan, each C</w:t>
      </w:r>
      <w:r>
        <w:rPr>
          <w:sz w:val="20"/>
          <w:szCs w:val="20"/>
        </w:rPr>
        <w:t>ompany RSU under the 2024 Plan, whether vested or unvested, shall be assumed by Parent as a restricted stock unit award with respect to a number of Parent Shares (each, an “</w:t>
      </w:r>
      <w:r>
        <w:rPr>
          <w:sz w:val="20"/>
          <w:szCs w:val="20"/>
          <w:u w:val="single"/>
        </w:rPr>
        <w:t>Assumed RSU</w:t>
      </w:r>
      <w:r>
        <w:rPr>
          <w:sz w:val="20"/>
          <w:szCs w:val="20"/>
        </w:rPr>
        <w:t>”) equal to the product of (i) the number of Shares subject to such Comp</w:t>
      </w:r>
      <w:r>
        <w:rPr>
          <w:sz w:val="20"/>
          <w:szCs w:val="20"/>
        </w:rPr>
        <w:t>any RSU immediately prior to the Effective Time, multiplied by (y) the Exchange Ratio, rounding such product down to the nearest whole number of Parent Shares. Except as provided above, each Assumed RSU shall continue to have, and be subject to, the same t</w:t>
      </w:r>
      <w:r>
        <w:rPr>
          <w:sz w:val="20"/>
          <w:szCs w:val="20"/>
        </w:rPr>
        <w:t>erms and conditions as the corresponding Company RSU set forth in the under the 2024 Plan and the applicable award agreement as in effect immediately prior to the Effective Time. </w:t>
      </w:r>
    </w:p>
    <w:p w14:paraId="5C2ADE7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3A4BD1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(e) </w:t>
      </w:r>
      <w:r>
        <w:rPr>
          <w:sz w:val="20"/>
          <w:szCs w:val="20"/>
          <w:u w:val="single"/>
        </w:rPr>
        <w:t>Alternative Arrangement</w:t>
      </w:r>
      <w:r>
        <w:rPr>
          <w:sz w:val="20"/>
          <w:szCs w:val="20"/>
        </w:rPr>
        <w:t>. The Company acknowledges that Parent may seek</w:t>
      </w:r>
      <w:r>
        <w:rPr>
          <w:sz w:val="20"/>
          <w:szCs w:val="20"/>
        </w:rPr>
        <w:t>, prior to the Closing Date, to agree with an individual holder of a Company Equity Award that all or a portion of such holder’s Company Equity Awards shall not be treated as provided herein, but shall instead be treated as otherwise agreed by and among su</w:t>
      </w:r>
      <w:r>
        <w:rPr>
          <w:sz w:val="20"/>
          <w:szCs w:val="20"/>
        </w:rPr>
        <w:t xml:space="preserve">ch holder, the Company and Parent; provided, that in no event will such arrangement result in the assumption, substitution or continuation of such Company Equity Award with terms and conditions that provide additional benefits to such individual holder as </w:t>
      </w:r>
      <w:r>
        <w:rPr>
          <w:sz w:val="20"/>
          <w:szCs w:val="20"/>
        </w:rPr>
        <w:t>compared to terms and conditions in effect immediately prior to the Effective Time. The Company agrees that, to the extent that Parent has identified to the Company in writing, at least fifteen (15) days prior to the Closing Date, the individuals with whom</w:t>
      </w:r>
      <w:r>
        <w:rPr>
          <w:sz w:val="20"/>
          <w:szCs w:val="20"/>
        </w:rPr>
        <w:t xml:space="preserve"> it is seeking agreement with respect to such Company Equity Award, the Company shall use commercially reasonable efforts to facilitate Parent’s access to such individuals in order to discuss such alternative arrangement.</w:t>
      </w:r>
    </w:p>
    <w:p w14:paraId="11F7EB7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F11C7E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(f) </w:t>
      </w:r>
      <w:r>
        <w:rPr>
          <w:sz w:val="20"/>
          <w:szCs w:val="20"/>
          <w:u w:val="single"/>
        </w:rPr>
        <w:t>Payment</w:t>
      </w:r>
      <w:r>
        <w:rPr>
          <w:sz w:val="20"/>
          <w:szCs w:val="20"/>
        </w:rPr>
        <w:t>. Any payment under t</w:t>
      </w:r>
      <w:r>
        <w:rPr>
          <w:sz w:val="20"/>
          <w:szCs w:val="20"/>
        </w:rPr>
        <w:t xml:space="preserve">his </w:t>
      </w:r>
      <w:r>
        <w:rPr>
          <w:sz w:val="20"/>
          <w:szCs w:val="20"/>
          <w:u w:val="single"/>
        </w:rPr>
        <w:t>Section 3.3</w:t>
      </w:r>
      <w:r>
        <w:rPr>
          <w:sz w:val="20"/>
          <w:szCs w:val="20"/>
        </w:rPr>
        <w:t xml:space="preserve"> shall be made at or as soon as reasonably practicable after the Effective Time pursuant to the Company’s ordinary payroll practices and subject to all applicable Taxes and Tax withholding requirements, each applicable withholding agent shal</w:t>
      </w:r>
      <w:r>
        <w:rPr>
          <w:sz w:val="20"/>
          <w:szCs w:val="20"/>
        </w:rPr>
        <w:t>l be entitled to withhold Taxes under applicable Tax Laws in respect thereof, and each former holder of Company Options and/or Company RSUs shall be personally responsible for the proper reporting and payment of all Taxes related to any distribution contem</w:t>
      </w:r>
      <w:r>
        <w:rPr>
          <w:sz w:val="20"/>
          <w:szCs w:val="20"/>
        </w:rPr>
        <w:t xml:space="preserve">plated by this </w:t>
      </w:r>
      <w:r>
        <w:rPr>
          <w:sz w:val="20"/>
          <w:szCs w:val="20"/>
          <w:u w:val="single"/>
        </w:rPr>
        <w:t>Section 3.3</w:t>
      </w:r>
      <w:r>
        <w:rPr>
          <w:sz w:val="20"/>
          <w:szCs w:val="20"/>
        </w:rPr>
        <w:t>.</w:t>
      </w:r>
    </w:p>
    <w:p w14:paraId="182E597C"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52BB40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(g) </w:t>
      </w:r>
      <w:r>
        <w:rPr>
          <w:sz w:val="20"/>
          <w:szCs w:val="20"/>
          <w:u w:val="single"/>
        </w:rPr>
        <w:t>Consent and Notification</w:t>
      </w:r>
      <w:r>
        <w:rPr>
          <w:sz w:val="20"/>
          <w:szCs w:val="20"/>
        </w:rPr>
        <w:t>. At or prior to the Effective Time, the Company, the Board and/or the compensation committee of the Board, as applicable, shall pass any resolutions and take any actions which are reasonably necess</w:t>
      </w:r>
      <w:r>
        <w:rPr>
          <w:sz w:val="20"/>
          <w:szCs w:val="20"/>
        </w:rPr>
        <w:t xml:space="preserve">ary to effectuate the provisions of this </w:t>
      </w:r>
      <w:r>
        <w:rPr>
          <w:sz w:val="20"/>
          <w:szCs w:val="20"/>
          <w:u w:val="single"/>
        </w:rPr>
        <w:t>Section 3.3</w:t>
      </w:r>
      <w:r>
        <w:rPr>
          <w:sz w:val="20"/>
          <w:szCs w:val="20"/>
        </w:rPr>
        <w:t>. As promptly as reasonably practicable following the date hereof, the Company shall use its reasonable efforts to deliver written notice to each holder of Company Options or Company RSUs informing such h</w:t>
      </w:r>
      <w:r>
        <w:rPr>
          <w:sz w:val="20"/>
          <w:szCs w:val="20"/>
        </w:rPr>
        <w:t xml:space="preserve">older of the treatment of such Company Options or Company RSUs contemplated by this </w:t>
      </w:r>
      <w:r>
        <w:rPr>
          <w:sz w:val="20"/>
          <w:szCs w:val="20"/>
          <w:u w:val="single"/>
        </w:rPr>
        <w:t>Section 3.3</w:t>
      </w:r>
      <w:r>
        <w:rPr>
          <w:sz w:val="20"/>
          <w:szCs w:val="20"/>
        </w:rPr>
        <w:t>. At or prior to the Effective Time, the Company shall terminate the Share Incentive Plans and all award agreements entered into under Company Options and Compan</w:t>
      </w:r>
      <w:r>
        <w:rPr>
          <w:sz w:val="20"/>
          <w:szCs w:val="20"/>
        </w:rPr>
        <w:t>y RSUs, effective as of the Effective Time.</w:t>
      </w:r>
    </w:p>
    <w:p w14:paraId="38A5488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7DD4049"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3.4 </w:t>
      </w:r>
      <w:r>
        <w:rPr>
          <w:sz w:val="20"/>
          <w:szCs w:val="20"/>
          <w:u w:val="single"/>
        </w:rPr>
        <w:t>Dissenting Shares</w:t>
      </w:r>
      <w:r>
        <w:rPr>
          <w:sz w:val="20"/>
          <w:szCs w:val="20"/>
        </w:rPr>
        <w:t>.</w:t>
      </w:r>
    </w:p>
    <w:p w14:paraId="3DF7FC0C"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D8D35CB"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Notwithstanding any provision of this Agreement to the contrary and if and to the extent available under the Companies Act, all Shares that are issued and outstanding immedi</w:t>
      </w:r>
      <w:r>
        <w:rPr>
          <w:sz w:val="20"/>
          <w:szCs w:val="20"/>
        </w:rPr>
        <w:t xml:space="preserve">ately prior to the Effective Time and that are held by shareholders of the Company who have validly exercised and not effectively withdrawn or lost their rights to dissent from the Merger in accordance with Section 238 of the Companies Act (whether due to </w:t>
      </w:r>
      <w:r>
        <w:rPr>
          <w:sz w:val="20"/>
          <w:szCs w:val="20"/>
        </w:rPr>
        <w:t>failure to comply with any procedural requirements of Section 238 of the Companies Act or otherwise) (collectively, the “</w:t>
      </w:r>
      <w:r>
        <w:rPr>
          <w:sz w:val="20"/>
          <w:szCs w:val="20"/>
          <w:u w:val="single"/>
        </w:rPr>
        <w:t>Dissenting Shares</w:t>
      </w:r>
      <w:r>
        <w:rPr>
          <w:sz w:val="20"/>
          <w:szCs w:val="20"/>
        </w:rPr>
        <w:t>,” and holders of the Dissenting Shares collectively, the “</w:t>
      </w:r>
      <w:r>
        <w:rPr>
          <w:sz w:val="20"/>
          <w:szCs w:val="20"/>
          <w:u w:val="single"/>
        </w:rPr>
        <w:t>Dissenting Shareholders</w:t>
      </w:r>
      <w:r>
        <w:rPr>
          <w:sz w:val="20"/>
          <w:szCs w:val="20"/>
        </w:rPr>
        <w:t>”) shall be cancelled and cease to e</w:t>
      </w:r>
      <w:r>
        <w:rPr>
          <w:sz w:val="20"/>
          <w:szCs w:val="20"/>
        </w:rPr>
        <w:t>xist at the Effective Time and the Dissenting Shareholders shall have no right to receive the Per Share Merger Consideration and shall instead upon serving a valid written notice of dissent under Section 238(5) of the Companies Act be entitled to receive o</w:t>
      </w:r>
      <w:r>
        <w:rPr>
          <w:sz w:val="20"/>
          <w:szCs w:val="20"/>
        </w:rPr>
        <w:t>nly the payment of the fair value of such Dissenting Shares held by them determined in accordance with the provisions of Section 238 of the Companies Act.</w:t>
      </w:r>
    </w:p>
    <w:p w14:paraId="5D5599F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80178D2" w14:textId="77777777" w:rsidR="00000000" w:rsidRDefault="002F725F">
      <w:pPr>
        <w:pStyle w:val="NormalWeb"/>
        <w:spacing w:before="0" w:beforeAutospacing="0" w:after="0" w:afterAutospacing="0"/>
        <w:jc w:val="center"/>
        <w:divId w:val="1436554903"/>
        <w:rPr>
          <w:sz w:val="20"/>
          <w:szCs w:val="20"/>
        </w:rPr>
      </w:pPr>
      <w:r>
        <w:rPr>
          <w:sz w:val="20"/>
          <w:szCs w:val="20"/>
        </w:rPr>
        <w:t>A</w:t>
      </w:r>
      <w:r>
        <w:rPr>
          <w:sz w:val="20"/>
          <w:szCs w:val="20"/>
        </w:rPr>
        <w:t>-</w:t>
      </w:r>
      <w:r>
        <w:rPr>
          <w:sz w:val="20"/>
          <w:szCs w:val="20"/>
        </w:rPr>
        <w:t>1</w:t>
      </w:r>
      <w:r>
        <w:rPr>
          <w:sz w:val="20"/>
          <w:szCs w:val="20"/>
        </w:rPr>
        <w:t>9</w:t>
      </w:r>
    </w:p>
    <w:p w14:paraId="2B84D812" w14:textId="77777777" w:rsidR="00000000" w:rsidRDefault="002F725F">
      <w:pPr>
        <w:pStyle w:val="NormalWeb"/>
        <w:spacing w:before="0" w:beforeAutospacing="0" w:after="0" w:afterAutospacing="0"/>
        <w:divId w:val="519196466"/>
        <w:rPr>
          <w:sz w:val="20"/>
          <w:szCs w:val="20"/>
        </w:rPr>
      </w:pPr>
      <w:r>
        <w:rPr>
          <w:sz w:val="20"/>
          <w:szCs w:val="20"/>
        </w:rPr>
        <w:lastRenderedPageBreak/>
        <w:t> </w:t>
      </w:r>
    </w:p>
    <w:p w14:paraId="226204D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5600E2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For the avoidance of doubt, if any shareholder has failed to validly exercise or perfe</w:t>
      </w:r>
      <w:r>
        <w:rPr>
          <w:sz w:val="20"/>
          <w:szCs w:val="20"/>
        </w:rPr>
        <w:t>ct its dissenter’s rights pursuant to Section 238 of the Companies Act, or if any shareholder who has taken any step to exercise its dissenter’s rights pursuant to Section 238 of the Companies Act (e.g., the giving of a written objection pursuant to Sectio</w:t>
      </w:r>
      <w:r>
        <w:rPr>
          <w:sz w:val="20"/>
          <w:szCs w:val="20"/>
        </w:rPr>
        <w:t>n 238(2) of the Companies Act) subsequently withdraws or loses its dissenter’s rights pursuant to the Companies Act (whether due to its failure to comply with any procedural requirements of Section 238 of the Companies Act or otherwise) with respect to any</w:t>
      </w:r>
      <w:r>
        <w:rPr>
          <w:sz w:val="20"/>
          <w:szCs w:val="20"/>
        </w:rPr>
        <w:t xml:space="preserve"> Dissenting Shares, such Shares shall thereupon not be Dissenting Shares and shall be cancelled and cease to exist as of the Effective Time, in exchange for the right to receive the Per Share Merger Consideration, without any interest thereon, in the manne</w:t>
      </w:r>
      <w:r>
        <w:rPr>
          <w:sz w:val="20"/>
          <w:szCs w:val="20"/>
        </w:rPr>
        <w:t>r provided in ‎</w:t>
      </w:r>
      <w:r>
        <w:rPr>
          <w:sz w:val="20"/>
          <w:szCs w:val="20"/>
          <w:u w:val="single"/>
        </w:rPr>
        <w:t>Section 3.2</w:t>
      </w:r>
      <w:r>
        <w:rPr>
          <w:sz w:val="20"/>
          <w:szCs w:val="20"/>
        </w:rPr>
        <w:t xml:space="preserve"> at the later of (i) the Effective Time; and (ii) the occurrence of such event. Parent or the Surviving Company, as applicable, shall promptly deposit or cause to be deposited cash in immediately available funds into the Exchange </w:t>
      </w:r>
      <w:r>
        <w:rPr>
          <w:sz w:val="20"/>
          <w:szCs w:val="20"/>
        </w:rPr>
        <w:t>Fund in an amount equal to the product of (A) the number of Shares for which such shareholder has lost its dissenter’s rights pursuant to the Companies Act and (B) the Per Share Merger Consideration.</w:t>
      </w:r>
    </w:p>
    <w:p w14:paraId="710B156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513FFAB6"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(c) The Company shall give Parent (i) prompt notice of</w:t>
      </w:r>
      <w:r>
        <w:rPr>
          <w:sz w:val="20"/>
          <w:szCs w:val="20"/>
        </w:rPr>
        <w:t xml:space="preserve"> any written notices of objection, notices of dissent or demands for appraisal received by the Company, written withdrawals of such notices, demands or offers, any other such notices or demands, and any other instruments served pursuant to applicable Laws </w:t>
      </w:r>
      <w:r>
        <w:rPr>
          <w:sz w:val="20"/>
          <w:szCs w:val="20"/>
        </w:rPr>
        <w:t xml:space="preserve">of the Cayman Islands and received by the Company relating to its shareholders’ rights to dissent from the Merger; and (ii) the opportunity to participate in negotiations and Legal Proceedings with respect to demands for appraisal under the Companies Act. </w:t>
      </w:r>
      <w:r>
        <w:rPr>
          <w:sz w:val="20"/>
          <w:szCs w:val="20"/>
        </w:rPr>
        <w:t>Prior to the Effective Time, the Company shall not, except with the prior written consent of Parent, voluntarily make any offer or payment with respect to any exercise by a shareholder of its rights to dissent from the Merger or any demands for appraisal o</w:t>
      </w:r>
      <w:r>
        <w:rPr>
          <w:sz w:val="20"/>
          <w:szCs w:val="20"/>
        </w:rPr>
        <w:t>r offer to settle or settle any such demands or approve any withdrawal of any such demands.</w:t>
      </w:r>
    </w:p>
    <w:p w14:paraId="1E81F54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AAA8FFB"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3.5 </w:t>
      </w:r>
      <w:r>
        <w:rPr>
          <w:sz w:val="20"/>
          <w:szCs w:val="20"/>
          <w:u w:val="single"/>
        </w:rPr>
        <w:t>Withholding Rights</w:t>
      </w:r>
      <w:r>
        <w:rPr>
          <w:sz w:val="20"/>
          <w:szCs w:val="20"/>
        </w:rPr>
        <w:t>. Each of Parent, Merger Sub, the Surviving Company, the Paying Agent and any other Person that has a payment obligation pursuant to</w:t>
      </w:r>
      <w:r>
        <w:rPr>
          <w:sz w:val="20"/>
          <w:szCs w:val="20"/>
        </w:rPr>
        <w:t xml:space="preserve"> this Agreement shall be entitled to deduct and withhold from the consideration otherwise payable pursuant to this Agreement to any holder of Shares, Company Options and Company RSUs such amounts as are required to be deducted or withheld therefrom under t</w:t>
      </w:r>
      <w:r>
        <w:rPr>
          <w:sz w:val="20"/>
          <w:szCs w:val="20"/>
        </w:rPr>
        <w:t>he Code or any provision of any other applicable Law relating to Taxes. To the extent that amounts are so deducted or withheld by Parent, Merger Sub, the Surviving Company, the Paying Agent or any other Person that has a payment obligation pursuant to this</w:t>
      </w:r>
      <w:r>
        <w:rPr>
          <w:sz w:val="20"/>
          <w:szCs w:val="20"/>
        </w:rPr>
        <w:t xml:space="preserve"> Agreement, such amounts shall be treated for all purposes of this Agreement as having been paid to the Person to whom such amounts would otherwise have been paid.</w:t>
      </w:r>
    </w:p>
    <w:p w14:paraId="7C629A6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DCB2661" w14:textId="77777777" w:rsidR="00000000" w:rsidRDefault="002F725F">
      <w:pPr>
        <w:pStyle w:val="NormalWeb"/>
        <w:spacing w:before="0" w:beforeAutospacing="0" w:after="0" w:afterAutospacing="0"/>
        <w:jc w:val="center"/>
        <w:divId w:val="1502117088"/>
        <w:rPr>
          <w:sz w:val="20"/>
          <w:szCs w:val="20"/>
        </w:rPr>
      </w:pPr>
      <w:r>
        <w:rPr>
          <w:sz w:val="20"/>
          <w:szCs w:val="20"/>
        </w:rPr>
        <w:t>A</w:t>
      </w:r>
      <w:r>
        <w:rPr>
          <w:sz w:val="20"/>
          <w:szCs w:val="20"/>
        </w:rPr>
        <w:t>-</w:t>
      </w:r>
      <w:r>
        <w:rPr>
          <w:sz w:val="20"/>
          <w:szCs w:val="20"/>
        </w:rPr>
        <w:t>2</w:t>
      </w:r>
      <w:r>
        <w:rPr>
          <w:sz w:val="20"/>
          <w:szCs w:val="20"/>
        </w:rPr>
        <w:t>0</w:t>
      </w:r>
    </w:p>
    <w:p w14:paraId="258C4EE7" w14:textId="77777777" w:rsidR="00000000" w:rsidRDefault="002F725F">
      <w:pPr>
        <w:pStyle w:val="NormalWeb"/>
        <w:spacing w:before="0" w:beforeAutospacing="0" w:after="0" w:afterAutospacing="0"/>
        <w:divId w:val="1504198848"/>
        <w:rPr>
          <w:sz w:val="20"/>
          <w:szCs w:val="20"/>
        </w:rPr>
      </w:pPr>
      <w:r>
        <w:rPr>
          <w:sz w:val="20"/>
          <w:szCs w:val="20"/>
        </w:rPr>
        <w:t> </w:t>
      </w:r>
    </w:p>
    <w:p w14:paraId="12BBAA8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48A59EE"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3.6 </w:t>
      </w:r>
      <w:r>
        <w:rPr>
          <w:sz w:val="20"/>
          <w:szCs w:val="20"/>
          <w:u w:val="single"/>
        </w:rPr>
        <w:t>No Further Dividends</w:t>
      </w:r>
      <w:r>
        <w:rPr>
          <w:sz w:val="20"/>
          <w:szCs w:val="20"/>
        </w:rPr>
        <w:t xml:space="preserve">. </w:t>
      </w:r>
      <w:r>
        <w:rPr>
          <w:sz w:val="20"/>
          <w:szCs w:val="20"/>
        </w:rPr>
        <w:t>No dividends or other distributions with respect to the share capital of the Surviving Company with a record date on or after the Effective Time shall be paid to the holder of any un-surrendered Certificates.</w:t>
      </w:r>
    </w:p>
    <w:p w14:paraId="0AA8EB9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D629118"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3.7 </w:t>
      </w:r>
      <w:r>
        <w:rPr>
          <w:sz w:val="20"/>
          <w:szCs w:val="20"/>
          <w:u w:val="single"/>
        </w:rPr>
        <w:t>Merger Consideration and Fair Val</w:t>
      </w:r>
      <w:r>
        <w:rPr>
          <w:sz w:val="20"/>
          <w:szCs w:val="20"/>
          <w:u w:val="single"/>
        </w:rPr>
        <w:t>ue</w:t>
      </w:r>
      <w:r>
        <w:rPr>
          <w:sz w:val="20"/>
          <w:szCs w:val="20"/>
        </w:rPr>
        <w:t>. Parent, Merger Sub and the Company respectively agree that the Per Share Merger Consideration is equal to or greater than the fair value of the Shares for the purposes of Section 238(8) of the Companies Act.</w:t>
      </w:r>
    </w:p>
    <w:p w14:paraId="1964F0A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0711394"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Article IV</w:t>
      </w:r>
      <w:r>
        <w:rPr>
          <w:b/>
          <w:bCs/>
          <w:caps/>
          <w:sz w:val="20"/>
          <w:szCs w:val="20"/>
        </w:rPr>
        <w:br/>
        <w:t xml:space="preserve">REPRESENTATIONS AND WARRANTIES </w:t>
      </w:r>
      <w:r>
        <w:rPr>
          <w:b/>
          <w:bCs/>
          <w:caps/>
          <w:sz w:val="20"/>
          <w:szCs w:val="20"/>
        </w:rPr>
        <w:t>OF THE COMPANY</w:t>
      </w:r>
    </w:p>
    <w:p w14:paraId="1D08F799"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7C0F727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Except (a) as and to the extent set forth in the Company SEC Reports filed prior to the date of this Agreement, without giving effect to any amendment to any such Company SEC Report filed on or after the date hereof and excluding any risk </w:t>
      </w:r>
      <w:r>
        <w:rPr>
          <w:sz w:val="20"/>
          <w:szCs w:val="20"/>
        </w:rPr>
        <w:t xml:space="preserve">factor disclosures contained under the heading “Risk Factors” and any disclosure of risks included in any “Forward-Looking Statements” disclaimer to the extent they are cautionary, predictive or forward-looking in </w:t>
      </w:r>
      <w:r>
        <w:rPr>
          <w:sz w:val="20"/>
          <w:szCs w:val="20"/>
        </w:rPr>
        <w:lastRenderedPageBreak/>
        <w:t>nature, in each case, other than any speci</w:t>
      </w:r>
      <w:r>
        <w:rPr>
          <w:sz w:val="20"/>
          <w:szCs w:val="20"/>
        </w:rPr>
        <w:t xml:space="preserve">fic factual information contained therein, or (b) for any information that would cause one or more of the representations and warranties contained in this </w:t>
      </w:r>
      <w:r>
        <w:rPr>
          <w:sz w:val="20"/>
          <w:szCs w:val="20"/>
          <w:u w:val="single"/>
        </w:rPr>
        <w:t>‎Article IV</w:t>
      </w:r>
      <w:r>
        <w:rPr>
          <w:sz w:val="20"/>
          <w:szCs w:val="20"/>
        </w:rPr>
        <w:t xml:space="preserve"> to be untrue or incorrect, of which any of Parent, Merger Sub, the Sponsor or any of the </w:t>
      </w:r>
      <w:r>
        <w:rPr>
          <w:sz w:val="20"/>
          <w:szCs w:val="20"/>
        </w:rPr>
        <w:t>Sponsor’s Affiliates or any Representative of the Sponsor or its Affiliates has knowledge, or should have knowledge after due inquiry, prior to the date of this Agreement, the Company represents and warrants to Parent and Merger Sub as follows:</w:t>
      </w:r>
    </w:p>
    <w:p w14:paraId="77A6F67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B499508" w14:textId="77777777" w:rsidR="00000000" w:rsidRDefault="002F725F">
      <w:pPr>
        <w:pStyle w:val="NormalWeb"/>
        <w:spacing w:before="0" w:beforeAutospacing="0" w:after="0" w:afterAutospacing="0"/>
        <w:jc w:val="both"/>
        <w:divId w:val="415980837"/>
        <w:rPr>
          <w:sz w:val="20"/>
          <w:szCs w:val="20"/>
        </w:rPr>
      </w:pPr>
      <w:r>
        <w:rPr>
          <w:sz w:val="20"/>
          <w:szCs w:val="20"/>
        </w:rPr>
        <w:t>Section 4</w:t>
      </w:r>
      <w:r>
        <w:rPr>
          <w:sz w:val="20"/>
          <w:szCs w:val="20"/>
        </w:rPr>
        <w:t xml:space="preserve">.1 </w:t>
      </w:r>
      <w:r>
        <w:rPr>
          <w:sz w:val="20"/>
          <w:szCs w:val="20"/>
          <w:u w:val="single"/>
        </w:rPr>
        <w:t>Organization</w:t>
      </w:r>
      <w:r>
        <w:rPr>
          <w:sz w:val="20"/>
          <w:szCs w:val="20"/>
        </w:rPr>
        <w:t xml:space="preserve">. Each of the Group Companies is a corporation or other entity duly incorporated or organized, as applicable, validly existing and in good standing (to the extent the relevant jurisdiction recognizes such concept of good standing) under the </w:t>
      </w:r>
      <w:r>
        <w:rPr>
          <w:sz w:val="20"/>
          <w:szCs w:val="20"/>
        </w:rPr>
        <w:t>Laws of the jurisdiction of its incorporation or organization and has the requisite corporate or similar power and authority to own, lease, operate and use its properties and assets and to carry on its business as it is now being conducted, except where th</w:t>
      </w:r>
      <w:r>
        <w:rPr>
          <w:sz w:val="20"/>
          <w:szCs w:val="20"/>
        </w:rPr>
        <w:t>e failure to have such power or authority would not reasonably be expected to have, individually or in the aggregate, a Company Material Adverse Effect. Each of the Group Companies is duly qualified or licensed to do business and is in good standing (to th</w:t>
      </w:r>
      <w:r>
        <w:rPr>
          <w:sz w:val="20"/>
          <w:szCs w:val="20"/>
        </w:rPr>
        <w:t xml:space="preserve">e extent the relevant jurisdiction recognizes such concept of good standing) in each jurisdiction where the character of the properties and assets owned, leased, operated or used by it or the nature of the business conducted by it makes such qualification </w:t>
      </w:r>
      <w:r>
        <w:rPr>
          <w:sz w:val="20"/>
          <w:szCs w:val="20"/>
        </w:rPr>
        <w:t>or licensing necessary, except where the failure to be so duly qualified, licensed or in good standing would not reasonably be expected to have, individually or in the aggregate, a Company Material Adverse Effect.</w:t>
      </w:r>
    </w:p>
    <w:p w14:paraId="30E74C7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46D5509"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4.2 </w:t>
      </w:r>
      <w:r>
        <w:rPr>
          <w:sz w:val="20"/>
          <w:szCs w:val="20"/>
          <w:u w:val="single"/>
        </w:rPr>
        <w:t>Memorandum and Articles of A</w:t>
      </w:r>
      <w:r>
        <w:rPr>
          <w:sz w:val="20"/>
          <w:szCs w:val="20"/>
          <w:u w:val="single"/>
        </w:rPr>
        <w:t>ssociation</w:t>
      </w:r>
      <w:r>
        <w:rPr>
          <w:sz w:val="20"/>
          <w:szCs w:val="20"/>
        </w:rPr>
        <w:t>. None of the Group Companies is in violation of any of the provisions of its memorandum and articles of association or equivalent organizational documents in any material respect.</w:t>
      </w:r>
    </w:p>
    <w:p w14:paraId="61641202"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713CB77"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4.3 </w:t>
      </w:r>
      <w:r>
        <w:rPr>
          <w:sz w:val="20"/>
          <w:szCs w:val="20"/>
          <w:u w:val="single"/>
        </w:rPr>
        <w:t>Capitalization</w:t>
      </w:r>
      <w:r>
        <w:rPr>
          <w:sz w:val="20"/>
          <w:szCs w:val="20"/>
        </w:rPr>
        <w:t>.</w:t>
      </w:r>
    </w:p>
    <w:p w14:paraId="2D716DEC"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392BA7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(a) The authorized share capital </w:t>
      </w:r>
      <w:r>
        <w:rPr>
          <w:sz w:val="20"/>
          <w:szCs w:val="20"/>
        </w:rPr>
        <w:t>of the Company is US$50,000 divided into 250,000,000 ordinary shares of a par value of US$0.0002 each. As of the date hereof, (i) 41,212,693 Shares are issued and outstanding, all of which have been duly authorized and validly issued, and are fully paid an</w:t>
      </w:r>
      <w:r>
        <w:rPr>
          <w:sz w:val="20"/>
          <w:szCs w:val="20"/>
        </w:rPr>
        <w:t>d nonassessable; (ii) no Company RSUs are issued and outstanding; (iii) 854,086 Company Options are granted and outstanding; and (iv) 16,749,989 Company Warrants, each exercisable for 0.1 Share, are outstanding.</w:t>
      </w:r>
    </w:p>
    <w:p w14:paraId="5F086F3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19FD19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(b) Except (1) as set forth in this </w:t>
      </w:r>
      <w:r>
        <w:rPr>
          <w:sz w:val="20"/>
          <w:szCs w:val="20"/>
          <w:u w:val="single"/>
        </w:rPr>
        <w:t>Sectio</w:t>
      </w:r>
      <w:r>
        <w:rPr>
          <w:sz w:val="20"/>
          <w:szCs w:val="20"/>
          <w:u w:val="single"/>
        </w:rPr>
        <w:t>n 4.3</w:t>
      </w:r>
      <w:r>
        <w:rPr>
          <w:sz w:val="20"/>
          <w:szCs w:val="20"/>
        </w:rPr>
        <w:t xml:space="preserve"> or elsewhere in this Agreement; (2) as contemplated by the Transactions; (3) for the Company Options and Company RSUs (including the rights and obligations of their holders and the Company under the terms of the Company Options and the Company RSUs);</w:t>
      </w:r>
      <w:r>
        <w:rPr>
          <w:sz w:val="20"/>
          <w:szCs w:val="20"/>
        </w:rPr>
        <w:t xml:space="preserve"> and (4) any issuance, sale, transfer or other disposition of securities between or among the Company and its direct or indirect wholly owned Subsidiaries, there are no issued, reserved for issuance or outstanding (i) shares of capital stock or other votin</w:t>
      </w:r>
      <w:r>
        <w:rPr>
          <w:sz w:val="20"/>
          <w:szCs w:val="20"/>
        </w:rPr>
        <w:t>g securities of or ownership interests in the Company; (ii) securities of the Company or any of its Subsidiaries convertible into or exchangeable for shares of capital stock or other voting securities of or ownership interests in the Company; (iii) options</w:t>
      </w:r>
      <w:r>
        <w:rPr>
          <w:sz w:val="20"/>
          <w:szCs w:val="20"/>
        </w:rPr>
        <w:t>, warrants, or preemptive, conversion, redemption, share appreciation, repurchase or other rights (whether or not currently exercisable), agreements, arrangements or commitments of any character relating to the issued or unissued share capital of the Compa</w:t>
      </w:r>
      <w:r>
        <w:rPr>
          <w:sz w:val="20"/>
          <w:szCs w:val="20"/>
        </w:rPr>
        <w:t>ny or obligating the Company to issue or sell any shares of capital stock, voting securities or other Equity Interests of the Company or securities convertible into or exchangeable for capital stock or voting securities or other equity securities of the Co</w:t>
      </w:r>
      <w:r>
        <w:rPr>
          <w:sz w:val="20"/>
          <w:szCs w:val="20"/>
        </w:rPr>
        <w:t>mpany; or (iv) restricted shares, stock appreciation rights, performance units, contingent value rights, “phantom” stock or similar securities or rights that are derivative of, or provide economic benefits based, directly or indirectly, on the value or pri</w:t>
      </w:r>
      <w:r>
        <w:rPr>
          <w:sz w:val="20"/>
          <w:szCs w:val="20"/>
        </w:rPr>
        <w:t>ce of, any capital stock of or voting securities of the Company.</w:t>
      </w:r>
    </w:p>
    <w:p w14:paraId="4B399A8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BE9F7BE" w14:textId="77777777" w:rsidR="00000000" w:rsidRDefault="002F725F">
      <w:pPr>
        <w:pStyle w:val="NormalWeb"/>
        <w:spacing w:before="0" w:beforeAutospacing="0" w:after="0" w:afterAutospacing="0"/>
        <w:jc w:val="center"/>
        <w:divId w:val="447971248"/>
        <w:rPr>
          <w:sz w:val="20"/>
          <w:szCs w:val="20"/>
        </w:rPr>
      </w:pPr>
      <w:r>
        <w:rPr>
          <w:sz w:val="20"/>
          <w:szCs w:val="20"/>
        </w:rPr>
        <w:t>A</w:t>
      </w:r>
      <w:r>
        <w:rPr>
          <w:sz w:val="20"/>
          <w:szCs w:val="20"/>
        </w:rPr>
        <w:t>-</w:t>
      </w:r>
      <w:r>
        <w:rPr>
          <w:sz w:val="20"/>
          <w:szCs w:val="20"/>
        </w:rPr>
        <w:t>2</w:t>
      </w:r>
      <w:r>
        <w:rPr>
          <w:sz w:val="20"/>
          <w:szCs w:val="20"/>
        </w:rPr>
        <w:t>1</w:t>
      </w:r>
    </w:p>
    <w:p w14:paraId="59D237E5" w14:textId="77777777" w:rsidR="00000000" w:rsidRDefault="002F725F">
      <w:pPr>
        <w:pStyle w:val="NormalWeb"/>
        <w:spacing w:before="0" w:beforeAutospacing="0" w:after="0" w:afterAutospacing="0"/>
        <w:divId w:val="1031033845"/>
        <w:rPr>
          <w:sz w:val="20"/>
          <w:szCs w:val="20"/>
        </w:rPr>
      </w:pPr>
      <w:r>
        <w:rPr>
          <w:sz w:val="20"/>
          <w:szCs w:val="20"/>
        </w:rPr>
        <w:t> </w:t>
      </w:r>
    </w:p>
    <w:p w14:paraId="70B7406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12EA50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(c) </w:t>
      </w:r>
      <w:r>
        <w:rPr>
          <w:sz w:val="20"/>
          <w:szCs w:val="20"/>
        </w:rPr>
        <w:t xml:space="preserve">All Shares subject to issuance upon due exercise of a Company Option or settlement of a Company RSU, upon issuance on the terms and conditions specified in the instruments pursuant to which they are issuable, will be duly authorized, validly issued, fully </w:t>
      </w:r>
      <w:r>
        <w:rPr>
          <w:sz w:val="20"/>
          <w:szCs w:val="20"/>
        </w:rPr>
        <w:t xml:space="preserve">paid and non-assessable. The Company has made available to Parent accurate and complete copies of (i) the Share Incentive Plans pursuant to which the Company has granted the </w:t>
      </w:r>
      <w:r>
        <w:rPr>
          <w:sz w:val="20"/>
          <w:szCs w:val="20"/>
        </w:rPr>
        <w:lastRenderedPageBreak/>
        <w:t>Company Options and Company RSUs that are currently outstanding; and (ii) the form</w:t>
      </w:r>
      <w:r>
        <w:rPr>
          <w:sz w:val="20"/>
          <w:szCs w:val="20"/>
        </w:rPr>
        <w:t>s of award agreement evidencing such Company Options and Company RSUs. There are no award agreements evidencing such Company Options and Company RSUs under the 2024 Plan with terms that are materially different from those set forth in the forms of award ag</w:t>
      </w:r>
      <w:r>
        <w:rPr>
          <w:sz w:val="20"/>
          <w:szCs w:val="20"/>
        </w:rPr>
        <w:t>reement.</w:t>
      </w:r>
    </w:p>
    <w:p w14:paraId="357EEAD2"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10340DF"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4.4 </w:t>
      </w:r>
      <w:r>
        <w:rPr>
          <w:sz w:val="20"/>
          <w:szCs w:val="20"/>
          <w:u w:val="single"/>
        </w:rPr>
        <w:t>Authorization; Validity of Agreement; Opinion of Financial Advisor</w:t>
      </w:r>
      <w:r>
        <w:rPr>
          <w:sz w:val="20"/>
          <w:szCs w:val="20"/>
        </w:rPr>
        <w:t>.</w:t>
      </w:r>
    </w:p>
    <w:p w14:paraId="54DC88E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B7CA9E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(a) Assuming the accuracy of the representations in </w:t>
      </w:r>
      <w:r>
        <w:rPr>
          <w:sz w:val="20"/>
          <w:szCs w:val="20"/>
          <w:u w:val="single"/>
        </w:rPr>
        <w:t>Section 5.7</w:t>
      </w:r>
      <w:r>
        <w:rPr>
          <w:sz w:val="20"/>
          <w:szCs w:val="20"/>
        </w:rPr>
        <w:t>, (i) the Company has the requisite corporate power and authority to execute and deliver this Agreem</w:t>
      </w:r>
      <w:r>
        <w:rPr>
          <w:sz w:val="20"/>
          <w:szCs w:val="20"/>
        </w:rPr>
        <w:t>ent, to perform its obligations hereunder, and, subject to obtaining the Company Shareholder Approval, to consummate the Transactions, (ii) the execution, delivery and performance by the Company of this Agreement, and the consummation by the Company of the</w:t>
      </w:r>
      <w:r>
        <w:rPr>
          <w:sz w:val="20"/>
          <w:szCs w:val="20"/>
        </w:rPr>
        <w:t xml:space="preserve"> Transactions, have been duly and validly authorized by the Board, except for obtaining the Company Shareholder Approval and the filing with the Registrar of Companies of the Cayman Islands of the Plan of Merger and the appropriate merger documents as requ</w:t>
      </w:r>
      <w:r>
        <w:rPr>
          <w:sz w:val="20"/>
          <w:szCs w:val="20"/>
        </w:rPr>
        <w:t>ired by the Registrar of Companies of the Cayman Islands, no other corporate action on the part of the Company is necessary to authorize the execution and delivery by the Company of this Agreement and the consummation by it of the Transactions, and (iii) t</w:t>
      </w:r>
      <w:r>
        <w:rPr>
          <w:sz w:val="20"/>
          <w:szCs w:val="20"/>
        </w:rPr>
        <w:t>his Agreement has been duly and validly executed and delivered by the Company and, assuming due and valid authorization, execution and delivery hereof by Parent and Merger Sub, constitutes a legal, valid and binding obligation of the Company enforceable ag</w:t>
      </w:r>
      <w:r>
        <w:rPr>
          <w:sz w:val="20"/>
          <w:szCs w:val="20"/>
        </w:rPr>
        <w:t>ainst the Company in accordance with its terms, except as enforceability may be limited by the Enforceability Exceptions.</w:t>
      </w:r>
    </w:p>
    <w:p w14:paraId="688E2422"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00D0EC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The Special Committee is composed of three (3) members of the Board, each of whom is not affiliated with Parent or Merger Sub an</w:t>
      </w:r>
      <w:r>
        <w:rPr>
          <w:sz w:val="20"/>
          <w:szCs w:val="20"/>
        </w:rPr>
        <w:t>d is not a member of the Company’s management and qualifies as an “independent director” (as such term is defined in Rule 10A-3 under the Exchange Act). The Board, acting upon the recommendation of the Special Committee, by resolutions duly adopted by vote</w:t>
      </w:r>
      <w:r>
        <w:rPr>
          <w:sz w:val="20"/>
          <w:szCs w:val="20"/>
        </w:rPr>
        <w:t xml:space="preserve"> of those directors voting at a meeting duly called and held, has (i) determined that the terms of the Transactions are fair to, and in the best interests of, the Company and its shareholders (other than the holders of Excluded Shares); (ii) determined tha</w:t>
      </w:r>
      <w:r>
        <w:rPr>
          <w:sz w:val="20"/>
          <w:szCs w:val="20"/>
        </w:rPr>
        <w:t>t the Merger is in the best interests of the Company and the unaffiliated security holders (as such term is defined in Rule 13e-3 of the Exchange Act), and declared that it is advisable for the Company to enter into this Agreement with Parent and Merger Su</w:t>
      </w:r>
      <w:r>
        <w:rPr>
          <w:sz w:val="20"/>
          <w:szCs w:val="20"/>
        </w:rPr>
        <w:t xml:space="preserve">b and the Plan of Merger; (iii) authorized and approved the execution, delivery and performance by the Company of this Agreement and the Plan of Merger and the consummation of the Transactions upon the terms and subject to the conditions set forth herein; </w:t>
      </w:r>
      <w:r>
        <w:rPr>
          <w:sz w:val="20"/>
          <w:szCs w:val="20"/>
        </w:rPr>
        <w:t>and (iv) subject to the terms of this Agreement (including </w:t>
      </w:r>
      <w:r>
        <w:rPr>
          <w:sz w:val="20"/>
          <w:szCs w:val="20"/>
          <w:u w:val="single"/>
        </w:rPr>
        <w:t>Section 6.2</w:t>
      </w:r>
      <w:r>
        <w:rPr>
          <w:sz w:val="20"/>
          <w:szCs w:val="20"/>
        </w:rPr>
        <w:t>), resolved to recommend the authorization and approval of this Agreement, the Plan of Merger and the consummation of the Transactions, including the Merger, to the holders of Shares (th</w:t>
      </w:r>
      <w:r>
        <w:rPr>
          <w:sz w:val="20"/>
          <w:szCs w:val="20"/>
        </w:rPr>
        <w:t>e “</w:t>
      </w:r>
      <w:r>
        <w:rPr>
          <w:sz w:val="20"/>
          <w:szCs w:val="20"/>
          <w:u w:val="single"/>
        </w:rPr>
        <w:t>Company Recommendation</w:t>
      </w:r>
      <w:r>
        <w:rPr>
          <w:sz w:val="20"/>
          <w:szCs w:val="20"/>
        </w:rPr>
        <w:t>”).</w:t>
      </w:r>
    </w:p>
    <w:p w14:paraId="7FFDE89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AD127C6"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(c) The Special Committee has received the written opinion of Kroll, LLC (the “</w:t>
      </w:r>
      <w:r>
        <w:rPr>
          <w:sz w:val="20"/>
          <w:szCs w:val="20"/>
          <w:u w:val="single"/>
        </w:rPr>
        <w:t>Financial Advisor</w:t>
      </w:r>
      <w:r>
        <w:rPr>
          <w:sz w:val="20"/>
          <w:szCs w:val="20"/>
        </w:rPr>
        <w:t>”), to the effect that, as of the date of such opinion and based upon and subject to the assumptions, limitations and qualificati</w:t>
      </w:r>
      <w:r>
        <w:rPr>
          <w:sz w:val="20"/>
          <w:szCs w:val="20"/>
        </w:rPr>
        <w:t>ons set forth in such opinion, the Per Share Merger Consideration to be received by holders of Shares (other than the Excluded Shares and Dissenting Shares) is fair, from a financial point of view, to such holders, a copy of which opinion will be delivered</w:t>
      </w:r>
      <w:r>
        <w:rPr>
          <w:sz w:val="20"/>
          <w:szCs w:val="20"/>
        </w:rPr>
        <w:t xml:space="preserve"> to Parent promptly after the execution of this Agreement for informational purposes only. It is agreed and understood that such opinion may not be relied on by Parent or Merger Sub. The Financial Advisor has consented to the inclusion of a copy of such op</w:t>
      </w:r>
      <w:r>
        <w:rPr>
          <w:sz w:val="20"/>
          <w:szCs w:val="20"/>
        </w:rPr>
        <w:t>inion in the Proxy Statement and Schedule 13E-3.</w:t>
      </w:r>
    </w:p>
    <w:p w14:paraId="54EFA9E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954D324"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4.5 </w:t>
      </w:r>
      <w:r>
        <w:rPr>
          <w:sz w:val="20"/>
          <w:szCs w:val="20"/>
          <w:u w:val="single"/>
        </w:rPr>
        <w:t>Subsidiaries</w:t>
      </w:r>
      <w:r>
        <w:rPr>
          <w:sz w:val="20"/>
          <w:szCs w:val="20"/>
        </w:rPr>
        <w:t>. All of the Subsidiaries of the Company are set forth in the Company SEC Reports or previously disclosed to Parent, Merger Sub, the Rollover Shareholders or any of their respective</w:t>
      </w:r>
      <w:r>
        <w:rPr>
          <w:sz w:val="20"/>
          <w:szCs w:val="20"/>
        </w:rPr>
        <w:t xml:space="preserve"> Affiliates or Representatives. All Equity Interests in or other voting securities of the Subsidiaries of the Company held by the Company or any other Subsidiary of the Company are duly authorized, validly issued, fully paid and non-assessable. All such Eq</w:t>
      </w:r>
      <w:r>
        <w:rPr>
          <w:sz w:val="20"/>
          <w:szCs w:val="20"/>
        </w:rPr>
        <w:t>uity Interests in and voting securities of the Company’s Subsidiaries owned by the Company or another Subsidiary of the Company are free and clear of any Lien or any other limitations or restrictions on such Equity Interests (including any limitation or re</w:t>
      </w:r>
      <w:r>
        <w:rPr>
          <w:sz w:val="20"/>
          <w:szCs w:val="20"/>
        </w:rPr>
        <w:t>striction on the right to vote, pledge or sell or otherwise dispose of such Equity Interests and the right to receive dividends and distributions on such Equity Interests) other than the Permitted Liens. There are no issued, reserved for issuance or outsta</w:t>
      </w:r>
      <w:r>
        <w:rPr>
          <w:sz w:val="20"/>
          <w:szCs w:val="20"/>
        </w:rPr>
        <w:t>nding (a) securities of the Company or any Subsidiary of the Company convertible into, or exchangeable for, shares of capital stock or other voting securities of, or ownership interests in, any Subsidiary of the Company; (b) options, warrants, or preemptiv</w:t>
      </w:r>
      <w:r>
        <w:rPr>
          <w:sz w:val="20"/>
          <w:szCs w:val="20"/>
        </w:rPr>
        <w:t>e, conversion, redemption, share appreciation, repurchase or other rights, agreements, arrangements or commitments of any character relating to the issued or unissued share capital of any Subsidiary of the Company or obligating the Company or any Subsidiar</w:t>
      </w:r>
      <w:r>
        <w:rPr>
          <w:sz w:val="20"/>
          <w:szCs w:val="20"/>
        </w:rPr>
        <w:t xml:space="preserve">y of the Company to issue or sell any capital stock, voting securities or Equity Interests convertible into or exchangeable </w:t>
      </w:r>
      <w:r>
        <w:rPr>
          <w:sz w:val="20"/>
          <w:szCs w:val="20"/>
        </w:rPr>
        <w:lastRenderedPageBreak/>
        <w:t>for capital stock or voting securities of any Subsidiary of the Company (other than the issuance, sale, transfer or other dispositio</w:t>
      </w:r>
      <w:r>
        <w:rPr>
          <w:sz w:val="20"/>
          <w:szCs w:val="20"/>
        </w:rPr>
        <w:t>n of securities between or among the Company and its direct or indirect wholly owned Subsidiaries); or (c) restricted shares, stock appreciation rights, performance units, contingent value rights, “phantom” stock or similar securities or rights that are de</w:t>
      </w:r>
      <w:r>
        <w:rPr>
          <w:sz w:val="20"/>
          <w:szCs w:val="20"/>
        </w:rPr>
        <w:t>rivative of, or provide economic benefits based, directly or indirectly, on the value or price of, any capital stock or other voting securities of, or ownership interests in, any Subsidiary of the Company.</w:t>
      </w:r>
    </w:p>
    <w:p w14:paraId="1634BA9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FE7C4CA" w14:textId="77777777" w:rsidR="00000000" w:rsidRDefault="002F725F">
      <w:pPr>
        <w:pStyle w:val="NormalWeb"/>
        <w:spacing w:before="0" w:beforeAutospacing="0" w:after="0" w:afterAutospacing="0"/>
        <w:jc w:val="center"/>
        <w:divId w:val="2054422689"/>
        <w:rPr>
          <w:sz w:val="20"/>
          <w:szCs w:val="20"/>
        </w:rPr>
      </w:pPr>
      <w:r>
        <w:rPr>
          <w:sz w:val="20"/>
          <w:szCs w:val="20"/>
        </w:rPr>
        <w:t>A</w:t>
      </w:r>
      <w:r>
        <w:rPr>
          <w:sz w:val="20"/>
          <w:szCs w:val="20"/>
        </w:rPr>
        <w:t>-</w:t>
      </w:r>
      <w:r>
        <w:rPr>
          <w:sz w:val="20"/>
          <w:szCs w:val="20"/>
        </w:rPr>
        <w:t>2</w:t>
      </w:r>
      <w:r>
        <w:rPr>
          <w:sz w:val="20"/>
          <w:szCs w:val="20"/>
        </w:rPr>
        <w:t>2</w:t>
      </w:r>
    </w:p>
    <w:p w14:paraId="79757C94" w14:textId="77777777" w:rsidR="00000000" w:rsidRDefault="002F725F">
      <w:pPr>
        <w:pStyle w:val="NormalWeb"/>
        <w:spacing w:before="0" w:beforeAutospacing="0" w:after="0" w:afterAutospacing="0"/>
        <w:divId w:val="746155154"/>
        <w:rPr>
          <w:sz w:val="20"/>
          <w:szCs w:val="20"/>
        </w:rPr>
      </w:pPr>
      <w:r>
        <w:rPr>
          <w:sz w:val="20"/>
          <w:szCs w:val="20"/>
        </w:rPr>
        <w:t> </w:t>
      </w:r>
    </w:p>
    <w:p w14:paraId="2B393C1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DC22D38"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4.6 </w:t>
      </w:r>
      <w:r>
        <w:rPr>
          <w:sz w:val="20"/>
          <w:szCs w:val="20"/>
          <w:u w:val="single"/>
        </w:rPr>
        <w:t xml:space="preserve">Consents and Approvals; No </w:t>
      </w:r>
      <w:r>
        <w:rPr>
          <w:sz w:val="20"/>
          <w:szCs w:val="20"/>
          <w:u w:val="single"/>
        </w:rPr>
        <w:t>Violation</w:t>
      </w:r>
      <w:r>
        <w:rPr>
          <w:sz w:val="20"/>
          <w:szCs w:val="20"/>
        </w:rPr>
        <w:t>.</w:t>
      </w:r>
    </w:p>
    <w:p w14:paraId="2D4D9D6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59C4D0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(a) Except for (i) compliance with the applicable requirements of the Securities Act and the Exchange Act and the rules and regulations promulgated thereunder, and under state securities, takeover and “blue sky” Laws; (ii) compliance with the </w:t>
      </w:r>
      <w:r>
        <w:rPr>
          <w:sz w:val="20"/>
          <w:szCs w:val="20"/>
        </w:rPr>
        <w:t>rules and regulations of the OTC Market; (iii) the filing with the Registrar of Companies of the Cayman Islands of the Plan of Merger and related documentation as required by the Companies Act and the publication of notification of the Merger in the Cayman</w:t>
      </w:r>
      <w:r>
        <w:rPr>
          <w:sz w:val="20"/>
          <w:szCs w:val="20"/>
        </w:rPr>
        <w:t xml:space="preserve"> Islands Government Gazette pursuant to the Companies Act; (iv) such filings with the SEC as may be required to be made by the Company in connection with this Agreement, the Merger and the other Transactions, including (A) the joining of the Company in the</w:t>
      </w:r>
      <w:r>
        <w:rPr>
          <w:sz w:val="20"/>
          <w:szCs w:val="20"/>
        </w:rPr>
        <w:t xml:space="preserve"> filing of the Schedule 13E-3 and the furnishing of Form 6-K; and (B) the filing or furnishing of one or more amendments to the Schedule 13E-3 and Form 6-K to respond to comments of the staff of the SEC, if any, on the Schedule 13E-3, (v) such filings as m</w:t>
      </w:r>
      <w:r>
        <w:rPr>
          <w:sz w:val="20"/>
          <w:szCs w:val="20"/>
        </w:rPr>
        <w:t xml:space="preserve">ay be required in connection with state and local transfer Taxes, and (vi) such filings, registrations, notifications, authorizations, consents or approvals the failure of which to make or obtain would not, individually or in the aggregate, have a Company </w:t>
      </w:r>
      <w:r>
        <w:rPr>
          <w:sz w:val="20"/>
          <w:szCs w:val="20"/>
        </w:rPr>
        <w:t>Material Adverse Effect, neither the execution, delivery or performance of this Agreement by the Company nor the consummation by the Company of the Transactions will require on the part of the Company any filing or registration with, notification to, actio</w:t>
      </w:r>
      <w:r>
        <w:rPr>
          <w:sz w:val="20"/>
          <w:szCs w:val="20"/>
        </w:rPr>
        <w:t>n by, or authorization, permit, consent or approval of any Governmental Entity.</w:t>
      </w:r>
    </w:p>
    <w:p w14:paraId="284348B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848E85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(b) Assuming the consents, approvals, qualifications, Orders, authorizations and filings referred to in </w:t>
      </w:r>
      <w:r>
        <w:rPr>
          <w:sz w:val="20"/>
          <w:szCs w:val="20"/>
          <w:u w:val="single"/>
        </w:rPr>
        <w:t>Section 4.6(a)</w:t>
      </w:r>
      <w:r>
        <w:rPr>
          <w:sz w:val="20"/>
          <w:szCs w:val="20"/>
        </w:rPr>
        <w:t xml:space="preserve"> have </w:t>
      </w:r>
      <w:r>
        <w:rPr>
          <w:sz w:val="20"/>
          <w:szCs w:val="20"/>
        </w:rPr>
        <w:t>been made or obtained and the accuracy of the representations in ‎</w:t>
      </w:r>
      <w:r>
        <w:rPr>
          <w:sz w:val="20"/>
          <w:szCs w:val="20"/>
          <w:u w:val="single"/>
        </w:rPr>
        <w:t>Section 5.7</w:t>
      </w:r>
      <w:r>
        <w:rPr>
          <w:sz w:val="20"/>
          <w:szCs w:val="20"/>
        </w:rPr>
        <w:t>, and subject to the receipt of the Company Shareholder Approval, neither the execution, delivery or performance of this Agreement by the Company nor the consummation by the Compa</w:t>
      </w:r>
      <w:r>
        <w:rPr>
          <w:sz w:val="20"/>
          <w:szCs w:val="20"/>
        </w:rPr>
        <w:t>ny of the Transactions will (i) conflict with or violate any provision of the memorandum of association, articles of association (or any equivalent organizational documents) of the Company or any of its Subsidiaries; (ii) result in a violation or breach of</w:t>
      </w:r>
      <w:r>
        <w:rPr>
          <w:sz w:val="20"/>
          <w:szCs w:val="20"/>
        </w:rPr>
        <w:t>, constitute (with or without due notice or lapse of time or both) a default (or give rise to any right of termination, cancellation, amendment or acceleration) under, result in the loss of a benefit under, result in the termination of or a right of termin</w:t>
      </w:r>
      <w:r>
        <w:rPr>
          <w:sz w:val="20"/>
          <w:szCs w:val="20"/>
        </w:rPr>
        <w:t>ation or cancellation or amendment under, accelerate the performance required by, or result in the creation of any Lien (except for Permitted Liens) upon any of the respective properties or assets of any Group Company under, any of the terms, conditions or</w:t>
      </w:r>
      <w:r>
        <w:rPr>
          <w:sz w:val="20"/>
          <w:szCs w:val="20"/>
        </w:rPr>
        <w:t xml:space="preserve"> provisions of any note, bond, mortgage, indenture, lease, license, Contract, agreement or other instrument or obligation to which any Group Company is a party or by which any of them or any of their properties or assets may be bound; or (iii) violate any </w:t>
      </w:r>
      <w:r>
        <w:rPr>
          <w:sz w:val="20"/>
          <w:szCs w:val="20"/>
        </w:rPr>
        <w:t>Law or Order applicable to any of the Group Companies or any of their properties or assets, except, in each case of sub-clauses (i) through (iii), for such violations, breaches, defaults, terminations, cancellations, amendments, accelerations or other occu</w:t>
      </w:r>
      <w:r>
        <w:rPr>
          <w:sz w:val="20"/>
          <w:szCs w:val="20"/>
        </w:rPr>
        <w:t>rrences which would not reasonably be expected to have, individually or in the aggregate, a Company Material Adverse Effect.</w:t>
      </w:r>
    </w:p>
    <w:p w14:paraId="600678B2"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35120C0"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4.7 </w:t>
      </w:r>
      <w:r>
        <w:rPr>
          <w:sz w:val="20"/>
          <w:szCs w:val="20"/>
          <w:u w:val="single"/>
        </w:rPr>
        <w:t>SEC Reports; Internal Control</w:t>
      </w:r>
      <w:r>
        <w:rPr>
          <w:sz w:val="20"/>
          <w:szCs w:val="20"/>
        </w:rPr>
        <w:t>.</w:t>
      </w:r>
    </w:p>
    <w:p w14:paraId="0A6248A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78A25E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(a) The Company has filed </w:t>
      </w:r>
      <w:r>
        <w:rPr>
          <w:sz w:val="20"/>
          <w:szCs w:val="20"/>
        </w:rPr>
        <w:t>or furnished all reports and other documents (including all exhibits, amendments and supplements thereto) with the SEC required to be filed or furnished by the Company since March 17, 2023 (the “</w:t>
      </w:r>
      <w:r>
        <w:rPr>
          <w:sz w:val="20"/>
          <w:szCs w:val="20"/>
          <w:u w:val="single"/>
        </w:rPr>
        <w:t>Applicable Date</w:t>
      </w:r>
      <w:r>
        <w:rPr>
          <w:sz w:val="20"/>
          <w:szCs w:val="20"/>
        </w:rPr>
        <w:t xml:space="preserve">”) (such reports and documents, together with </w:t>
      </w:r>
      <w:r>
        <w:rPr>
          <w:sz w:val="20"/>
          <w:szCs w:val="20"/>
        </w:rPr>
        <w:t>any current reports filed during such period by the Company with the SEC on a voluntary basis on Form 6-K, and those filed subsequent to the date hereof, including any amendments thereto, collectively, the “</w:t>
      </w:r>
      <w:r>
        <w:rPr>
          <w:sz w:val="20"/>
          <w:szCs w:val="20"/>
          <w:u w:val="single"/>
        </w:rPr>
        <w:t>Company SEC Reports</w:t>
      </w:r>
      <w:r>
        <w:rPr>
          <w:sz w:val="20"/>
          <w:szCs w:val="20"/>
        </w:rPr>
        <w:t>”) on a timely basis or has re</w:t>
      </w:r>
      <w:r>
        <w:rPr>
          <w:sz w:val="20"/>
          <w:szCs w:val="20"/>
        </w:rPr>
        <w:t xml:space="preserve">ceived a valid extension of such filing deadline and has filed any such Company SEC Reports prior to the expiration of any such extension. As of the date of filing, in the case of Company SEC Reports filed pursuant to the Exchange Act (and </w:t>
      </w:r>
      <w:r>
        <w:rPr>
          <w:sz w:val="20"/>
          <w:szCs w:val="20"/>
        </w:rPr>
        <w:lastRenderedPageBreak/>
        <w:t>to the extent su</w:t>
      </w:r>
      <w:r>
        <w:rPr>
          <w:sz w:val="20"/>
          <w:szCs w:val="20"/>
        </w:rPr>
        <w:t>ch Company SEC Reports were amended, as of the date of filing of such amendment), and as of the date of effectiveness in the case of Company SEC Reports filed pursuant to the Securities Act (and to the extent such Company SEC Reports were amended, as of th</w:t>
      </w:r>
      <w:r>
        <w:rPr>
          <w:sz w:val="20"/>
          <w:szCs w:val="20"/>
        </w:rPr>
        <w:t>e date of effectiveness of such amendment), the Company SEC Reports (i) complied in all material respects with the applicable requirements of the Securities Act and the Exchange Act, as the case may be, and the rules and regulations promulgated thereunder,</w:t>
      </w:r>
      <w:r>
        <w:rPr>
          <w:sz w:val="20"/>
          <w:szCs w:val="20"/>
        </w:rPr>
        <w:t xml:space="preserve"> each as in effect on the date so filed or effective; and (ii) did not contain any untrue statement of a material fact or omit to state a material fact required to be stated therein or necessary in order to make the statements therein, in light of the circ</w:t>
      </w:r>
      <w:r>
        <w:rPr>
          <w:sz w:val="20"/>
          <w:szCs w:val="20"/>
        </w:rPr>
        <w:t>umstances under which they were made, not misleading.</w:t>
      </w:r>
    </w:p>
    <w:p w14:paraId="09DC023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584D5A3C"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Each of the financial statements (including the related notes, where applicable) of the Company included in or incorporated by reference into the Company SEC Reports was prepared in all material r</w:t>
      </w:r>
      <w:r>
        <w:rPr>
          <w:sz w:val="20"/>
          <w:szCs w:val="20"/>
        </w:rPr>
        <w:t>espects in accordance with generally accepted accounting principles in the United States (“</w:t>
      </w:r>
      <w:r>
        <w:rPr>
          <w:sz w:val="20"/>
          <w:szCs w:val="20"/>
          <w:u w:val="single"/>
        </w:rPr>
        <w:t>GAAP</w:t>
      </w:r>
      <w:r>
        <w:rPr>
          <w:sz w:val="20"/>
          <w:szCs w:val="20"/>
        </w:rPr>
        <w:t>”) (except, in the case of unaudited statements, as permitted by the rules and regulations of the SEC) applied on a consistent basis throughout the periods invol</w:t>
      </w:r>
      <w:r>
        <w:rPr>
          <w:sz w:val="20"/>
          <w:szCs w:val="20"/>
        </w:rPr>
        <w:t>ved (except as may be indicated in the notes thereto) and fairly presented in all material respects the consolidated financial position of the Company and its consolidated Subsidiaries as of the respective dates thereof and the consolidated results of thei</w:t>
      </w:r>
      <w:r>
        <w:rPr>
          <w:sz w:val="20"/>
          <w:szCs w:val="20"/>
        </w:rPr>
        <w:t>r operations, changes in shareholders’ equity and cash flows for the respective periods then ended, except as may be noted therein (subject, in the case of unaudited statements, to normal year-end audit adjustments and to any other adjustments described th</w:t>
      </w:r>
      <w:r>
        <w:rPr>
          <w:sz w:val="20"/>
          <w:szCs w:val="20"/>
        </w:rPr>
        <w:t>erein, including the notes thereto).</w:t>
      </w:r>
    </w:p>
    <w:p w14:paraId="2A8B855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5882B42" w14:textId="77777777" w:rsidR="00000000" w:rsidRDefault="002F725F">
      <w:pPr>
        <w:pStyle w:val="NormalWeb"/>
        <w:spacing w:before="0" w:beforeAutospacing="0" w:after="0" w:afterAutospacing="0"/>
        <w:jc w:val="center"/>
        <w:divId w:val="1074232374"/>
        <w:rPr>
          <w:sz w:val="20"/>
          <w:szCs w:val="20"/>
        </w:rPr>
      </w:pPr>
      <w:r>
        <w:rPr>
          <w:sz w:val="20"/>
          <w:szCs w:val="20"/>
        </w:rPr>
        <w:t>A</w:t>
      </w:r>
      <w:r>
        <w:rPr>
          <w:sz w:val="20"/>
          <w:szCs w:val="20"/>
        </w:rPr>
        <w:t>-</w:t>
      </w:r>
      <w:r>
        <w:rPr>
          <w:sz w:val="20"/>
          <w:szCs w:val="20"/>
        </w:rPr>
        <w:t>2</w:t>
      </w:r>
      <w:r>
        <w:rPr>
          <w:sz w:val="20"/>
          <w:szCs w:val="20"/>
        </w:rPr>
        <w:t>3</w:t>
      </w:r>
    </w:p>
    <w:p w14:paraId="13F06117" w14:textId="77777777" w:rsidR="00000000" w:rsidRDefault="002F725F">
      <w:pPr>
        <w:pStyle w:val="NormalWeb"/>
        <w:spacing w:before="0" w:beforeAutospacing="0" w:after="0" w:afterAutospacing="0"/>
        <w:divId w:val="1228802703"/>
        <w:rPr>
          <w:sz w:val="20"/>
          <w:szCs w:val="20"/>
        </w:rPr>
      </w:pPr>
      <w:r>
        <w:rPr>
          <w:sz w:val="20"/>
          <w:szCs w:val="20"/>
        </w:rPr>
        <w:t> </w:t>
      </w:r>
    </w:p>
    <w:p w14:paraId="07C9683B"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54B04DB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(c) The Company is in compliance in all material respects with, the applicable provisions of the Sarbanes-Oxley Act of 2002 (the “</w:t>
      </w:r>
      <w:r>
        <w:rPr>
          <w:sz w:val="20"/>
          <w:szCs w:val="20"/>
          <w:u w:val="single"/>
        </w:rPr>
        <w:t>Sarbanes-Oxley Act</w:t>
      </w:r>
      <w:r>
        <w:rPr>
          <w:sz w:val="20"/>
          <w:szCs w:val="20"/>
        </w:rPr>
        <w:t>”) and the related rules and regulations promulgated thereun</w:t>
      </w:r>
      <w:r>
        <w:rPr>
          <w:sz w:val="20"/>
          <w:szCs w:val="20"/>
        </w:rPr>
        <w:t>der. The Company has established and maintains in all material respects disclosure controls and procedures and internal control over financial reporting (as such terms are defined in paragraphs (e) and (f), respectively, of Rule 13a-15 under the Exchange A</w:t>
      </w:r>
      <w:r>
        <w:rPr>
          <w:sz w:val="20"/>
          <w:szCs w:val="20"/>
        </w:rPr>
        <w:t>ct) as required by Rule 13a-15 under the Exchange Act. The Company’s disclosure controls and procedures are reasonably designed to ensure that all material information required to be disclosed by the Company in the reports that it files or submits under th</w:t>
      </w:r>
      <w:r>
        <w:rPr>
          <w:sz w:val="20"/>
          <w:szCs w:val="20"/>
        </w:rPr>
        <w:t>e Exchange Act is made known to the management of the Company as appropriate to allow timely decisions regarding required disclosure. To the Knowledge of the Company, (i) there are no “significant deficiencies” or “material weakness”, if any, in the design</w:t>
      </w:r>
      <w:r>
        <w:rPr>
          <w:sz w:val="20"/>
          <w:szCs w:val="20"/>
        </w:rPr>
        <w:t xml:space="preserve"> or operation of internal control over financial reporting which are reasonably be expected to materially adversely affect the Company’s ability to record, process, summarize and report financial data, and (ii) there is no fraud, whether or not material, t</w:t>
      </w:r>
      <w:r>
        <w:rPr>
          <w:sz w:val="20"/>
          <w:szCs w:val="20"/>
        </w:rPr>
        <w:t>hat involves management or other employees of the Company or any of the Subsidiaries who have a significant role in the Company’s internal control over financial reporting.</w:t>
      </w:r>
    </w:p>
    <w:p w14:paraId="0AA32F3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158205C"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4.8 </w:t>
      </w:r>
      <w:r>
        <w:rPr>
          <w:sz w:val="20"/>
          <w:szCs w:val="20"/>
          <w:u w:val="single"/>
        </w:rPr>
        <w:t>Proxy Statement; Other Information</w:t>
      </w:r>
      <w:r>
        <w:rPr>
          <w:sz w:val="20"/>
          <w:szCs w:val="20"/>
        </w:rPr>
        <w:t>. The information supplied or to be</w:t>
      </w:r>
      <w:r>
        <w:rPr>
          <w:sz w:val="20"/>
          <w:szCs w:val="20"/>
        </w:rPr>
        <w:t xml:space="preserve"> supplied in writing by or on behalf of the Company or any of its Subsidiaries for inclusion or incorporation by reference in the proxy statement (such Proxy Statement, as amended or supplemented, the “</w:t>
      </w:r>
      <w:r>
        <w:rPr>
          <w:sz w:val="20"/>
          <w:szCs w:val="20"/>
          <w:u w:val="single"/>
        </w:rPr>
        <w:t>Proxy Statement</w:t>
      </w:r>
      <w:r>
        <w:rPr>
          <w:sz w:val="20"/>
          <w:szCs w:val="20"/>
        </w:rPr>
        <w:t xml:space="preserve">”) to be filed by the Company with the </w:t>
      </w:r>
      <w:r>
        <w:rPr>
          <w:sz w:val="20"/>
          <w:szCs w:val="20"/>
        </w:rPr>
        <w:t>SEC in connection with seeking the adoption of this Agreement by the shareholders of the Company and the transaction statement on Schedule 13E-3 (such Schedule 13E-3, as amended or supplemented, the “</w:t>
      </w:r>
      <w:r>
        <w:rPr>
          <w:sz w:val="20"/>
          <w:szCs w:val="20"/>
          <w:u w:val="single"/>
        </w:rPr>
        <w:t>Schedule 13E-3</w:t>
      </w:r>
      <w:r>
        <w:rPr>
          <w:sz w:val="20"/>
          <w:szCs w:val="20"/>
        </w:rPr>
        <w:t>”) to be filed with the SEC with respect t</w:t>
      </w:r>
      <w:r>
        <w:rPr>
          <w:sz w:val="20"/>
          <w:szCs w:val="20"/>
        </w:rPr>
        <w:t>o the Merger will not, on the date such Proxy Statement (including any amendment or supplement thereto) is first mailed to shareholders of the Company or at the time of the Shareholders’ Meeting, or on the date such Schedule 13E-3 and any amendment or supp</w:t>
      </w:r>
      <w:r>
        <w:rPr>
          <w:sz w:val="20"/>
          <w:szCs w:val="20"/>
        </w:rPr>
        <w:t>lement thereto is filed with the SEC, as the case may be, contain any untrue statement of a material fact of the Company or omit to state any material fact of the Company required to be stated therein or necessary in order to make the statements therein, i</w:t>
      </w:r>
      <w:r>
        <w:rPr>
          <w:sz w:val="20"/>
          <w:szCs w:val="20"/>
        </w:rPr>
        <w:t xml:space="preserve">n light of the circumstances under which they are made, not misleading. The Proxy Statement and the Schedule 13E-3, to the extent relating to the Company or any of its Subsidiaries or other information supplied by or on behalf of the Company or any of its </w:t>
      </w:r>
      <w:r>
        <w:rPr>
          <w:sz w:val="20"/>
          <w:szCs w:val="20"/>
        </w:rPr>
        <w:t>Subsidiaries for inclusion therein, will each comply as to form in all material respects as of the date of its first use with the provisions of the Securities Act or the Exchange Act, as applicable, and the rules and regulations of the SEC thereunder. No r</w:t>
      </w:r>
      <w:r>
        <w:rPr>
          <w:sz w:val="20"/>
          <w:szCs w:val="20"/>
        </w:rPr>
        <w:t xml:space="preserve">epresentation is made by the Company with respect to statements made in the Proxy Statement or the Schedule 13E-3 or incorporated by reference therein to the extent based on information supplied, or required to be </w:t>
      </w:r>
      <w:r>
        <w:rPr>
          <w:sz w:val="20"/>
          <w:szCs w:val="20"/>
        </w:rPr>
        <w:lastRenderedPageBreak/>
        <w:t>supplied by or on behalf of Parent, Merger</w:t>
      </w:r>
      <w:r>
        <w:rPr>
          <w:sz w:val="20"/>
          <w:szCs w:val="20"/>
        </w:rPr>
        <w:t xml:space="preserve"> Sub, the Rollover Shareholders, the Sponsor, the Guarantor or any of their respective Affiliates or Representatives.</w:t>
      </w:r>
    </w:p>
    <w:p w14:paraId="1CDE442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5E9B176"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4.9 </w:t>
      </w:r>
      <w:r>
        <w:rPr>
          <w:sz w:val="20"/>
          <w:szCs w:val="20"/>
          <w:u w:val="single"/>
        </w:rPr>
        <w:t>No Undisclosed Liabilities</w:t>
      </w:r>
      <w:r>
        <w:rPr>
          <w:sz w:val="20"/>
          <w:szCs w:val="20"/>
        </w:rPr>
        <w:t>. Except for liabilities or obligations (a) incurred in the ordinary course of business and consis</w:t>
      </w:r>
      <w:r>
        <w:rPr>
          <w:sz w:val="20"/>
          <w:szCs w:val="20"/>
        </w:rPr>
        <w:t>tent with past practices since March 31, 2025; (b) disclosed in or reflected or reserved against in the Company’s consolidated financial statements (or notes thereto) included in the Company SEC Reports; (c) arising under this Agreement or in connection wi</w:t>
      </w:r>
      <w:r>
        <w:rPr>
          <w:sz w:val="20"/>
          <w:szCs w:val="20"/>
        </w:rPr>
        <w:t>th the Transactions or for performance of obligations under the express terms of Company Material Contracts or applicable Law; (d) which have been discharged or paid in full in the ordinary course of business and consistent with past practices, (e) that ar</w:t>
      </w:r>
      <w:r>
        <w:rPr>
          <w:sz w:val="20"/>
          <w:szCs w:val="20"/>
        </w:rPr>
        <w:t xml:space="preserve">e otherwise the subject of any other representation or warranty contained in this </w:t>
      </w:r>
      <w:r>
        <w:rPr>
          <w:sz w:val="20"/>
          <w:szCs w:val="20"/>
          <w:u w:val="single"/>
        </w:rPr>
        <w:t>Article IV</w:t>
      </w:r>
      <w:r>
        <w:rPr>
          <w:sz w:val="20"/>
          <w:szCs w:val="20"/>
        </w:rPr>
        <w:t>, or (f) which would not reasonably be expected to have, individually or in the aggregate, a Company Material Adverse Effect, as of the date hereof, none of the Gro</w:t>
      </w:r>
      <w:r>
        <w:rPr>
          <w:sz w:val="20"/>
          <w:szCs w:val="20"/>
        </w:rPr>
        <w:t>up Companies has, or is responsible for performing or discharging, any accrued, contingent or other liabilities of any nature required to be reflected or reserved against in a consolidated balance sheet of the Company and its consolidated Subsidiaries (and</w:t>
      </w:r>
      <w:r>
        <w:rPr>
          <w:sz w:val="20"/>
          <w:szCs w:val="20"/>
        </w:rPr>
        <w:t xml:space="preserve"> the notes thereto) prepared in accordance with GAAP as applied in preparing the consolidated balance sheet of the Company and its consolidated Subsidiaries included in the Company SEC Reports, whether due or to become due, either matured or unmatured.</w:t>
      </w:r>
    </w:p>
    <w:p w14:paraId="4149CA2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6DDA658" w14:textId="77777777" w:rsidR="00000000" w:rsidRDefault="002F725F">
      <w:pPr>
        <w:pStyle w:val="NormalWeb"/>
        <w:spacing w:before="0" w:beforeAutospacing="0" w:after="0" w:afterAutospacing="0"/>
        <w:jc w:val="both"/>
        <w:divId w:val="415980837"/>
        <w:rPr>
          <w:sz w:val="20"/>
          <w:szCs w:val="20"/>
        </w:rPr>
      </w:pPr>
      <w:r>
        <w:rPr>
          <w:sz w:val="20"/>
          <w:szCs w:val="20"/>
        </w:rPr>
        <w:t>S</w:t>
      </w:r>
      <w:r>
        <w:rPr>
          <w:sz w:val="20"/>
          <w:szCs w:val="20"/>
        </w:rPr>
        <w:t xml:space="preserve">ection 4.10 </w:t>
      </w:r>
      <w:r>
        <w:rPr>
          <w:sz w:val="20"/>
          <w:szCs w:val="20"/>
          <w:u w:val="single"/>
        </w:rPr>
        <w:t>Absence of Certain Changes</w:t>
      </w:r>
      <w:r>
        <w:rPr>
          <w:sz w:val="20"/>
          <w:szCs w:val="20"/>
        </w:rPr>
        <w:t>. Since March 31, 2025 through the date of this Agreement, (a) the Group Companies have conducted their businesses in all material respects in the ordinary course and in a manner consistent with past practice, and (b) </w:t>
      </w:r>
      <w:r>
        <w:rPr>
          <w:sz w:val="20"/>
          <w:szCs w:val="20"/>
        </w:rPr>
        <w:t>there has not been any Company Material Adverse Effect or any Effects that would, individually or in the aggregate, reasonably be expected to have a Company Material Adverse Effect.</w:t>
      </w:r>
    </w:p>
    <w:p w14:paraId="404345D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FDA90E8"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4.11 </w:t>
      </w:r>
      <w:r>
        <w:rPr>
          <w:sz w:val="20"/>
          <w:szCs w:val="20"/>
          <w:u w:val="single"/>
        </w:rPr>
        <w:t>Litigation; Orders</w:t>
      </w:r>
      <w:r>
        <w:rPr>
          <w:sz w:val="20"/>
          <w:szCs w:val="20"/>
        </w:rPr>
        <w:t>. Except as would not reasonably be expec</w:t>
      </w:r>
      <w:r>
        <w:rPr>
          <w:sz w:val="20"/>
          <w:szCs w:val="20"/>
        </w:rPr>
        <w:t>ted to have, individually or in the aggregate, a Company Material Adverse Effect, as of the date of this Agreement:</w:t>
      </w:r>
    </w:p>
    <w:p w14:paraId="2EF60BA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0297A0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there is no Legal Proceeding that has been initiated since the Applicable Date and is pending or, to the Knowledge of the Company, thr</w:t>
      </w:r>
      <w:r>
        <w:rPr>
          <w:sz w:val="20"/>
          <w:szCs w:val="20"/>
        </w:rPr>
        <w:t>eatened in writing against any of the Group Companies, or any share, security, Equity Interest, property or asset of any of the Group Companies, before any Governmental Entity; and</w:t>
      </w:r>
    </w:p>
    <w:p w14:paraId="423C3F0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C49F3F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there is no Order that has been issued since the Applicable Date with</w:t>
      </w:r>
      <w:r>
        <w:rPr>
          <w:sz w:val="20"/>
          <w:szCs w:val="20"/>
        </w:rPr>
        <w:t xml:space="preserve"> respect to any of the Group Companies or any of the assets owned or used by any of the Group Companies.</w:t>
      </w:r>
    </w:p>
    <w:p w14:paraId="5C21F69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DFDFC37" w14:textId="77777777" w:rsidR="00000000" w:rsidRDefault="002F725F">
      <w:pPr>
        <w:pStyle w:val="NormalWeb"/>
        <w:spacing w:before="0" w:beforeAutospacing="0" w:after="0" w:afterAutospacing="0"/>
        <w:jc w:val="center"/>
        <w:divId w:val="740760025"/>
        <w:rPr>
          <w:sz w:val="20"/>
          <w:szCs w:val="20"/>
        </w:rPr>
      </w:pPr>
      <w:r>
        <w:rPr>
          <w:sz w:val="20"/>
          <w:szCs w:val="20"/>
        </w:rPr>
        <w:t>A</w:t>
      </w:r>
      <w:r>
        <w:rPr>
          <w:sz w:val="20"/>
          <w:szCs w:val="20"/>
        </w:rPr>
        <w:t>-</w:t>
      </w:r>
      <w:r>
        <w:rPr>
          <w:sz w:val="20"/>
          <w:szCs w:val="20"/>
        </w:rPr>
        <w:t>2</w:t>
      </w:r>
      <w:r>
        <w:rPr>
          <w:sz w:val="20"/>
          <w:szCs w:val="20"/>
        </w:rPr>
        <w:t>4</w:t>
      </w:r>
    </w:p>
    <w:p w14:paraId="33C17909" w14:textId="77777777" w:rsidR="00000000" w:rsidRDefault="002F725F">
      <w:pPr>
        <w:pStyle w:val="NormalWeb"/>
        <w:spacing w:before="0" w:beforeAutospacing="0" w:after="0" w:afterAutospacing="0"/>
        <w:divId w:val="984553745"/>
        <w:rPr>
          <w:sz w:val="20"/>
          <w:szCs w:val="20"/>
        </w:rPr>
      </w:pPr>
      <w:r>
        <w:rPr>
          <w:sz w:val="20"/>
          <w:szCs w:val="20"/>
        </w:rPr>
        <w:t> </w:t>
      </w:r>
    </w:p>
    <w:p w14:paraId="204D2AC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B700730"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4.12 </w:t>
      </w:r>
      <w:r>
        <w:rPr>
          <w:sz w:val="20"/>
          <w:szCs w:val="20"/>
          <w:u w:val="single"/>
        </w:rPr>
        <w:t>Compliance with Law</w:t>
      </w:r>
      <w:r>
        <w:rPr>
          <w:sz w:val="20"/>
          <w:szCs w:val="20"/>
        </w:rPr>
        <w:t>. Except as would not reasonably be expected to have, individually or in the aggregate, a Company Material Adverse Effect:</w:t>
      </w:r>
    </w:p>
    <w:p w14:paraId="23D09AE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4D42B7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(a) each of the Group Companies is in compliance with, and since March 31, 2023 has not been given written notice of any violation </w:t>
      </w:r>
      <w:r>
        <w:rPr>
          <w:sz w:val="20"/>
          <w:szCs w:val="20"/>
        </w:rPr>
        <w:t>of, Laws applicable to them; and</w:t>
      </w:r>
    </w:p>
    <w:p w14:paraId="2A939AD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BA80F8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(i) each of the Group Companies is in possession of all grants, authorizations, licenses, permits, consents, certificates, approvals and Orders of any Governmental Entity necessary for it to own, lease, operate and us</w:t>
      </w:r>
      <w:r>
        <w:rPr>
          <w:sz w:val="20"/>
          <w:szCs w:val="20"/>
        </w:rPr>
        <w:t>e its properties and assets or to carry on its business substantially as is being conducted as of the date of this Agreement (the “</w:t>
      </w:r>
      <w:r>
        <w:rPr>
          <w:sz w:val="20"/>
          <w:szCs w:val="20"/>
          <w:u w:val="single"/>
        </w:rPr>
        <w:t>Company Permits</w:t>
      </w:r>
      <w:r>
        <w:rPr>
          <w:sz w:val="20"/>
          <w:szCs w:val="20"/>
        </w:rPr>
        <w:t>”); (ii) each of the Group Companies is in compliance with the terms of the Company Permits and all of the Com</w:t>
      </w:r>
      <w:r>
        <w:rPr>
          <w:sz w:val="20"/>
          <w:szCs w:val="20"/>
        </w:rPr>
        <w:t>pany Permits are valid and in full force and effect; and (iii) no suspension, modification, revocation or cancellation of any of the Company Permits is pending or, to the Knowledge of the Company, threatened in writing.</w:t>
      </w:r>
    </w:p>
    <w:p w14:paraId="7969B88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7D96D02"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4.13 </w:t>
      </w:r>
      <w:r>
        <w:rPr>
          <w:sz w:val="20"/>
          <w:szCs w:val="20"/>
          <w:u w:val="single"/>
        </w:rPr>
        <w:t>Taxes</w:t>
      </w:r>
      <w:r>
        <w:rPr>
          <w:sz w:val="20"/>
          <w:szCs w:val="20"/>
        </w:rPr>
        <w:t>.</w:t>
      </w:r>
    </w:p>
    <w:p w14:paraId="1B37CEB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701953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Except a</w:t>
      </w:r>
      <w:r>
        <w:rPr>
          <w:sz w:val="20"/>
          <w:szCs w:val="20"/>
        </w:rPr>
        <w:t xml:space="preserve">s would not reasonably be expected to have, individually or in the aggregate, a Company Material Adverse Effect, each of the Group Companies has (i) timely filed, or has caused to be timely filed on its </w:t>
      </w:r>
      <w:r>
        <w:rPr>
          <w:sz w:val="20"/>
          <w:szCs w:val="20"/>
        </w:rPr>
        <w:lastRenderedPageBreak/>
        <w:t>behalf (taking into account any extension of time wit</w:t>
      </w:r>
      <w:r>
        <w:rPr>
          <w:sz w:val="20"/>
          <w:szCs w:val="20"/>
        </w:rPr>
        <w:t>hin which to file) all Tax Returns required to be filed by any of them and all such filed Tax Returns were true, correct and complete in all material respects when filed and (ii) paid, discharged or accrued all material Taxes that are due and payable by an</w:t>
      </w:r>
      <w:r>
        <w:rPr>
          <w:sz w:val="20"/>
          <w:szCs w:val="20"/>
        </w:rPr>
        <w:t>y of them.</w:t>
      </w:r>
    </w:p>
    <w:p w14:paraId="22C690A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6A78A6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Except as would not reasonably be expected to have, individually or in the aggregate, a Company Material Adverse Effect, to the Knowledge of the Company, since the Applicable Date, the Group Companies have not received written notice of an</w:t>
      </w:r>
      <w:r>
        <w:rPr>
          <w:sz w:val="20"/>
          <w:szCs w:val="20"/>
        </w:rPr>
        <w:t>y audits or examinations of any Tax Return of any of the Group Companies, and none of the Group Companies has been notified in writing by any jurisdiction that the jurisdiction believes that such entity was required to file any Tax Return in such jurisdict</w:t>
      </w:r>
      <w:r>
        <w:rPr>
          <w:sz w:val="20"/>
          <w:szCs w:val="20"/>
        </w:rPr>
        <w:t>ion that was not filed.</w:t>
      </w:r>
    </w:p>
    <w:p w14:paraId="5474FB9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6E5955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(c) Except as would not reasonably be expected to have, individually or in the aggregate, a Company Material Adverse Effect, there are no outstanding written requests, agreements, consents or waivers to extend the statutory period</w:t>
      </w:r>
      <w:r>
        <w:rPr>
          <w:sz w:val="20"/>
          <w:szCs w:val="20"/>
        </w:rPr>
        <w:t xml:space="preserve"> of limitations applicable to the assessment of any material Taxes or significant deficiencies against any of the Group Companies.</w:t>
      </w:r>
    </w:p>
    <w:p w14:paraId="509F2C9B"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57F15C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(d) The Group Companies have withheld and collected all material amounts of Taxes to the extent required by applicable Laws</w:t>
      </w:r>
      <w:r>
        <w:rPr>
          <w:sz w:val="20"/>
          <w:szCs w:val="20"/>
        </w:rPr>
        <w:t xml:space="preserve"> to be withheld or collected, and, to the extent required by applicable Laws, have paid over such amounts to the appropriate Governmental Entity.</w:t>
      </w:r>
    </w:p>
    <w:p w14:paraId="7772E9C6"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E7F4E8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(e) Except as would not reasonably be expected to have, individually or in the aggregate, a Company Material</w:t>
      </w:r>
      <w:r>
        <w:rPr>
          <w:sz w:val="20"/>
          <w:szCs w:val="20"/>
        </w:rPr>
        <w:t xml:space="preserve"> Adverse Effect, (i) each of the Company’s Subsidiaries has, in accordance with applicable Laws, duly registered with the relevant Governmental Entity, obtained and maintained the validity of all national and local Tax registration certificates and complie</w:t>
      </w:r>
      <w:r>
        <w:rPr>
          <w:sz w:val="20"/>
          <w:szCs w:val="20"/>
        </w:rPr>
        <w:t>d in all respects with all requirements imposed by such Governmental Entities, (ii) no submissions made by or on behalf of the Company or any of its Subsidiaries to any Governmental Entities in connection with obtaining Tax exemptions, Tax holidays, Tax de</w:t>
      </w:r>
      <w:r>
        <w:rPr>
          <w:sz w:val="20"/>
          <w:szCs w:val="20"/>
        </w:rPr>
        <w:t>ferrals, Tax incentives or other preferential Tax treatments or Tax rebates contained any material misstatement or omission that would have affected the granting of such Tax exemptions, preferential treatments or rebates, and (iii) as of the date hereof, n</w:t>
      </w:r>
      <w:r>
        <w:rPr>
          <w:sz w:val="20"/>
          <w:szCs w:val="20"/>
        </w:rPr>
        <w:t>o suspension, revocation or cancellation of any Tax exemptions, preferential treatments or rebates is pending or, to the Knowledge of the Company, threatened in writing.</w:t>
      </w:r>
    </w:p>
    <w:p w14:paraId="44F3BB8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556EE065" w14:textId="77777777" w:rsidR="00000000" w:rsidRDefault="002F725F">
      <w:pPr>
        <w:pStyle w:val="NormalWeb"/>
        <w:spacing w:before="0" w:beforeAutospacing="0" w:after="0" w:afterAutospacing="0"/>
        <w:jc w:val="center"/>
        <w:divId w:val="762920021"/>
        <w:rPr>
          <w:sz w:val="20"/>
          <w:szCs w:val="20"/>
        </w:rPr>
      </w:pPr>
      <w:r>
        <w:rPr>
          <w:sz w:val="20"/>
          <w:szCs w:val="20"/>
        </w:rPr>
        <w:t>A</w:t>
      </w:r>
      <w:r>
        <w:rPr>
          <w:sz w:val="20"/>
          <w:szCs w:val="20"/>
        </w:rPr>
        <w:t>-</w:t>
      </w:r>
      <w:r>
        <w:rPr>
          <w:sz w:val="20"/>
          <w:szCs w:val="20"/>
        </w:rPr>
        <w:t>2</w:t>
      </w:r>
      <w:r>
        <w:rPr>
          <w:sz w:val="20"/>
          <w:szCs w:val="20"/>
        </w:rPr>
        <w:t>5</w:t>
      </w:r>
    </w:p>
    <w:p w14:paraId="19A36A2C" w14:textId="77777777" w:rsidR="00000000" w:rsidRDefault="002F725F">
      <w:pPr>
        <w:pStyle w:val="NormalWeb"/>
        <w:spacing w:before="0" w:beforeAutospacing="0" w:after="0" w:afterAutospacing="0"/>
        <w:divId w:val="665789495"/>
        <w:rPr>
          <w:sz w:val="20"/>
          <w:szCs w:val="20"/>
        </w:rPr>
      </w:pPr>
      <w:r>
        <w:rPr>
          <w:sz w:val="20"/>
          <w:szCs w:val="20"/>
        </w:rPr>
        <w:t> </w:t>
      </w:r>
    </w:p>
    <w:p w14:paraId="2D2CC78B"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9EFE3C2"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(f) The representations set forth in this </w:t>
      </w:r>
      <w:r>
        <w:rPr>
          <w:sz w:val="20"/>
          <w:szCs w:val="20"/>
          <w:u w:val="single"/>
        </w:rPr>
        <w:t>Section 4.13</w:t>
      </w:r>
      <w:r>
        <w:rPr>
          <w:sz w:val="20"/>
          <w:szCs w:val="20"/>
        </w:rPr>
        <w:t xml:space="preserve"> are the sole ‎and ex</w:t>
      </w:r>
      <w:r>
        <w:rPr>
          <w:sz w:val="20"/>
          <w:szCs w:val="20"/>
        </w:rPr>
        <w:t xml:space="preserve">clusive representations in this Agreement with respect to Taxes and any claim ‎for breach of representation with respect to Taxes will be based on the ‎representations made in this </w:t>
      </w:r>
      <w:r>
        <w:rPr>
          <w:sz w:val="20"/>
          <w:szCs w:val="20"/>
          <w:u w:val="single"/>
        </w:rPr>
        <w:t>Section 4.13</w:t>
      </w:r>
      <w:r>
        <w:rPr>
          <w:sz w:val="20"/>
          <w:szCs w:val="20"/>
        </w:rPr>
        <w:t xml:space="preserve"> and will not be based ‎on the representations set forth in any</w:t>
      </w:r>
      <w:r>
        <w:rPr>
          <w:sz w:val="20"/>
          <w:szCs w:val="20"/>
        </w:rPr>
        <w:t xml:space="preserve"> other provision of this Agreement. Nothing in‎ this </w:t>
      </w:r>
      <w:r>
        <w:rPr>
          <w:sz w:val="20"/>
          <w:szCs w:val="20"/>
          <w:u w:val="single"/>
        </w:rPr>
        <w:t>Section 4.13</w:t>
      </w:r>
      <w:r>
        <w:rPr>
          <w:sz w:val="20"/>
          <w:szCs w:val="20"/>
        </w:rPr>
        <w:t>, or otherwise in this Agreement shall be construed ‎as a representation or warranty with respect to (i) the amount or availability in a ‎taxable period (or portion thereof) beginning after t</w:t>
      </w:r>
      <w:r>
        <w:rPr>
          <w:sz w:val="20"/>
          <w:szCs w:val="20"/>
        </w:rPr>
        <w:t>he Closing Date of any Tax ‎attribute, asset, or benefit or (ii) any Tax positions that Parent or any of its ‎Affiliates (including any Group Company) may take in ‎respect of a taxable period (or portion thereof) beginning after the Closing Date.</w:t>
      </w:r>
    </w:p>
    <w:p w14:paraId="73014F2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446AEE4" w14:textId="77777777" w:rsidR="00000000" w:rsidRDefault="002F725F">
      <w:pPr>
        <w:pStyle w:val="NormalWeb"/>
        <w:spacing w:before="0" w:beforeAutospacing="0" w:after="0" w:afterAutospacing="0"/>
        <w:jc w:val="both"/>
        <w:divId w:val="415980837"/>
        <w:rPr>
          <w:sz w:val="20"/>
          <w:szCs w:val="20"/>
        </w:rPr>
      </w:pPr>
      <w:r>
        <w:rPr>
          <w:sz w:val="20"/>
          <w:szCs w:val="20"/>
        </w:rPr>
        <w:t>Section</w:t>
      </w:r>
      <w:r>
        <w:rPr>
          <w:sz w:val="20"/>
          <w:szCs w:val="20"/>
        </w:rPr>
        <w:t xml:space="preserve"> 4.14 </w:t>
      </w:r>
      <w:r>
        <w:rPr>
          <w:sz w:val="20"/>
          <w:szCs w:val="20"/>
          <w:u w:val="single"/>
        </w:rPr>
        <w:t>Material Contracts</w:t>
      </w:r>
      <w:r>
        <w:rPr>
          <w:sz w:val="20"/>
          <w:szCs w:val="20"/>
        </w:rPr>
        <w:t>.</w:t>
      </w:r>
    </w:p>
    <w:p w14:paraId="76B00FF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5B610D82"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For purposes of this Agreement, the “</w:t>
      </w:r>
      <w:r>
        <w:rPr>
          <w:sz w:val="20"/>
          <w:szCs w:val="20"/>
          <w:u w:val="single"/>
        </w:rPr>
        <w:t>Company Material Contracts</w:t>
      </w:r>
      <w:r>
        <w:rPr>
          <w:sz w:val="20"/>
          <w:szCs w:val="20"/>
        </w:rPr>
        <w:t xml:space="preserve">” means (i) this Agreement and (ii) any Contracts </w:t>
      </w:r>
      <w:r>
        <w:rPr>
          <w:sz w:val="20"/>
          <w:szCs w:val="20"/>
        </w:rPr>
        <w:t>to which any of the Group Companies is a party as of the date of this Agreement filed as exhibits to the Company SEC Reports.</w:t>
      </w:r>
    </w:p>
    <w:p w14:paraId="3550167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5C7A655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Except as would not reasonably be expected to have a Company Material Adverse Effect, (i) each Company Material Contract con</w:t>
      </w:r>
      <w:r>
        <w:rPr>
          <w:sz w:val="20"/>
          <w:szCs w:val="20"/>
        </w:rPr>
        <w:t xml:space="preserve">stitutes a legal, valid and binding obligation of a Group Company, as applicable, in full force and effect and enforceable against such Group Company in accordance with its terms, subject to Enforceability Exceptions; (ii) to the Knowledge of the Company, </w:t>
      </w:r>
      <w:r>
        <w:rPr>
          <w:sz w:val="20"/>
          <w:szCs w:val="20"/>
        </w:rPr>
        <w:t xml:space="preserve">none of the Group Companies nor any other party to a Company Material Contract is in breach or violation of, or default under, or has taken or failed to take any </w:t>
      </w:r>
      <w:r>
        <w:rPr>
          <w:sz w:val="20"/>
          <w:szCs w:val="20"/>
        </w:rPr>
        <w:lastRenderedPageBreak/>
        <w:t>act which, with or without notice, lapse of time, or both, would constitute a default under th</w:t>
      </w:r>
      <w:r>
        <w:rPr>
          <w:sz w:val="20"/>
          <w:szCs w:val="20"/>
        </w:rPr>
        <w:t>e provisions of, any Company Material Contract; (iii) the Group Companies have not received, during the twelve (12) month period preceding the date hereof, any written claim or notice of default under any Company Material Contract which has not been resolv</w:t>
      </w:r>
      <w:r>
        <w:rPr>
          <w:sz w:val="20"/>
          <w:szCs w:val="20"/>
        </w:rPr>
        <w:t>ed; (iv) to the Knowledge of the Company, the Group Companies have not received, as of the date of this Agreement, any written notice from any counterparty that such counterparty intends to terminate any Company Material Contract; and (v) neither the execu</w:t>
      </w:r>
      <w:r>
        <w:rPr>
          <w:sz w:val="20"/>
          <w:szCs w:val="20"/>
        </w:rPr>
        <w:t>tion of this Agreement nor the consummation of any Transaction will constitute a material default under, give rise to cancellation rights under, or otherwise adversely affect any of the material rights of any Group Company under any Company Material Contra</w:t>
      </w:r>
      <w:r>
        <w:rPr>
          <w:sz w:val="20"/>
          <w:szCs w:val="20"/>
        </w:rPr>
        <w:t>ct.</w:t>
      </w:r>
    </w:p>
    <w:p w14:paraId="5E8F78F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120E0A4"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4.15 </w:t>
      </w:r>
      <w:r>
        <w:rPr>
          <w:sz w:val="20"/>
          <w:szCs w:val="20"/>
          <w:u w:val="single"/>
        </w:rPr>
        <w:t>Intellectual Property</w:t>
      </w:r>
      <w:r>
        <w:rPr>
          <w:sz w:val="20"/>
          <w:szCs w:val="20"/>
        </w:rPr>
        <w:t>. Except as would not reasonably be expected to have a Company Material Adverse Effect:</w:t>
      </w:r>
    </w:p>
    <w:p w14:paraId="2556DAE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018BC4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the Group Companies own or possess all necessary or required licenses or other necessary or required rights to use (in eac</w:t>
      </w:r>
      <w:r>
        <w:rPr>
          <w:sz w:val="20"/>
          <w:szCs w:val="20"/>
        </w:rPr>
        <w:t>h case, free and clear of any Liens, except for Permitted Liens) in the manner currently used, all material patents, patent rights, trademarks (including common law trademark rights in program titles and other protectable elements), trademark rights, trade</w:t>
      </w:r>
      <w:r>
        <w:rPr>
          <w:sz w:val="20"/>
          <w:szCs w:val="20"/>
        </w:rPr>
        <w:t xml:space="preserve"> names, trade name rights, copyrights, domain names, service marks, service mark rights, applications to register, registrations for, and extension and reissues of, any of the foregoing, trade secrets, know-how and proprietary rights and information, in ea</w:t>
      </w:r>
      <w:r>
        <w:rPr>
          <w:sz w:val="20"/>
          <w:szCs w:val="20"/>
        </w:rPr>
        <w:t>ch case to the extent protected under applicable Laws (the “</w:t>
      </w:r>
      <w:r>
        <w:rPr>
          <w:sz w:val="20"/>
          <w:szCs w:val="20"/>
          <w:u w:val="single"/>
        </w:rPr>
        <w:t>Intellectual Property</w:t>
      </w:r>
      <w:r>
        <w:rPr>
          <w:sz w:val="20"/>
          <w:szCs w:val="20"/>
        </w:rPr>
        <w:t>”) used in connection with the business of the Group Companies as it is now being conducted (the “</w:t>
      </w:r>
      <w:r>
        <w:rPr>
          <w:sz w:val="20"/>
          <w:szCs w:val="20"/>
          <w:u w:val="single"/>
        </w:rPr>
        <w:t>Company Intellectual Property</w:t>
      </w:r>
      <w:r>
        <w:rPr>
          <w:sz w:val="20"/>
          <w:szCs w:val="20"/>
        </w:rPr>
        <w:t>”);</w:t>
      </w:r>
    </w:p>
    <w:p w14:paraId="1FFB493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6343B3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CCF7E7A" w14:textId="77777777" w:rsidR="00000000" w:rsidRDefault="002F725F">
      <w:pPr>
        <w:pStyle w:val="NormalWeb"/>
        <w:spacing w:before="0" w:beforeAutospacing="0" w:after="0" w:afterAutospacing="0"/>
        <w:jc w:val="center"/>
        <w:divId w:val="1932271113"/>
        <w:rPr>
          <w:sz w:val="20"/>
          <w:szCs w:val="20"/>
        </w:rPr>
      </w:pPr>
      <w:r>
        <w:rPr>
          <w:sz w:val="20"/>
          <w:szCs w:val="20"/>
        </w:rPr>
        <w:t>A</w:t>
      </w:r>
      <w:r>
        <w:rPr>
          <w:sz w:val="20"/>
          <w:szCs w:val="20"/>
        </w:rPr>
        <w:t>-</w:t>
      </w:r>
      <w:r>
        <w:rPr>
          <w:sz w:val="20"/>
          <w:szCs w:val="20"/>
        </w:rPr>
        <w:t>2</w:t>
      </w:r>
      <w:r>
        <w:rPr>
          <w:sz w:val="20"/>
          <w:szCs w:val="20"/>
        </w:rPr>
        <w:t>6</w:t>
      </w:r>
    </w:p>
    <w:p w14:paraId="5F33C039" w14:textId="77777777" w:rsidR="00000000" w:rsidRDefault="002F725F">
      <w:pPr>
        <w:pStyle w:val="NormalWeb"/>
        <w:spacing w:before="0" w:beforeAutospacing="0" w:after="0" w:afterAutospacing="0"/>
        <w:divId w:val="1099327439"/>
        <w:rPr>
          <w:sz w:val="20"/>
          <w:szCs w:val="20"/>
        </w:rPr>
      </w:pPr>
      <w:r>
        <w:rPr>
          <w:sz w:val="20"/>
          <w:szCs w:val="20"/>
        </w:rPr>
        <w:t> </w:t>
      </w:r>
    </w:p>
    <w:p w14:paraId="5F62237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52F8A25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the use of any Intellectual</w:t>
      </w:r>
      <w:r>
        <w:rPr>
          <w:sz w:val="20"/>
          <w:szCs w:val="20"/>
        </w:rPr>
        <w:t xml:space="preserve"> Property in connection with the operation of their respective businesses or otherwise by the Company or its Subsidiaries does not infringe upon, misappropriate, or otherwise violate and since the Applicable Date has not infringed upon, misappropriated or </w:t>
      </w:r>
      <w:r>
        <w:rPr>
          <w:sz w:val="20"/>
          <w:szCs w:val="20"/>
        </w:rPr>
        <w:t>otherwise violated the Intellectual Property rights of any Person and is in accordance with any applicable license pursuant to which the Company or any of its Subsidiaries acquired the right to use such Intellectual Property;</w:t>
      </w:r>
    </w:p>
    <w:p w14:paraId="2778D05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0DCEF7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(c) to the Knowledge of the </w:t>
      </w:r>
      <w:r>
        <w:rPr>
          <w:sz w:val="20"/>
          <w:szCs w:val="20"/>
        </w:rPr>
        <w:t>Company, neither the Company nor any of its Subsidiaries has received, in the past two (2) years, any written charge, complaint, claim, demand or notice challenging the validity of any of the Company Intellectual Property that has not been resolved;</w:t>
      </w:r>
    </w:p>
    <w:p w14:paraId="16DCB1D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B9EF1E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(d) </w:t>
      </w:r>
      <w:r>
        <w:rPr>
          <w:sz w:val="20"/>
          <w:szCs w:val="20"/>
        </w:rPr>
        <w:t>the Company or one of its Subsidiaries is the sole and exclusive owner of all right, title and interest in and to, or has the valid right to use all Company Intellectual Property used or held for use in or necessary for the conduct of the business of the G</w:t>
      </w:r>
      <w:r>
        <w:rPr>
          <w:sz w:val="20"/>
          <w:szCs w:val="20"/>
        </w:rPr>
        <w:t xml:space="preserve">roup Companies as currently conducted, free and clear of all Liens other than the Permitted Liens. As of the date hereof, to the Knowledge of the Company, no Third Party is infringing in any material respect a proprietary right in any Company Intellectual </w:t>
      </w:r>
      <w:r>
        <w:rPr>
          <w:sz w:val="20"/>
          <w:szCs w:val="20"/>
        </w:rPr>
        <w:t xml:space="preserve">Property owned by the Group Companies and the use of the Company Intellectual Property in connection with the Group Companies’ businesses as currently conducted does not materially infringe upon any Intellectual Property of any Person. To the Knowledge of </w:t>
      </w:r>
      <w:r>
        <w:rPr>
          <w:sz w:val="20"/>
          <w:szCs w:val="20"/>
        </w:rPr>
        <w:t>the Company, none of the Group Companies has received, in the past two (2) years, any written charge, complaint, claim, demand or notice alleging any such infringement or misappropriation by any of the Group Companies that has not been settled or otherwise</w:t>
      </w:r>
      <w:r>
        <w:rPr>
          <w:sz w:val="20"/>
          <w:szCs w:val="20"/>
        </w:rPr>
        <w:t xml:space="preserve"> resolved;</w:t>
      </w:r>
    </w:p>
    <w:p w14:paraId="0BB3D7C2"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D68EBF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(e) the consummation of the Transactions would not adversely alter, encumber, impair or extinguish any Company Intellectual Property right of any of the Group Companies; and</w:t>
      </w:r>
    </w:p>
    <w:p w14:paraId="0D314F4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7BC1E6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(f) the Group Companies have since the Applicable Date taken commer</w:t>
      </w:r>
      <w:r>
        <w:rPr>
          <w:sz w:val="20"/>
          <w:szCs w:val="20"/>
        </w:rPr>
        <w:t>cially reasonable steps in accordance with normal industry practice to maintain the confidentiality of all trade secrets owned, used or held for use by the Group Companies and no such trade secrets have been disclosed other than to employees, representativ</w:t>
      </w:r>
      <w:r>
        <w:rPr>
          <w:sz w:val="20"/>
          <w:szCs w:val="20"/>
        </w:rPr>
        <w:t>es and agents of the Group Companies, on a need-to-know basis.</w:t>
      </w:r>
    </w:p>
    <w:p w14:paraId="46E64E2C"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 </w:t>
      </w:r>
    </w:p>
    <w:p w14:paraId="0C51CD26"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4.16 </w:t>
      </w:r>
      <w:r>
        <w:rPr>
          <w:sz w:val="20"/>
          <w:szCs w:val="20"/>
          <w:u w:val="single"/>
        </w:rPr>
        <w:t>Real Property</w:t>
      </w:r>
      <w:r>
        <w:rPr>
          <w:sz w:val="20"/>
          <w:szCs w:val="20"/>
        </w:rPr>
        <w:t>.</w:t>
      </w:r>
    </w:p>
    <w:p w14:paraId="3937D22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D8596C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(a) </w:t>
      </w:r>
      <w:r>
        <w:rPr>
          <w:sz w:val="20"/>
          <w:szCs w:val="20"/>
        </w:rPr>
        <w:t>With respect to each Company Owned Real Property, except as would not, individually or in the aggregate, reasonably be expected to have a Company Material Adverse Effect, (i) the relevant Group Company has good and marketable title, validly granted land us</w:t>
      </w:r>
      <w:r>
        <w:rPr>
          <w:sz w:val="20"/>
          <w:szCs w:val="20"/>
        </w:rPr>
        <w:t>e rights or building ownership rights, as applicable, to such Company Owned Real Property, free and clear of all Liens, except Permitted Liens; (ii) no Group Company has leased or otherwise granted to any Person the right to use or occupy such Company Owne</w:t>
      </w:r>
      <w:r>
        <w:rPr>
          <w:sz w:val="20"/>
          <w:szCs w:val="20"/>
        </w:rPr>
        <w:t>d Real Property or any portion thereof; (iii) there are no outstanding options, rights of first offer or rights of first refusal to purchase such Company Owned Real Property or any portion thereof or interest therein; and (iv) the relevant Group Company ha</w:t>
      </w:r>
      <w:r>
        <w:rPr>
          <w:sz w:val="20"/>
          <w:szCs w:val="20"/>
        </w:rPr>
        <w:t>s duly complied with all of the terms and conditions of, and all of its obligations under, the relevant land use rights Contract or real property purchase Contract in relation to any Company Owned Real Property owned by it.</w:t>
      </w:r>
    </w:p>
    <w:p w14:paraId="78F6391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8FA122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Except as would not, indiv</w:t>
      </w:r>
      <w:r>
        <w:rPr>
          <w:sz w:val="20"/>
          <w:szCs w:val="20"/>
        </w:rPr>
        <w:t xml:space="preserve">idually or in the aggregate, reasonably be expected to have a Company Material Adverse Effect, each of the leases under which any of the Group Companies holds any Company Leased Real Property is in full force and effect and constitutes a valid and binding </w:t>
      </w:r>
      <w:r>
        <w:rPr>
          <w:sz w:val="20"/>
          <w:szCs w:val="20"/>
        </w:rPr>
        <w:t>obligation of any of the Group Companies. To the Knowledge of the Company, neither the Group Companies nor any other party to the lease is in material default under any lease.</w:t>
      </w:r>
    </w:p>
    <w:p w14:paraId="4C9775D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991068E" w14:textId="77777777" w:rsidR="00000000" w:rsidRDefault="002F725F">
      <w:pPr>
        <w:pStyle w:val="NormalWeb"/>
        <w:spacing w:before="0" w:beforeAutospacing="0" w:after="0" w:afterAutospacing="0"/>
        <w:jc w:val="center"/>
        <w:divId w:val="357894555"/>
        <w:rPr>
          <w:sz w:val="20"/>
          <w:szCs w:val="20"/>
        </w:rPr>
      </w:pPr>
      <w:r>
        <w:rPr>
          <w:sz w:val="20"/>
          <w:szCs w:val="20"/>
        </w:rPr>
        <w:t>A</w:t>
      </w:r>
      <w:r>
        <w:rPr>
          <w:sz w:val="20"/>
          <w:szCs w:val="20"/>
        </w:rPr>
        <w:t>-</w:t>
      </w:r>
      <w:r>
        <w:rPr>
          <w:sz w:val="20"/>
          <w:szCs w:val="20"/>
        </w:rPr>
        <w:t>2</w:t>
      </w:r>
      <w:r>
        <w:rPr>
          <w:sz w:val="20"/>
          <w:szCs w:val="20"/>
        </w:rPr>
        <w:t>7</w:t>
      </w:r>
    </w:p>
    <w:p w14:paraId="7BB57808" w14:textId="77777777" w:rsidR="00000000" w:rsidRDefault="002F725F">
      <w:pPr>
        <w:pStyle w:val="NormalWeb"/>
        <w:spacing w:before="0" w:beforeAutospacing="0" w:after="0" w:afterAutospacing="0"/>
        <w:divId w:val="486438848"/>
        <w:rPr>
          <w:sz w:val="20"/>
          <w:szCs w:val="20"/>
        </w:rPr>
      </w:pPr>
      <w:r>
        <w:rPr>
          <w:sz w:val="20"/>
          <w:szCs w:val="20"/>
        </w:rPr>
        <w:t> </w:t>
      </w:r>
    </w:p>
    <w:p w14:paraId="7BCAD42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F3A9332"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4.17 </w:t>
      </w:r>
      <w:r>
        <w:rPr>
          <w:sz w:val="20"/>
          <w:szCs w:val="20"/>
          <w:u w:val="single"/>
        </w:rPr>
        <w:t>Brokers or Finders</w:t>
      </w:r>
      <w:r>
        <w:rPr>
          <w:sz w:val="20"/>
          <w:szCs w:val="20"/>
        </w:rPr>
        <w:t>. No investment banker, broker, finder</w:t>
      </w:r>
      <w:r>
        <w:rPr>
          <w:sz w:val="20"/>
          <w:szCs w:val="20"/>
        </w:rPr>
        <w:t>, consultant or intermediary other than the Financial Advisor, the fees and expenses of which will be paid by the Company, is entitled to any investment banking, brokerage, finder’s or similar fee or commission in connection with this Agreement or the Tran</w:t>
      </w:r>
      <w:r>
        <w:rPr>
          <w:sz w:val="20"/>
          <w:szCs w:val="20"/>
        </w:rPr>
        <w:t>sactions based upon arrangements made by or on behalf of the Group Companies.</w:t>
      </w:r>
    </w:p>
    <w:p w14:paraId="752DBEB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6F9DB8D"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4.18 </w:t>
      </w:r>
      <w:r>
        <w:rPr>
          <w:sz w:val="20"/>
          <w:szCs w:val="20"/>
          <w:u w:val="single"/>
        </w:rPr>
        <w:t>Insurance</w:t>
      </w:r>
      <w:r>
        <w:rPr>
          <w:sz w:val="20"/>
          <w:szCs w:val="20"/>
        </w:rPr>
        <w:t>. Except as would not, individually or in the aggregate, have a Company Material Adverse Effect, (i) all material insurance policies with respect to the b</w:t>
      </w:r>
      <w:r>
        <w:rPr>
          <w:sz w:val="20"/>
          <w:szCs w:val="20"/>
        </w:rPr>
        <w:t>usiness and assets of the Group Companies (the “</w:t>
      </w:r>
      <w:r>
        <w:rPr>
          <w:sz w:val="20"/>
          <w:szCs w:val="20"/>
          <w:u w:val="single"/>
        </w:rPr>
        <w:t>Policies</w:t>
      </w:r>
      <w:r>
        <w:rPr>
          <w:sz w:val="20"/>
          <w:szCs w:val="20"/>
        </w:rPr>
        <w:t>”) are in full force; (ii) to the Knowledge of the Company, none of the Group Companies is in breach or default of any of the Policies; and (iii) to the Knowledge of the Company, none of the Group Com</w:t>
      </w:r>
      <w:r>
        <w:rPr>
          <w:sz w:val="20"/>
          <w:szCs w:val="20"/>
        </w:rPr>
        <w:t>panies has received any written notice of cancellation or threatened cancellation of any of the Policies or of any written claim pending regarding the Group Companies under any of such Policies as to which coverage has been questioned, denied or disputed b</w:t>
      </w:r>
      <w:r>
        <w:rPr>
          <w:sz w:val="20"/>
          <w:szCs w:val="20"/>
        </w:rPr>
        <w:t>y the underwriters of such Policies.</w:t>
      </w:r>
    </w:p>
    <w:p w14:paraId="6A689A3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9F23DA0"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4.19 </w:t>
      </w:r>
      <w:r>
        <w:rPr>
          <w:sz w:val="20"/>
          <w:szCs w:val="20"/>
          <w:u w:val="single"/>
        </w:rPr>
        <w:t>Employee Matters</w:t>
      </w:r>
      <w:r>
        <w:rPr>
          <w:sz w:val="20"/>
          <w:szCs w:val="20"/>
        </w:rPr>
        <w:t>.</w:t>
      </w:r>
    </w:p>
    <w:p w14:paraId="6D32FBB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57EE839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Each of the Group Companies is in compliance in all material respects with all applicable labor and employment Laws, including all such applicable Laws relating to (i) wages, worki</w:t>
      </w:r>
      <w:r>
        <w:rPr>
          <w:sz w:val="20"/>
          <w:szCs w:val="20"/>
        </w:rPr>
        <w:t xml:space="preserve">ng hours and any similar mass layoff Law, collective bargaining, discrimination, civil rights, safety and health, workers’ compensation; (ii) the collection and payment of withholding and/or social security Taxes and any similar Tax; and (iii) deductions, </w:t>
      </w:r>
      <w:r>
        <w:rPr>
          <w:sz w:val="20"/>
          <w:szCs w:val="20"/>
        </w:rPr>
        <w:t xml:space="preserve">payments and contributions of retirement insurance, medical insurance, unemployment insurance, work-related injury insurance, birth and nursery insurance, pension fund insurance and any other social benefit payments required by applicable Laws, except, in </w:t>
      </w:r>
      <w:r>
        <w:rPr>
          <w:sz w:val="20"/>
          <w:szCs w:val="20"/>
        </w:rPr>
        <w:t>each case of (i) through (iii), for any non-compliance which would not, individually or in the aggregate, reasonably be expected to have a Company Material Adverse Effect.</w:t>
      </w:r>
    </w:p>
    <w:p w14:paraId="743B7DB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953B0D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(b) Except as would not, individually or in the aggregate, reasonably be expected </w:t>
      </w:r>
      <w:r>
        <w:rPr>
          <w:sz w:val="20"/>
          <w:szCs w:val="20"/>
        </w:rPr>
        <w:t>to have a Company Material Adverse Effect, (i) there are no disputes pending or, to the Knowledge of the Company, threatened in writing between any of the Group Companies and any of their respective current or former employees, contractors, subcontractors,</w:t>
      </w:r>
      <w:r>
        <w:rPr>
          <w:sz w:val="20"/>
          <w:szCs w:val="20"/>
        </w:rPr>
        <w:t xml:space="preserve"> agents or other Persons engaged by such Group Company in connection with their businesses (collectively, the “</w:t>
      </w:r>
      <w:r>
        <w:rPr>
          <w:sz w:val="20"/>
          <w:szCs w:val="20"/>
          <w:u w:val="single"/>
        </w:rPr>
        <w:t>Company Personnel</w:t>
      </w:r>
      <w:r>
        <w:rPr>
          <w:sz w:val="20"/>
          <w:szCs w:val="20"/>
        </w:rPr>
        <w:t xml:space="preserve">”), including disputes with respect to the items listed in this </w:t>
      </w:r>
      <w:r>
        <w:rPr>
          <w:sz w:val="20"/>
          <w:szCs w:val="20"/>
          <w:u w:val="single"/>
        </w:rPr>
        <w:t>Section 4.19(b)</w:t>
      </w:r>
      <w:r>
        <w:rPr>
          <w:sz w:val="20"/>
          <w:szCs w:val="20"/>
        </w:rPr>
        <w:t xml:space="preserve"> whether directly between any of the Group Compan</w:t>
      </w:r>
      <w:r>
        <w:rPr>
          <w:sz w:val="20"/>
          <w:szCs w:val="20"/>
        </w:rPr>
        <w:t xml:space="preserve">ies and any Company Personnel or before or involving any Governmental Entity; (ii) there are no collective bargaining agreement or other labor union Contract applicable to </w:t>
      </w:r>
      <w:r>
        <w:rPr>
          <w:sz w:val="20"/>
          <w:szCs w:val="20"/>
        </w:rPr>
        <w:lastRenderedPageBreak/>
        <w:t>employees of any of the Group Companies and to which such Group Company is a party t</w:t>
      </w:r>
      <w:r>
        <w:rPr>
          <w:sz w:val="20"/>
          <w:szCs w:val="20"/>
        </w:rPr>
        <w:t>o or bound by; (iii) there are no unfair labor practice complaints pending, or to the Knowledge of the Company, threatened in writing, against any of the Group Companies before any Governmental Entity; and (iv) there is no strike, slowdown, work stoppage o</w:t>
      </w:r>
      <w:r>
        <w:rPr>
          <w:sz w:val="20"/>
          <w:szCs w:val="20"/>
        </w:rPr>
        <w:t>r lockout, or similar activity or, threat thereof, by or with respect to any Company Personnel, nor has there been any such occurrence during the past two (2) years.</w:t>
      </w:r>
    </w:p>
    <w:p w14:paraId="0AB451F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2B96877"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4.20   </w:t>
      </w:r>
      <w:r>
        <w:rPr>
          <w:sz w:val="20"/>
          <w:szCs w:val="20"/>
          <w:u w:val="single"/>
        </w:rPr>
        <w:t>Environmental Matters</w:t>
      </w:r>
      <w:r>
        <w:rPr>
          <w:sz w:val="20"/>
          <w:szCs w:val="20"/>
        </w:rPr>
        <w:t>. Except as would not, individually or in the aggreg</w:t>
      </w:r>
      <w:r>
        <w:rPr>
          <w:sz w:val="20"/>
          <w:szCs w:val="20"/>
        </w:rPr>
        <w:t>ate, reasonably be expected to have a Company Material Adverse Effect, (a) the Group Companies are in compliance with all applicable Environmental Laws, and possess and are in compliance with all applicable environmental permits, licenses and other authori</w:t>
      </w:r>
      <w:r>
        <w:rPr>
          <w:sz w:val="20"/>
          <w:szCs w:val="20"/>
        </w:rPr>
        <w:t>zations necessary under applicable Law to operate the business as presently operated, (b) to the Knowledge of the Company, no property of any Group Company where Hazardous Materials are stored, transported, treated or disposed of on behalf of any of the Gr</w:t>
      </w:r>
      <w:r>
        <w:rPr>
          <w:sz w:val="20"/>
          <w:szCs w:val="20"/>
        </w:rPr>
        <w:t>oup Companies is contaminated with any Release of Hazardous Materials in a manner that a remedial action is to be required under applicable Environmental Law, and (c) to the Knowledge of the Company, since the Applicable Date, none of the Group Companies h</w:t>
      </w:r>
      <w:r>
        <w:rPr>
          <w:sz w:val="20"/>
          <w:szCs w:val="20"/>
        </w:rPr>
        <w:t>as received any written claim or complaint, or is presently subject to any Legal Proceeding, relating to non-compliance with any applicable Environmental Laws or any other liabilities pursuant to or arising in connection with any Environmental Laws, enviro</w:t>
      </w:r>
      <w:r>
        <w:rPr>
          <w:sz w:val="20"/>
          <w:szCs w:val="20"/>
        </w:rPr>
        <w:t>nmental permits or Hazardous Materials.</w:t>
      </w:r>
    </w:p>
    <w:p w14:paraId="5DE9811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20AEDE1"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4.21 </w:t>
      </w:r>
      <w:r>
        <w:rPr>
          <w:sz w:val="20"/>
          <w:szCs w:val="20"/>
          <w:u w:val="single"/>
        </w:rPr>
        <w:t>No Other Representations</w:t>
      </w:r>
      <w:r>
        <w:rPr>
          <w:sz w:val="20"/>
          <w:szCs w:val="20"/>
        </w:rPr>
        <w:t xml:space="preserve">. Except for the representations and warranties made by the Company in this </w:t>
      </w:r>
      <w:r>
        <w:rPr>
          <w:sz w:val="20"/>
          <w:szCs w:val="20"/>
          <w:u w:val="single"/>
        </w:rPr>
        <w:t>Article IV</w:t>
      </w:r>
      <w:r>
        <w:rPr>
          <w:sz w:val="20"/>
          <w:szCs w:val="20"/>
        </w:rPr>
        <w:t>, Parent and Merger Sub acknowledge that neither the Company nor any other Person makes any</w:t>
      </w:r>
      <w:r>
        <w:rPr>
          <w:sz w:val="20"/>
          <w:szCs w:val="20"/>
        </w:rPr>
        <w:t xml:space="preserve"> other express or implied representation or warranty with respect to the Company or any Group Companies or their respective businesses, or with respect to any information provided to Parent, Merger Sub or any of their respective Affiliates or Representativ</w:t>
      </w:r>
      <w:r>
        <w:rPr>
          <w:sz w:val="20"/>
          <w:szCs w:val="20"/>
        </w:rPr>
        <w:t>es in connection with the Transactions, notwithstanding the delivery or disclosure to Parent, Merger Sub or any of their Affiliates or Representatives of any documentation, forecasts or other information with respect to any one or more of the foregoing. Ne</w:t>
      </w:r>
      <w:r>
        <w:rPr>
          <w:sz w:val="20"/>
          <w:szCs w:val="20"/>
        </w:rPr>
        <w:t>ither the Company nor any other Person will have or be subject to any liability or indemnity obligations to Parent, Merger Sub or any other Person resulting from the distribution or disclosure or failure to distribute or disclose to Parent, Merger Sub or a</w:t>
      </w:r>
      <w:r>
        <w:rPr>
          <w:sz w:val="20"/>
          <w:szCs w:val="20"/>
        </w:rPr>
        <w:t xml:space="preserve">ny of its Affiliates or Representatives, or their use of, any information, unless and to the extent such information is expressly included in the representations and warranties contained in this </w:t>
      </w:r>
      <w:r>
        <w:rPr>
          <w:sz w:val="20"/>
          <w:szCs w:val="20"/>
          <w:u w:val="single"/>
        </w:rPr>
        <w:t>Article IV</w:t>
      </w:r>
      <w:r>
        <w:rPr>
          <w:sz w:val="20"/>
          <w:szCs w:val="20"/>
        </w:rPr>
        <w:t>.</w:t>
      </w:r>
    </w:p>
    <w:p w14:paraId="5854C15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68A9A1F" w14:textId="77777777" w:rsidR="00000000" w:rsidRDefault="002F725F">
      <w:pPr>
        <w:pStyle w:val="NormalWeb"/>
        <w:spacing w:before="0" w:beforeAutospacing="0" w:after="0" w:afterAutospacing="0"/>
        <w:jc w:val="center"/>
        <w:divId w:val="841697699"/>
        <w:rPr>
          <w:sz w:val="20"/>
          <w:szCs w:val="20"/>
        </w:rPr>
      </w:pPr>
      <w:r>
        <w:rPr>
          <w:sz w:val="20"/>
          <w:szCs w:val="20"/>
        </w:rPr>
        <w:t>A</w:t>
      </w:r>
      <w:r>
        <w:rPr>
          <w:sz w:val="20"/>
          <w:szCs w:val="20"/>
        </w:rPr>
        <w:t>-</w:t>
      </w:r>
      <w:r>
        <w:rPr>
          <w:sz w:val="20"/>
          <w:szCs w:val="20"/>
        </w:rPr>
        <w:t>2</w:t>
      </w:r>
      <w:r>
        <w:rPr>
          <w:sz w:val="20"/>
          <w:szCs w:val="20"/>
        </w:rPr>
        <w:t>8</w:t>
      </w:r>
    </w:p>
    <w:p w14:paraId="4E477DD7" w14:textId="77777777" w:rsidR="00000000" w:rsidRDefault="002F725F">
      <w:pPr>
        <w:pStyle w:val="NormalWeb"/>
        <w:spacing w:before="0" w:beforeAutospacing="0" w:after="0" w:afterAutospacing="0"/>
        <w:divId w:val="358164268"/>
        <w:rPr>
          <w:sz w:val="20"/>
          <w:szCs w:val="20"/>
        </w:rPr>
      </w:pPr>
      <w:r>
        <w:rPr>
          <w:sz w:val="20"/>
          <w:szCs w:val="20"/>
        </w:rPr>
        <w:t> </w:t>
      </w:r>
    </w:p>
    <w:p w14:paraId="27B36E22"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Article V</w:t>
      </w:r>
    </w:p>
    <w:p w14:paraId="2994DDB4"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REPRESENTATIONS AND WARRANTIES OF PARENT AND MERGER SUB</w:t>
      </w:r>
    </w:p>
    <w:p w14:paraId="4F0A0394"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4E381FA7" w14:textId="77777777" w:rsidR="00000000" w:rsidRDefault="002F725F">
      <w:pPr>
        <w:pStyle w:val="NormalWeb"/>
        <w:spacing w:before="0" w:beforeAutospacing="0" w:after="0" w:afterAutospacing="0"/>
        <w:jc w:val="both"/>
        <w:divId w:val="415980837"/>
        <w:rPr>
          <w:sz w:val="20"/>
          <w:szCs w:val="20"/>
        </w:rPr>
      </w:pPr>
      <w:r>
        <w:rPr>
          <w:sz w:val="20"/>
          <w:szCs w:val="20"/>
        </w:rPr>
        <w:t>Parent and Merger Sub jointly and severally represent and warrant to the Company as follows:</w:t>
      </w:r>
    </w:p>
    <w:p w14:paraId="5A23302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2FBCE0C"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5.1 </w:t>
      </w:r>
      <w:r>
        <w:rPr>
          <w:sz w:val="20"/>
          <w:szCs w:val="20"/>
          <w:u w:val="single"/>
        </w:rPr>
        <w:t>Organization</w:t>
      </w:r>
      <w:r>
        <w:rPr>
          <w:sz w:val="20"/>
          <w:szCs w:val="20"/>
        </w:rPr>
        <w:t>.</w:t>
      </w:r>
    </w:p>
    <w:p w14:paraId="611C4F77" w14:textId="77777777" w:rsidR="00000000" w:rsidRDefault="002F725F">
      <w:pPr>
        <w:pStyle w:val="NormalWeb"/>
        <w:spacing w:before="0" w:beforeAutospacing="0" w:after="0" w:afterAutospacing="0"/>
        <w:jc w:val="both"/>
        <w:divId w:val="415980837"/>
        <w:rPr>
          <w:sz w:val="20"/>
          <w:szCs w:val="20"/>
        </w:rPr>
      </w:pPr>
      <w:r>
        <w:rPr>
          <w:sz w:val="20"/>
          <w:szCs w:val="20"/>
        </w:rPr>
        <w:t>.</w:t>
      </w:r>
    </w:p>
    <w:p w14:paraId="16216F6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Each of Parent and Merger Sub is a corporation duly incorporated, valid</w:t>
      </w:r>
      <w:r>
        <w:rPr>
          <w:sz w:val="20"/>
          <w:szCs w:val="20"/>
        </w:rPr>
        <w:t>ly existing and in good standing (to the extent the relevant jurisdiction recognizes such concept of good standing) under the Laws of the Cayman Islands and has the requisite corporate power and authority to own, lease and operate its properties and to car</w:t>
      </w:r>
      <w:r>
        <w:rPr>
          <w:sz w:val="20"/>
          <w:szCs w:val="20"/>
        </w:rPr>
        <w:t xml:space="preserve">ry on its business as it is now being conducted. Each of Parent and Merger Sub is duly qualified or licensed to do business and in good standing (to the extent the relevant jurisdiction recognizes such concept of good standing) as a foreign corporation in </w:t>
      </w:r>
      <w:r>
        <w:rPr>
          <w:sz w:val="20"/>
          <w:szCs w:val="20"/>
        </w:rPr>
        <w:t>each jurisdiction in which the nature of the business conducted by it makes such qualification or licensing necessary, except where the failure to be so duly qualified or licensed and in good standing would not, individually or in the aggregate, have a Par</w:t>
      </w:r>
      <w:r>
        <w:rPr>
          <w:sz w:val="20"/>
          <w:szCs w:val="20"/>
        </w:rPr>
        <w:t>ent Material Adverse Effect. Each of Parent and Merger Sub has made available to the Company (i) complete and correct copies of its memorandum and articles of association, or similar governing documents, as currently in effect, and (ii) a true and complete</w:t>
      </w:r>
      <w:r>
        <w:rPr>
          <w:sz w:val="20"/>
          <w:szCs w:val="20"/>
        </w:rPr>
        <w:t xml:space="preserve"> list of all directors and executive officers of Parent and Merger Sub, as of the date hereof.</w:t>
      </w:r>
    </w:p>
    <w:p w14:paraId="1BBBC732"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DD5778C"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Each of Parent and Merger Sub was formed solely for the purpose of engaging in the Transactions, and it has not conducted any business prior to the date he</w:t>
      </w:r>
      <w:r>
        <w:rPr>
          <w:sz w:val="20"/>
          <w:szCs w:val="20"/>
        </w:rPr>
        <w:t xml:space="preserve">reof and prior to the Effective Time, will have </w:t>
      </w:r>
      <w:r>
        <w:rPr>
          <w:sz w:val="20"/>
          <w:szCs w:val="20"/>
        </w:rPr>
        <w:lastRenderedPageBreak/>
        <w:t>no, assets, liabilities or obligations of any nature other than those incident to its formation and capitalization and pursuant to the Transaction Agreements and the Transactions.</w:t>
      </w:r>
    </w:p>
    <w:p w14:paraId="5157FA0B"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7205D13"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5.2 </w:t>
      </w:r>
      <w:r>
        <w:rPr>
          <w:sz w:val="20"/>
          <w:szCs w:val="20"/>
          <w:u w:val="single"/>
        </w:rPr>
        <w:t>Authorization;</w:t>
      </w:r>
      <w:r>
        <w:rPr>
          <w:sz w:val="20"/>
          <w:szCs w:val="20"/>
          <w:u w:val="single"/>
        </w:rPr>
        <w:t xml:space="preserve"> Validity of Agreement; Necessary Action</w:t>
      </w:r>
      <w:r>
        <w:rPr>
          <w:sz w:val="20"/>
          <w:szCs w:val="20"/>
        </w:rPr>
        <w:t>. Each of Parent and Merger Sub has all necessary corporate power and authority to execute and deliver this Agreement, and perform its obligations hereunder and to consummate the Transactions. The execution, delivery</w:t>
      </w:r>
      <w:r>
        <w:rPr>
          <w:sz w:val="20"/>
          <w:szCs w:val="20"/>
        </w:rPr>
        <w:t xml:space="preserve"> and performance by each of Parent and Merger Sub of this Agreement, and the consummation by Parent and Merger Sub of the Transactions, including the Merger, have been duly authorized and approved by all necessary actions, and no other action on the part o</w:t>
      </w:r>
      <w:r>
        <w:rPr>
          <w:sz w:val="20"/>
          <w:szCs w:val="20"/>
        </w:rPr>
        <w:t xml:space="preserve">f Parent or Merger Sub is necessary to adopt this Agreement or to authorize or approve the execution and delivery this Agreement and the consummation by them of the Transactions, including the Merger (in the case of the consummation of the Merger, subject </w:t>
      </w:r>
      <w:r>
        <w:rPr>
          <w:sz w:val="20"/>
          <w:szCs w:val="20"/>
        </w:rPr>
        <w:t>to the filing of the Plan of Merger with the Registrar of Companies of the Cayman Islands as required by the Companies Act). This Agreement has been duly executed and delivered by each of Parent and Merger Sub, and assuming due and valid authorization, exe</w:t>
      </w:r>
      <w:r>
        <w:rPr>
          <w:sz w:val="20"/>
          <w:szCs w:val="20"/>
        </w:rPr>
        <w:t>cution and delivery hereof by the Company, is a valid and binding obligation of Parent and Merger Sub, enforceable against them in accordance with its terms, except as enforceability may be limited by the Enforceability Exceptions. No vote or consent of th</w:t>
      </w:r>
      <w:r>
        <w:rPr>
          <w:sz w:val="20"/>
          <w:szCs w:val="20"/>
        </w:rPr>
        <w:t>e holders of any class or series of share capital of Parent is necessary to approve this Agreement or the Transactions.</w:t>
      </w:r>
    </w:p>
    <w:p w14:paraId="6F9F7D0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48BD77F"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5.3 </w:t>
      </w:r>
      <w:r>
        <w:rPr>
          <w:sz w:val="20"/>
          <w:szCs w:val="20"/>
          <w:u w:val="single"/>
        </w:rPr>
        <w:t>Capitalization</w:t>
      </w:r>
      <w:r>
        <w:rPr>
          <w:sz w:val="20"/>
          <w:szCs w:val="20"/>
        </w:rPr>
        <w:t>.</w:t>
      </w:r>
    </w:p>
    <w:p w14:paraId="13D7034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AA549A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As of the date of this Agreement, the authorized share capital of Parent is US$50,000 divided into 5</w:t>
      </w:r>
      <w:r>
        <w:rPr>
          <w:sz w:val="20"/>
          <w:szCs w:val="20"/>
        </w:rPr>
        <w:t>00,000,000 shares of a par value of US$0.0001 each (each, a “</w:t>
      </w:r>
      <w:r>
        <w:rPr>
          <w:sz w:val="20"/>
          <w:szCs w:val="20"/>
          <w:u w:val="single"/>
        </w:rPr>
        <w:t>Parent Share</w:t>
      </w:r>
      <w:r>
        <w:rPr>
          <w:sz w:val="20"/>
          <w:szCs w:val="20"/>
        </w:rPr>
        <w:t>”), of which one (1) is validly issued and outstanding, which share is duly authorized, validly issued, fully paid and non-assessable. There are no options, warrants, convertible debt</w:t>
      </w:r>
      <w:r>
        <w:rPr>
          <w:sz w:val="20"/>
          <w:szCs w:val="20"/>
        </w:rPr>
        <w:t xml:space="preserve"> or other convertible instruments or other rights, agreements, arrangements or commitments of any character relating to the issued or unissued share capital of Parent or Merger Sub or obligating Parent or Merger Sub to issue or sell any share capital of, o</w:t>
      </w:r>
      <w:r>
        <w:rPr>
          <w:sz w:val="20"/>
          <w:szCs w:val="20"/>
        </w:rPr>
        <w:t>r other equity interests in, Parent or Merger Sub.</w:t>
      </w:r>
    </w:p>
    <w:p w14:paraId="72067DF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E1BCD83" w14:textId="77777777" w:rsidR="00000000" w:rsidRDefault="002F725F">
      <w:pPr>
        <w:pStyle w:val="NormalWeb"/>
        <w:spacing w:before="0" w:beforeAutospacing="0" w:after="0" w:afterAutospacing="0"/>
        <w:jc w:val="center"/>
        <w:divId w:val="1718044674"/>
        <w:rPr>
          <w:sz w:val="20"/>
          <w:szCs w:val="20"/>
        </w:rPr>
      </w:pPr>
      <w:r>
        <w:rPr>
          <w:sz w:val="20"/>
          <w:szCs w:val="20"/>
        </w:rPr>
        <w:t>A</w:t>
      </w:r>
      <w:r>
        <w:rPr>
          <w:sz w:val="20"/>
          <w:szCs w:val="20"/>
        </w:rPr>
        <w:t>-</w:t>
      </w:r>
      <w:r>
        <w:rPr>
          <w:sz w:val="20"/>
          <w:szCs w:val="20"/>
        </w:rPr>
        <w:t>2</w:t>
      </w:r>
      <w:r>
        <w:rPr>
          <w:sz w:val="20"/>
          <w:szCs w:val="20"/>
        </w:rPr>
        <w:t>9</w:t>
      </w:r>
    </w:p>
    <w:p w14:paraId="0BA817CC" w14:textId="77777777" w:rsidR="00000000" w:rsidRDefault="002F725F">
      <w:pPr>
        <w:pStyle w:val="NormalWeb"/>
        <w:spacing w:before="0" w:beforeAutospacing="0" w:after="0" w:afterAutospacing="0"/>
        <w:divId w:val="114830680"/>
        <w:rPr>
          <w:sz w:val="20"/>
          <w:szCs w:val="20"/>
        </w:rPr>
      </w:pPr>
      <w:r>
        <w:rPr>
          <w:sz w:val="20"/>
          <w:szCs w:val="20"/>
        </w:rPr>
        <w:t> </w:t>
      </w:r>
    </w:p>
    <w:p w14:paraId="4AA5B4A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As of the date of this Agreement, the authorized share capital of Merger Sub is US$50,000 divided into 500,000,000 shares of a par value of US$0.0001 each, of which one (1) is validly issued a</w:t>
      </w:r>
      <w:r>
        <w:rPr>
          <w:sz w:val="20"/>
          <w:szCs w:val="20"/>
        </w:rPr>
        <w:t>nd outstanding, which share is duly authorized, validly issued, fully paid and non-assessable. All of the issued and outstanding share capital of Merger Sub is, and immediately prior to the Effective Time will be, owned by Parent, free and clear of any Lie</w:t>
      </w:r>
      <w:r>
        <w:rPr>
          <w:sz w:val="20"/>
          <w:szCs w:val="20"/>
        </w:rPr>
        <w:t>n other than any restrictions imposed by applicable Laws.</w:t>
      </w:r>
    </w:p>
    <w:p w14:paraId="5210C98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90F3B5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(c) Merger Sub has not created any fixed or floating security interest that are outstanding as of the date of this Agreement.</w:t>
      </w:r>
    </w:p>
    <w:p w14:paraId="086484E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34A3A0D"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5.4 </w:t>
      </w:r>
      <w:r>
        <w:rPr>
          <w:sz w:val="20"/>
          <w:szCs w:val="20"/>
          <w:u w:val="single"/>
        </w:rPr>
        <w:t>Consents and Approvals; No Violations</w:t>
      </w:r>
    </w:p>
    <w:p w14:paraId="21A1D2CD" w14:textId="77777777" w:rsidR="00000000" w:rsidRDefault="002F725F">
      <w:pPr>
        <w:pStyle w:val="NormalWeb"/>
        <w:spacing w:before="0" w:beforeAutospacing="0" w:after="0" w:afterAutospacing="0"/>
        <w:jc w:val="both"/>
        <w:divId w:val="415980837"/>
        <w:rPr>
          <w:sz w:val="20"/>
          <w:szCs w:val="20"/>
        </w:rPr>
      </w:pPr>
      <w:r>
        <w:rPr>
          <w:sz w:val="20"/>
          <w:szCs w:val="20"/>
        </w:rPr>
        <w:t>.</w:t>
      </w:r>
    </w:p>
    <w:p w14:paraId="5820C04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(a) </w:t>
      </w:r>
      <w:r>
        <w:rPr>
          <w:sz w:val="20"/>
          <w:szCs w:val="20"/>
        </w:rPr>
        <w:t>Except for (i) compliance with the applicable requirements of the Securities Act and the Exchange Act and the rules and regulations promulgated thereunder; (ii) compliance with the rules and regulations of the OTC Market; (iii) the filing with the Registra</w:t>
      </w:r>
      <w:r>
        <w:rPr>
          <w:sz w:val="20"/>
          <w:szCs w:val="20"/>
        </w:rPr>
        <w:t>r of Companies of the Cayman Islands of the Plan of Merger and related documentation as required by the Companies Act; (iv) such filings with the SEC as may be required to be made by Parent and Merger Sub in connection with this Agreement, the Merger and t</w:t>
      </w:r>
      <w:r>
        <w:rPr>
          <w:sz w:val="20"/>
          <w:szCs w:val="20"/>
        </w:rPr>
        <w:t xml:space="preserve">he other Transactions, including the filing of the Schedule 13E-3; and (v) such filings as may be required in connection with state and local transfer Taxes, neither the execution, delivery or performance of this Agreement by Parent and Merger Sub nor the </w:t>
      </w:r>
      <w:r>
        <w:rPr>
          <w:sz w:val="20"/>
          <w:szCs w:val="20"/>
        </w:rPr>
        <w:t>consummation by them of the Transactions will require any filing or registration with, notification to, or authorization, consent or approval of, any Governmental Entity.</w:t>
      </w:r>
    </w:p>
    <w:p w14:paraId="7B7DAB1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F19E49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The execution, delivery or performance of this Agreement by Parent and Merger S</w:t>
      </w:r>
      <w:r>
        <w:rPr>
          <w:sz w:val="20"/>
          <w:szCs w:val="20"/>
        </w:rPr>
        <w:t>ub and the consummation by them of the Transactions will not (i) violate any provision of the memorandum and articles of association (or equivalent organizational documents) of Parent or Merger Sub; (ii) result in a violation or breach of, or constitute (w</w:t>
      </w:r>
      <w:r>
        <w:rPr>
          <w:sz w:val="20"/>
          <w:szCs w:val="20"/>
        </w:rPr>
        <w:t xml:space="preserve">ith or without due notice or lapse of time or both) a default (or give rise to any right of termination, </w:t>
      </w:r>
      <w:r>
        <w:rPr>
          <w:sz w:val="20"/>
          <w:szCs w:val="20"/>
        </w:rPr>
        <w:lastRenderedPageBreak/>
        <w:t>cancellation or acceleration) under, any of the terms, conditions or provisions of any note, bond, mortgage, indenture, lease, license, Contract, agree</w:t>
      </w:r>
      <w:r>
        <w:rPr>
          <w:sz w:val="20"/>
          <w:szCs w:val="20"/>
        </w:rPr>
        <w:t>ment or other instrument or obligation to which Parent, Merger Sub or any of its Subsidiaries is a party or by which any of them or any of their respective properties or assets may be bound; or (iii) assuming the filings, registrations, notifications, auth</w:t>
      </w:r>
      <w:r>
        <w:rPr>
          <w:sz w:val="20"/>
          <w:szCs w:val="20"/>
        </w:rPr>
        <w:t xml:space="preserve">orizations, consents and approvals referred to in </w:t>
      </w:r>
      <w:r>
        <w:rPr>
          <w:sz w:val="20"/>
          <w:szCs w:val="20"/>
          <w:u w:val="single"/>
        </w:rPr>
        <w:t>Section 5.4(a)</w:t>
      </w:r>
      <w:r>
        <w:rPr>
          <w:sz w:val="20"/>
          <w:szCs w:val="20"/>
        </w:rPr>
        <w:t xml:space="preserve"> have been made, violate any Law applicable to Parent, Merger Sub or any of its Subsidiaries or any of their respective properties or assets; except in the case of sub-clauses (ii) and (iii) f</w:t>
      </w:r>
      <w:r>
        <w:rPr>
          <w:sz w:val="20"/>
          <w:szCs w:val="20"/>
        </w:rPr>
        <w:t>or such violations, breaches, defaults, terminations, cancellations or accelerations that would not be reasonably expected to have a Parent Material Adverse Effect.</w:t>
      </w:r>
    </w:p>
    <w:p w14:paraId="3F62DD6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ED497E0"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5.5 </w:t>
      </w:r>
      <w:r>
        <w:rPr>
          <w:sz w:val="20"/>
          <w:szCs w:val="20"/>
          <w:u w:val="single"/>
        </w:rPr>
        <w:t>Proxy Statement; Other Information</w:t>
      </w:r>
      <w:r>
        <w:rPr>
          <w:sz w:val="20"/>
          <w:szCs w:val="20"/>
        </w:rPr>
        <w:t>. None of the information supplied or to be</w:t>
      </w:r>
      <w:r>
        <w:rPr>
          <w:sz w:val="20"/>
          <w:szCs w:val="20"/>
        </w:rPr>
        <w:t xml:space="preserve"> supplied in writing by or on behalf of any of Parent, Merger Sub, the Rollover Shareholders, the Sponsor, the Guarantor or their respective Affiliates or Representatives for inclusion or incorporation by reference in the Proxy Statement or Schedule 13E-3 </w:t>
      </w:r>
      <w:r>
        <w:rPr>
          <w:sz w:val="20"/>
          <w:szCs w:val="20"/>
        </w:rPr>
        <w:t>will, on the date such Proxy Statement (including any amendment or supplement thereto) is first mailed to shareholders of the Company or at the time of the Shareholders’ Meeting, or on the date such Schedule 13E-3 and any amendment or supplement thereto is</w:t>
      </w:r>
      <w:r>
        <w:rPr>
          <w:sz w:val="20"/>
          <w:szCs w:val="20"/>
        </w:rPr>
        <w:t xml:space="preserve"> filed with the SEC, as the case may be, contain any untrue statement of a material fact or omit to state any material fact required to be stated therein or necessary to make the statements therein, in light of the circumstances under which they were made,</w:t>
      </w:r>
      <w:r>
        <w:rPr>
          <w:sz w:val="20"/>
          <w:szCs w:val="20"/>
        </w:rPr>
        <w:t xml:space="preserve"> not misleading. The information supplied by or on behalf of Parent, Merger Sub, the Rollover Shareholders, the Sponsor, the Guarantor or their respective Affiliates or Representatives for inclusion therein, will each comply as to form in all material resp</w:t>
      </w:r>
      <w:r>
        <w:rPr>
          <w:sz w:val="20"/>
          <w:szCs w:val="20"/>
        </w:rPr>
        <w:t>ects as of the date of its first use with the requirements of the Exchange Act. No representation is made by Parent, Merger Sub, the Rollover Shareholders, the Sponsor, the Guarantor, or their respective Affiliates or Representatives with respect to statem</w:t>
      </w:r>
      <w:r>
        <w:rPr>
          <w:sz w:val="20"/>
          <w:szCs w:val="20"/>
        </w:rPr>
        <w:t>ents made in the Proxy Statement or the Schedule 13E-3 or incorporated by reference therein to the extent based on information supplied, or required to be supplied by or on behalf of the Company or any of its Subsidiaries or their respective Representative</w:t>
      </w:r>
      <w:r>
        <w:rPr>
          <w:sz w:val="20"/>
          <w:szCs w:val="20"/>
        </w:rPr>
        <w:t>s.</w:t>
      </w:r>
    </w:p>
    <w:p w14:paraId="4CD355F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295227E" w14:textId="77777777" w:rsidR="00000000" w:rsidRDefault="002F725F">
      <w:pPr>
        <w:pStyle w:val="NormalWeb"/>
        <w:spacing w:before="0" w:beforeAutospacing="0" w:after="0" w:afterAutospacing="0"/>
        <w:jc w:val="center"/>
        <w:divId w:val="493032692"/>
        <w:rPr>
          <w:sz w:val="20"/>
          <w:szCs w:val="20"/>
        </w:rPr>
      </w:pPr>
      <w:r>
        <w:rPr>
          <w:sz w:val="20"/>
          <w:szCs w:val="20"/>
        </w:rPr>
        <w:t>A</w:t>
      </w:r>
      <w:r>
        <w:rPr>
          <w:sz w:val="20"/>
          <w:szCs w:val="20"/>
        </w:rPr>
        <w:t>-</w:t>
      </w:r>
      <w:r>
        <w:rPr>
          <w:sz w:val="20"/>
          <w:szCs w:val="20"/>
        </w:rPr>
        <w:t>3</w:t>
      </w:r>
      <w:r>
        <w:rPr>
          <w:sz w:val="20"/>
          <w:szCs w:val="20"/>
        </w:rPr>
        <w:t>0</w:t>
      </w:r>
    </w:p>
    <w:p w14:paraId="0E59261A" w14:textId="77777777" w:rsidR="00000000" w:rsidRDefault="002F725F">
      <w:pPr>
        <w:pStyle w:val="NormalWeb"/>
        <w:spacing w:before="0" w:beforeAutospacing="0" w:after="0" w:afterAutospacing="0"/>
        <w:divId w:val="1884094478"/>
        <w:rPr>
          <w:sz w:val="20"/>
          <w:szCs w:val="20"/>
        </w:rPr>
      </w:pPr>
      <w:r>
        <w:rPr>
          <w:sz w:val="20"/>
          <w:szCs w:val="20"/>
        </w:rPr>
        <w:t> </w:t>
      </w:r>
    </w:p>
    <w:p w14:paraId="0D175D42"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5.6 </w:t>
      </w:r>
      <w:r>
        <w:rPr>
          <w:sz w:val="20"/>
          <w:szCs w:val="20"/>
          <w:u w:val="single"/>
        </w:rPr>
        <w:t>Brokers or Finders</w:t>
      </w:r>
      <w:r>
        <w:rPr>
          <w:sz w:val="20"/>
          <w:szCs w:val="20"/>
        </w:rPr>
        <w:t>. No investment banker, broker, finder, consultant or intermediary is entitled to any investment banking, brokerage, finder’s or similar fee or commission in connection with this Agreement or the Transactions based</w:t>
      </w:r>
      <w:r>
        <w:rPr>
          <w:sz w:val="20"/>
          <w:szCs w:val="20"/>
        </w:rPr>
        <w:t xml:space="preserve"> upon arrangements made by or on behalf of Parent, Merger Sub or any of their respective Subsidiaries or Affiliates.</w:t>
      </w:r>
    </w:p>
    <w:p w14:paraId="54616E1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8C93C47"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5.7 </w:t>
      </w:r>
      <w:r>
        <w:rPr>
          <w:sz w:val="20"/>
          <w:szCs w:val="20"/>
          <w:u w:val="single"/>
        </w:rPr>
        <w:t>Share Ownership</w:t>
      </w:r>
      <w:r>
        <w:rPr>
          <w:sz w:val="20"/>
          <w:szCs w:val="20"/>
        </w:rPr>
        <w:t>. Other than (a) the Excluded Shares held by Parent, Merger Sub, any Rollover Shareholder or any of their resp</w:t>
      </w:r>
      <w:r>
        <w:rPr>
          <w:sz w:val="20"/>
          <w:szCs w:val="20"/>
        </w:rPr>
        <w:t>ective Affiliates, which will be cancelled at the Effective Time in accordance with this Agreement; and (b) the Company Options and Company RSUs held by the Rollover Shareholders or any of their respective Affiliates, none of Parent, Merger Sub, the Rollov</w:t>
      </w:r>
      <w:r>
        <w:rPr>
          <w:sz w:val="20"/>
          <w:szCs w:val="20"/>
        </w:rPr>
        <w:t>er Shareholders, the Sponsor or any of their respective Affiliates Beneficially Owns any Shares or other securities (including derivative securities) of the Company or any options, warrants or other rights to acquire Shares or other securities of the Compa</w:t>
      </w:r>
      <w:r>
        <w:rPr>
          <w:sz w:val="20"/>
          <w:szCs w:val="20"/>
        </w:rPr>
        <w:t>ny and none of the foregoing has any rights to acquire, directly or indirectly, any Shares except pursuant to this Agreement and the Support Agreement. As of the date hereof, Parent, Merger Sub, the Rollover Shareholders, the Sponsor and their respective A</w:t>
      </w:r>
      <w:r>
        <w:rPr>
          <w:sz w:val="20"/>
          <w:szCs w:val="20"/>
        </w:rPr>
        <w:t>ffiliates collectively Beneficially Own 21,988,169 Shares, collectively representing approximately 53.35% of the voting power of the Shares exercisable in a general meeting of the Company.</w:t>
      </w:r>
    </w:p>
    <w:p w14:paraId="1B1A340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74BC2C5"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5.8 </w:t>
      </w:r>
      <w:r>
        <w:rPr>
          <w:sz w:val="20"/>
          <w:szCs w:val="20"/>
          <w:u w:val="single"/>
        </w:rPr>
        <w:t>Buyer Group Contracts</w:t>
      </w:r>
      <w:r>
        <w:rPr>
          <w:sz w:val="20"/>
          <w:szCs w:val="20"/>
        </w:rPr>
        <w:t>. Parent and Merger Sub have, on</w:t>
      </w:r>
      <w:r>
        <w:rPr>
          <w:sz w:val="20"/>
          <w:szCs w:val="20"/>
        </w:rPr>
        <w:t xml:space="preserve"> or prior to the date of this Agreement, delivered to the Company a true, correct and complete copy of each of the Buyer Group Contracts, the Consortium Agreement and the Interim Investors Agreement. Other than the Buyer Group Contracts, the Consortium Agr</w:t>
      </w:r>
      <w:r>
        <w:rPr>
          <w:sz w:val="20"/>
          <w:szCs w:val="20"/>
        </w:rPr>
        <w:t>eement and the Interim Investors Agreement, there are (i) no side letters or other Contracts (whether oral or written) relating to the Transactions between two or more of the following persons: each of Parent, Merger Sub, the Rollover Shareholders, the Spo</w:t>
      </w:r>
      <w:r>
        <w:rPr>
          <w:sz w:val="20"/>
          <w:szCs w:val="20"/>
        </w:rPr>
        <w:t>nsor, the Guarantor or any of their respective Affiliates (excluding the Company and its Subsidiaries), and (ii) no Contracts (whether oral or written) between Parent, Merger Sub, the Rollover Shareholders, the Sponsor, the Guarantor or any of their respec</w:t>
      </w:r>
      <w:r>
        <w:rPr>
          <w:sz w:val="20"/>
          <w:szCs w:val="20"/>
        </w:rPr>
        <w:t>tive Affiliates (excluding the Company and its Subsidiaries), on the one hand, and any of the Group Companies’ directors, officers, employees or shareholders in their capacity as such, on the other hand, (a) that relate in any way to the Transactions; (b) </w:t>
      </w:r>
      <w:r>
        <w:rPr>
          <w:sz w:val="20"/>
          <w:szCs w:val="20"/>
        </w:rPr>
        <w:t xml:space="preserve">pursuant to which any shareholder of the Company would be entitled to receive consideration with respect to the Transactions of a different amount or nature than the Per Share Merger </w:t>
      </w:r>
      <w:r>
        <w:rPr>
          <w:sz w:val="20"/>
          <w:szCs w:val="20"/>
        </w:rPr>
        <w:lastRenderedPageBreak/>
        <w:t>Consideration; or (c) pursuant to which any Person has agreed to provide,</w:t>
      </w:r>
      <w:r>
        <w:rPr>
          <w:sz w:val="20"/>
          <w:szCs w:val="20"/>
        </w:rPr>
        <w:t xml:space="preserve"> directly or indirectly, equity capital to Parent, Merger Sub or the Company to finance in whole or in part the Transactions.</w:t>
      </w:r>
    </w:p>
    <w:p w14:paraId="107BD690"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9E3015D"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5.9 </w:t>
      </w:r>
      <w:r>
        <w:rPr>
          <w:sz w:val="20"/>
          <w:szCs w:val="20"/>
          <w:u w:val="single"/>
        </w:rPr>
        <w:t>Limited Guarantee</w:t>
      </w:r>
      <w:r>
        <w:rPr>
          <w:sz w:val="20"/>
          <w:szCs w:val="20"/>
        </w:rPr>
        <w:t xml:space="preserve">. </w:t>
      </w:r>
      <w:r>
        <w:rPr>
          <w:sz w:val="20"/>
          <w:szCs w:val="20"/>
        </w:rPr>
        <w:t>Concurrently with the execution of this Agreement, Parent has caused the Guarantor to deliver to the Company a duly executed Limited Guarantee. The Limited Guarantee is in full force and effect and constitutes a legal, valid, binding and specifically enfor</w:t>
      </w:r>
      <w:r>
        <w:rPr>
          <w:sz w:val="20"/>
          <w:szCs w:val="20"/>
        </w:rPr>
        <w:t xml:space="preserve">ceable obligation of the Guarantor, enforceable against the Guarantor in accordance with the terms thereof subject to the Enforceability Exception, and no event has occurred, which, with or without notice, lapse of time or both, would constitute a default </w:t>
      </w:r>
      <w:r>
        <w:rPr>
          <w:sz w:val="20"/>
          <w:szCs w:val="20"/>
        </w:rPr>
        <w:t>on the part of the Guarantor under the Limited Guarantee.</w:t>
      </w:r>
    </w:p>
    <w:p w14:paraId="14B84FB0"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DD5D2FF"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5.10 </w:t>
      </w:r>
      <w:r>
        <w:rPr>
          <w:sz w:val="20"/>
          <w:szCs w:val="20"/>
          <w:u w:val="single"/>
        </w:rPr>
        <w:t>Independent Investigation</w:t>
      </w:r>
      <w:r>
        <w:rPr>
          <w:sz w:val="20"/>
          <w:szCs w:val="20"/>
        </w:rPr>
        <w:t>. Parent and Merger Sub have conducted their own independent investigation, review and analysis of the business, operations, assets, liabilities, results of o</w:t>
      </w:r>
      <w:r>
        <w:rPr>
          <w:sz w:val="20"/>
          <w:szCs w:val="20"/>
        </w:rPr>
        <w:t>perations, financial condition and prospects of the Group Companies, which investigation, review and analysis was performed by Parent and Merger Sub, their respective Affiliates and Representatives. Each of Parent and Merger Sub acknowledges that it, its A</w:t>
      </w:r>
      <w:r>
        <w:rPr>
          <w:sz w:val="20"/>
          <w:szCs w:val="20"/>
        </w:rPr>
        <w:t>ffiliates and their respective Representatives have been provided reasonable access to the personnel, properties, facilities and records of the Group Companies for such purpose. In entering into this Agreement, each of Parent and Merger Sub acknowledges th</w:t>
      </w:r>
      <w:r>
        <w:rPr>
          <w:sz w:val="20"/>
          <w:szCs w:val="20"/>
        </w:rPr>
        <w:t xml:space="preserve">at it has relied solely upon the aforementioned investigation, review and analysis and not on any statements, representations or opinions of any of the Company, its Affiliates or their respective Representatives (except for the representations, warranties </w:t>
      </w:r>
      <w:r>
        <w:rPr>
          <w:sz w:val="20"/>
          <w:szCs w:val="20"/>
        </w:rPr>
        <w:t>and covenants of the Company set forth in this Agreement).</w:t>
      </w:r>
    </w:p>
    <w:p w14:paraId="0F0C8C75"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F7515E1"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5.11 </w:t>
      </w:r>
      <w:r>
        <w:rPr>
          <w:sz w:val="20"/>
          <w:szCs w:val="20"/>
          <w:u w:val="single"/>
        </w:rPr>
        <w:t>Non-Reliance on Company Estimates</w:t>
      </w:r>
      <w:r>
        <w:rPr>
          <w:sz w:val="20"/>
          <w:szCs w:val="20"/>
        </w:rPr>
        <w:t>. The Company has made available to Parent and Merger Sub, and may continue to make available, certain estimates, projections and other forecasts for</w:t>
      </w:r>
      <w:r>
        <w:rPr>
          <w:sz w:val="20"/>
          <w:szCs w:val="20"/>
        </w:rPr>
        <w:t xml:space="preserve"> the business of the Group Companies and certain plan and budget information. Each of Parent and Merger Sub acknowledges that (a) these estimates, projections, forecasts, plans and budgets and the assumptions on which they are based were prepared for speci</w:t>
      </w:r>
      <w:r>
        <w:rPr>
          <w:sz w:val="20"/>
          <w:szCs w:val="20"/>
        </w:rPr>
        <w:t>fic purposes and may vary significantly from each other; (b) there are uncertainties inherent in attempting to make such estimates, projections, forecasts, plans and budgets; (c) Parent and Merger Sub are taking full responsibility for making their own eva</w:t>
      </w:r>
      <w:r>
        <w:rPr>
          <w:sz w:val="20"/>
          <w:szCs w:val="20"/>
        </w:rPr>
        <w:t>luation of the adequacy and accuracy of all estimates, projections, forecasts, plans and budgets so furnished to them (including the reasonableness of the assumptions underlying such estimates, projections, forecasts, plans and budgets); and (d) neither Pa</w:t>
      </w:r>
      <w:r>
        <w:rPr>
          <w:sz w:val="20"/>
          <w:szCs w:val="20"/>
        </w:rPr>
        <w:t xml:space="preserve">rent nor Merger Sub is relying on any estimates, projections, forecasts, plans or budgets furnished by any of the Group Companies or their respective Affiliates and Representatives or the accuracy or completeness thereof, and neither Parent nor Merger Sub </w:t>
      </w:r>
      <w:r>
        <w:rPr>
          <w:sz w:val="20"/>
          <w:szCs w:val="20"/>
        </w:rPr>
        <w:t>shall, and shall cause their respective Affiliates and Representatives not to, hold any such Person liable with respect thereto, other than intentional fraud in connection therewith.</w:t>
      </w:r>
    </w:p>
    <w:p w14:paraId="79D54D7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70A1B2A"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5.12 </w:t>
      </w:r>
      <w:r>
        <w:rPr>
          <w:sz w:val="20"/>
          <w:szCs w:val="20"/>
          <w:u w:val="single"/>
        </w:rPr>
        <w:t>Financing</w:t>
      </w:r>
      <w:r>
        <w:rPr>
          <w:sz w:val="20"/>
          <w:szCs w:val="20"/>
        </w:rPr>
        <w:t>.</w:t>
      </w:r>
    </w:p>
    <w:p w14:paraId="29C0C5A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36B04E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(a) Parent has delivered to the Company true </w:t>
      </w:r>
      <w:r>
        <w:rPr>
          <w:sz w:val="20"/>
          <w:szCs w:val="20"/>
        </w:rPr>
        <w:t>and complete copies of (i) the Equity Commitment Letter pursuant to which the Sponsor or its Affiliates has committed to purchase, or cause the purchase of, for cash, subject to the terms and conditions thereof, Equity Interests of Parent, up to the aggreg</w:t>
      </w:r>
      <w:r>
        <w:rPr>
          <w:sz w:val="20"/>
          <w:szCs w:val="20"/>
        </w:rPr>
        <w:t>ate amount set forth therein (the “</w:t>
      </w:r>
      <w:r>
        <w:rPr>
          <w:sz w:val="20"/>
          <w:szCs w:val="20"/>
          <w:u w:val="single"/>
        </w:rPr>
        <w:t>Financing</w:t>
      </w:r>
      <w:r>
        <w:rPr>
          <w:sz w:val="20"/>
          <w:szCs w:val="20"/>
        </w:rPr>
        <w:t>”), the proceeds of which will be used to, among other things, finance the consummation of the Merger and the other Transactions, and (ii) the Support Agreement. Each of the Equity Commitment Letter and the Suppo</w:t>
      </w:r>
      <w:r>
        <w:rPr>
          <w:sz w:val="20"/>
          <w:szCs w:val="20"/>
        </w:rPr>
        <w:t>rt Agreement provides, and will continue to provide, that the Company is a third-party beneficiary with respect to the provisions therein.</w:t>
      </w:r>
    </w:p>
    <w:p w14:paraId="1BA9354B"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56E4A6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(b) As of the date hereof, </w:t>
      </w:r>
      <w:r>
        <w:rPr>
          <w:sz w:val="20"/>
          <w:szCs w:val="20"/>
        </w:rPr>
        <w:t>(i) each of the Equity Commitment Letter and the Support Agreement, in the form so delivered, is in full force and effect and is a legal, valid and binding obligation of Parent and the other parties thereto (subject to the Enforceability Exception), and (i</w:t>
      </w:r>
      <w:r>
        <w:rPr>
          <w:sz w:val="20"/>
          <w:szCs w:val="20"/>
        </w:rPr>
        <w:t>i) neither the Equity Commitment Letter nor the Support Agreement has been amended or modified and no such amendment or modification is contemplated, and the respective commitments contained in each of the Equity Commitment Letter and the Support Agreement</w:t>
      </w:r>
      <w:r>
        <w:rPr>
          <w:sz w:val="20"/>
          <w:szCs w:val="20"/>
        </w:rPr>
        <w:t xml:space="preserve"> have not been withdrawn, terminated or rescinded and to the Knowledge of Parent, no such withdrawal, termination or restriction is contemplated. Parent and Merger Sub will have, at or prior to the Closing, cash, available lines of credit or other sources </w:t>
      </w:r>
      <w:r>
        <w:rPr>
          <w:sz w:val="20"/>
          <w:szCs w:val="20"/>
        </w:rPr>
        <w:t>of immediately available funds in U.S. dollars sufficient to pay the aggregate Merger Consideration and all related expenses and other amounts required to be paid by Parent or Merger Sub in connection with the consummation of the Merger and the other Trans</w:t>
      </w:r>
      <w:r>
        <w:rPr>
          <w:sz w:val="20"/>
          <w:szCs w:val="20"/>
        </w:rPr>
        <w:t>actions and to perform their respective obligations under the Transaction Documents.</w:t>
      </w:r>
    </w:p>
    <w:p w14:paraId="33280D5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2944228" w14:textId="77777777" w:rsidR="00000000" w:rsidRDefault="002F725F">
      <w:pPr>
        <w:pStyle w:val="NormalWeb"/>
        <w:spacing w:before="0" w:beforeAutospacing="0" w:after="0" w:afterAutospacing="0"/>
        <w:jc w:val="center"/>
        <w:divId w:val="261183939"/>
        <w:rPr>
          <w:sz w:val="20"/>
          <w:szCs w:val="20"/>
        </w:rPr>
      </w:pPr>
      <w:r>
        <w:rPr>
          <w:sz w:val="20"/>
          <w:szCs w:val="20"/>
        </w:rPr>
        <w:lastRenderedPageBreak/>
        <w:t>A</w:t>
      </w:r>
      <w:r>
        <w:rPr>
          <w:sz w:val="20"/>
          <w:szCs w:val="20"/>
        </w:rPr>
        <w:t>-</w:t>
      </w:r>
      <w:r>
        <w:rPr>
          <w:sz w:val="20"/>
          <w:szCs w:val="20"/>
        </w:rPr>
        <w:t>3</w:t>
      </w:r>
      <w:r>
        <w:rPr>
          <w:sz w:val="20"/>
          <w:szCs w:val="20"/>
        </w:rPr>
        <w:t>1</w:t>
      </w:r>
    </w:p>
    <w:p w14:paraId="2CBACEED" w14:textId="77777777" w:rsidR="00000000" w:rsidRDefault="002F725F">
      <w:pPr>
        <w:pStyle w:val="NormalWeb"/>
        <w:spacing w:before="0" w:beforeAutospacing="0" w:after="0" w:afterAutospacing="0"/>
        <w:divId w:val="598874605"/>
        <w:rPr>
          <w:sz w:val="20"/>
          <w:szCs w:val="20"/>
        </w:rPr>
      </w:pPr>
      <w:r>
        <w:rPr>
          <w:sz w:val="20"/>
          <w:szCs w:val="20"/>
        </w:rPr>
        <w:t> </w:t>
      </w:r>
    </w:p>
    <w:p w14:paraId="15A11E2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10DD57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(c) As of the date hereof, no event has occurred which, with or without notice, lapse of time or both, would or would be reasonably expected to constitute a def</w:t>
      </w:r>
      <w:r>
        <w:rPr>
          <w:sz w:val="20"/>
          <w:szCs w:val="20"/>
        </w:rPr>
        <w:t>ault or breach on the part of Parent or any other parties thereto, under the Equity Commitment Letter or the Support Agreement; or would otherwise excuse or permit the Sponsor to refuse to fund its obligations under the Equity Commitment Letter or excuse o</w:t>
      </w:r>
      <w:r>
        <w:rPr>
          <w:sz w:val="20"/>
          <w:szCs w:val="20"/>
        </w:rPr>
        <w:t xml:space="preserve">r permit the Rollover Shareholders or their respective Affiliates not to perform their respective obligations under the Support Agreement. As of the date of this Agreement, Parent and Merger Sub do not have any reason to believe that any of the conditions </w:t>
      </w:r>
      <w:r>
        <w:rPr>
          <w:sz w:val="20"/>
          <w:szCs w:val="20"/>
        </w:rPr>
        <w:t>to the Financing will not be satisfied or that the Financing will not be available to Parent or Merger Sub at the Effective Time.</w:t>
      </w:r>
    </w:p>
    <w:p w14:paraId="6AC4262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1F7944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(d) The Equity Commitment Letter contains all of the conditions precedent to the obligations of the parties thereunder to ma</w:t>
      </w:r>
      <w:r>
        <w:rPr>
          <w:sz w:val="20"/>
          <w:szCs w:val="20"/>
        </w:rPr>
        <w:t>ke the Financing, as applicable, available to Parent on the terms therein.</w:t>
      </w:r>
    </w:p>
    <w:p w14:paraId="12007556"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6A21C4B"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5.13   </w:t>
      </w:r>
      <w:r>
        <w:rPr>
          <w:sz w:val="20"/>
          <w:szCs w:val="20"/>
          <w:u w:val="single"/>
        </w:rPr>
        <w:t>Solvency</w:t>
      </w:r>
      <w:r>
        <w:rPr>
          <w:sz w:val="20"/>
          <w:szCs w:val="20"/>
        </w:rPr>
        <w:t>. Neither Parent nor Merger Sub is entering into the transactions contemplated by the Transaction Documents with the intent to hinder, delay or defraud eith</w:t>
      </w:r>
      <w:r>
        <w:rPr>
          <w:sz w:val="20"/>
          <w:szCs w:val="20"/>
        </w:rPr>
        <w:t>er present or future creditors. Each of Parent and Merger Sub, individually and on a consolidated basis, are not as of the date hereof, and after giving effect to the Transactions (including the payment of the aggregate Merger Consideration and all other a</w:t>
      </w:r>
      <w:r>
        <w:rPr>
          <w:sz w:val="20"/>
          <w:szCs w:val="20"/>
        </w:rPr>
        <w:t>mounts required to be paid in connection with the consummation of the Transactions and all related expenses) to occur at the Closing and assuming the accuracy of all of the representations and warranties of the Company set forth herein, will not be (and th</w:t>
      </w:r>
      <w:r>
        <w:rPr>
          <w:sz w:val="20"/>
          <w:szCs w:val="20"/>
        </w:rPr>
        <w:t>e Surviving Company will not be), Insolvent. None of Parent and Merger Sub is in default in any material respect with respect to any Contract to which it is a party.</w:t>
      </w:r>
    </w:p>
    <w:p w14:paraId="04242EA2"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B1DB7F7"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5.14   </w:t>
      </w:r>
      <w:r>
        <w:rPr>
          <w:sz w:val="20"/>
          <w:szCs w:val="20"/>
          <w:u w:val="single"/>
        </w:rPr>
        <w:t>Absence of Litigation</w:t>
      </w:r>
      <w:r>
        <w:rPr>
          <w:sz w:val="20"/>
          <w:szCs w:val="20"/>
        </w:rPr>
        <w:t>. As of the date hereof, to the Knowledge of Parent,</w:t>
      </w:r>
      <w:r>
        <w:rPr>
          <w:sz w:val="20"/>
          <w:szCs w:val="20"/>
        </w:rPr>
        <w:t xml:space="preserve"> there are no Legal Proceedings pending or threatened against Parent or Merger Sub or any property or asset of Parent or Merger Sub and neither Parent nor Merger Sub is subject to any outstanding Order.</w:t>
      </w:r>
    </w:p>
    <w:p w14:paraId="3E278AF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E0C33AE"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5.15   </w:t>
      </w:r>
      <w:r>
        <w:rPr>
          <w:sz w:val="20"/>
          <w:szCs w:val="20"/>
          <w:u w:val="single"/>
        </w:rPr>
        <w:t>No Other Representations</w:t>
      </w:r>
      <w:r>
        <w:rPr>
          <w:sz w:val="20"/>
          <w:szCs w:val="20"/>
        </w:rPr>
        <w:t>. Except for</w:t>
      </w:r>
      <w:r>
        <w:rPr>
          <w:sz w:val="20"/>
          <w:szCs w:val="20"/>
        </w:rPr>
        <w:t xml:space="preserve"> the representations and warranties expressly contained in this </w:t>
      </w:r>
      <w:r>
        <w:rPr>
          <w:sz w:val="20"/>
          <w:szCs w:val="20"/>
          <w:u w:val="single"/>
        </w:rPr>
        <w:t>Article V</w:t>
      </w:r>
      <w:r>
        <w:rPr>
          <w:sz w:val="20"/>
          <w:szCs w:val="20"/>
        </w:rPr>
        <w:t>, the Company acknowledges that none of Parent, Merger Sub or any other Person on behalf of Parent or Merger Sub makes any other express or implied representation or warranty with res</w:t>
      </w:r>
      <w:r>
        <w:rPr>
          <w:sz w:val="20"/>
          <w:szCs w:val="20"/>
        </w:rPr>
        <w:t>pect to Parent or Merger Sub or their respective business, operations, assets, liabilities, condition (financial or otherwise) or prospects or any information provided to the Company or any of its Affiliates or Representatives, and that any such other repr</w:t>
      </w:r>
      <w:r>
        <w:rPr>
          <w:sz w:val="20"/>
          <w:szCs w:val="20"/>
        </w:rPr>
        <w:t>esentations and warranties are expressly disclaimed.</w:t>
      </w:r>
    </w:p>
    <w:p w14:paraId="052741ED"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4E18DEEA" w14:textId="77777777" w:rsidR="00000000" w:rsidRDefault="002F725F">
      <w:pPr>
        <w:pStyle w:val="NormalWeb"/>
        <w:spacing w:before="0" w:beforeAutospacing="0" w:after="0" w:afterAutospacing="0"/>
        <w:jc w:val="center"/>
        <w:divId w:val="830557726"/>
        <w:rPr>
          <w:sz w:val="20"/>
          <w:szCs w:val="20"/>
        </w:rPr>
      </w:pPr>
      <w:r>
        <w:rPr>
          <w:sz w:val="20"/>
          <w:szCs w:val="20"/>
        </w:rPr>
        <w:t>A</w:t>
      </w:r>
      <w:r>
        <w:rPr>
          <w:sz w:val="20"/>
          <w:szCs w:val="20"/>
        </w:rPr>
        <w:t>-</w:t>
      </w:r>
      <w:r>
        <w:rPr>
          <w:sz w:val="20"/>
          <w:szCs w:val="20"/>
        </w:rPr>
        <w:t>3</w:t>
      </w:r>
      <w:r>
        <w:rPr>
          <w:sz w:val="20"/>
          <w:szCs w:val="20"/>
        </w:rPr>
        <w:t>2</w:t>
      </w:r>
    </w:p>
    <w:p w14:paraId="2B2C8B3B" w14:textId="77777777" w:rsidR="00000000" w:rsidRDefault="002F725F">
      <w:pPr>
        <w:pStyle w:val="NormalWeb"/>
        <w:spacing w:before="0" w:beforeAutospacing="0" w:after="0" w:afterAutospacing="0"/>
        <w:divId w:val="1854145763"/>
        <w:rPr>
          <w:sz w:val="20"/>
          <w:szCs w:val="20"/>
        </w:rPr>
      </w:pPr>
      <w:r>
        <w:rPr>
          <w:sz w:val="20"/>
          <w:szCs w:val="20"/>
        </w:rPr>
        <w:t> </w:t>
      </w:r>
    </w:p>
    <w:p w14:paraId="66E61034"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f</w:t>
      </w:r>
    </w:p>
    <w:p w14:paraId="23087675"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Article VI</w:t>
      </w:r>
      <w:r>
        <w:rPr>
          <w:b/>
          <w:bCs/>
          <w:caps/>
          <w:sz w:val="20"/>
          <w:szCs w:val="20"/>
        </w:rPr>
        <w:br/>
        <w:t>CONDUCT OF BUSINESS PENDING THE MERGER</w:t>
      </w:r>
    </w:p>
    <w:p w14:paraId="16B518A2"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3C7EC62F"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6.1 </w:t>
      </w:r>
      <w:r>
        <w:rPr>
          <w:sz w:val="20"/>
          <w:szCs w:val="20"/>
          <w:u w:val="single"/>
        </w:rPr>
        <w:t>Conduct of Business by the Company</w:t>
      </w:r>
      <w:r>
        <w:rPr>
          <w:sz w:val="20"/>
          <w:szCs w:val="20"/>
        </w:rPr>
        <w:t>. During the period from the date of this Agreement until the earlier of the Closing or the da</w:t>
      </w:r>
      <w:r>
        <w:rPr>
          <w:sz w:val="20"/>
          <w:szCs w:val="20"/>
        </w:rPr>
        <w:t xml:space="preserve">te, if any, on which this Agreement is earlier terminated pursuant to </w:t>
      </w:r>
      <w:r>
        <w:rPr>
          <w:sz w:val="20"/>
          <w:szCs w:val="20"/>
          <w:u w:val="single"/>
        </w:rPr>
        <w:t>Section 9.1</w:t>
      </w:r>
      <w:r>
        <w:rPr>
          <w:sz w:val="20"/>
          <w:szCs w:val="20"/>
        </w:rPr>
        <w:t xml:space="preserve"> (the “</w:t>
      </w:r>
      <w:r>
        <w:rPr>
          <w:sz w:val="20"/>
          <w:szCs w:val="20"/>
          <w:u w:val="single"/>
        </w:rPr>
        <w:t>Pre-Closing Period</w:t>
      </w:r>
      <w:r>
        <w:rPr>
          <w:sz w:val="20"/>
          <w:szCs w:val="20"/>
        </w:rPr>
        <w:t>”), except (a) as required by applicable Laws; (b) with the prior written consent of Parent (which consent shall not be unreasonably conditioned, with</w:t>
      </w:r>
      <w:r>
        <w:rPr>
          <w:sz w:val="20"/>
          <w:szCs w:val="20"/>
        </w:rPr>
        <w:t>held or delayed, and for the avoidance of doubt, such consent of Parent shall be deemed given if approved by any of the Sponsor, its Affiliates, or any Representative of the Sponsor or its Affiliates, as applicable, solely in their respective capacity as a</w:t>
      </w:r>
      <w:r>
        <w:rPr>
          <w:sz w:val="20"/>
          <w:szCs w:val="20"/>
        </w:rPr>
        <w:t xml:space="preserve"> director or officer of the Company); or (c) as otherwise permitted or contemplated by the Transaction Documents, the Company shall, and shall cause each of its Subsidiaries to, conduct its businesses in the ordinary course of business and in a manner cons</w:t>
      </w:r>
      <w:r>
        <w:rPr>
          <w:sz w:val="20"/>
          <w:szCs w:val="20"/>
        </w:rPr>
        <w:t xml:space="preserve">istent with past practices, and use its commercially reasonable efforts to preserve substantially intact the business organization of the Group Companies, comply with all applicable Laws, keep available the services of their present key officers and key </w:t>
      </w:r>
      <w:r>
        <w:rPr>
          <w:sz w:val="20"/>
          <w:szCs w:val="20"/>
        </w:rPr>
        <w:lastRenderedPageBreak/>
        <w:t>em</w:t>
      </w:r>
      <w:r>
        <w:rPr>
          <w:sz w:val="20"/>
          <w:szCs w:val="20"/>
        </w:rPr>
        <w:t>ployees, and preserve its relationships with customers, suppliers, licensors, and others with whom the Company or its Subsidiaries have material business relations as of the date hereof. Without limiting the generality of the foregoing, except (i) as may b</w:t>
      </w:r>
      <w:r>
        <w:rPr>
          <w:sz w:val="20"/>
          <w:szCs w:val="20"/>
        </w:rPr>
        <w:t>e required by applicable Laws; (ii) with the prior written consent of Parent (which consent shall not be unreasonably conditioned, withheld or delayed, and for the avoidance of doubt, such consent shall be deemed given if approved by any of the Sponsor, it</w:t>
      </w:r>
      <w:r>
        <w:rPr>
          <w:sz w:val="20"/>
          <w:szCs w:val="20"/>
        </w:rPr>
        <w:t>s Affiliates, or any Representative of the Sponsor or its Affiliates, as applicable, solely in their respective capacity as a director or officer of the Company); or (iii) as otherwise permitted or contemplated by the Transaction Documents, during the Pre-</w:t>
      </w:r>
      <w:r>
        <w:rPr>
          <w:sz w:val="20"/>
          <w:szCs w:val="20"/>
        </w:rPr>
        <w:t>Closing Period, the Company shall not, and shall not permit any of the other Group Companies to:</w:t>
      </w:r>
    </w:p>
    <w:p w14:paraId="6685CFE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68631DB"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amend or otherwise change its memorandum and articles of association or other equivalent organizational documents or governing instruments;</w:t>
      </w:r>
    </w:p>
    <w:p w14:paraId="55335CF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E82A21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(b) </w:t>
      </w:r>
      <w:r>
        <w:rPr>
          <w:sz w:val="20"/>
          <w:szCs w:val="20"/>
        </w:rPr>
        <w:t>issue, sell, pledge, grant, transfer, encumber or otherwise dispose of any shares of capital stock or other Equity Interests of the Company or any of its Subsidiaries, or securities convertible into or exchangeable or exercisable for, or options, warrants,</w:t>
      </w:r>
      <w:r>
        <w:rPr>
          <w:sz w:val="20"/>
          <w:szCs w:val="20"/>
        </w:rPr>
        <w:t xml:space="preserve"> calls, commitments or rights of any kind to acquire, any shares of capital stock or other Equity Interests of the Company or any of its Subsidiaries (other than by a direct or indirect wholly-owned Subsidiary of the Company to the Company or another direc</w:t>
      </w:r>
      <w:r>
        <w:rPr>
          <w:sz w:val="20"/>
          <w:szCs w:val="20"/>
        </w:rPr>
        <w:t>t or indirect wholly-owned Subsidiary of the Company);</w:t>
      </w:r>
    </w:p>
    <w:p w14:paraId="648FFEF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3359B62"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(c) reclassify, combine, split, subdivide or redeem, or purchase or otherwise acquire, directly or indirectly, any of its share capital, convertible securities or other rights exchangeable into or co</w:t>
      </w:r>
      <w:r>
        <w:rPr>
          <w:sz w:val="20"/>
          <w:szCs w:val="20"/>
        </w:rPr>
        <w:t>nvertible or exercisable for any of its shares, or any other equity or equity-linked securities (other than the purchase of Shares to satisfy obligations under a Share Incentive Plan, including the withholding of Shares in connection with the exercise of C</w:t>
      </w:r>
      <w:r>
        <w:rPr>
          <w:sz w:val="20"/>
          <w:szCs w:val="20"/>
        </w:rPr>
        <w:t>ompany Options or Company RSUs in accordance with their respective terms and conditions);</w:t>
      </w:r>
    </w:p>
    <w:p w14:paraId="3A96BAEB"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38DABA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(d) declare, set aside or pay any dividend or other distribution payable in cash, stock or property (or any combination thereof) with respect to its capital stock o</w:t>
      </w:r>
      <w:r>
        <w:rPr>
          <w:sz w:val="20"/>
          <w:szCs w:val="20"/>
        </w:rPr>
        <w:t>r other Equity Interests (except dividends or other distributions in cash, stock or property paid by any direct or indirect wholly-owned Subsidiary of the Company to the Company or to any other direct or indirect wholly-owned Subsidiary of the Company);</w:t>
      </w:r>
    </w:p>
    <w:p w14:paraId="2D0008A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559C636"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(e) adopt a plan of complete or partial liquidation, dissolution, restructuring, recapitalization, merger (other than the Merger), consolidation or other reorganization (other than reorganizations involving only wholly-owned Subsidiaries of the Company whi</w:t>
      </w:r>
      <w:r>
        <w:rPr>
          <w:sz w:val="20"/>
          <w:szCs w:val="20"/>
        </w:rPr>
        <w:t>ch would not result in a material increase in the Tax liability of any Group Companies);</w:t>
      </w:r>
    </w:p>
    <w:p w14:paraId="1015FF0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6E486BB" w14:textId="77777777" w:rsidR="00000000" w:rsidRDefault="002F725F">
      <w:pPr>
        <w:pStyle w:val="NormalWeb"/>
        <w:spacing w:before="0" w:beforeAutospacing="0" w:after="0" w:afterAutospacing="0"/>
        <w:jc w:val="center"/>
        <w:divId w:val="2123375701"/>
        <w:rPr>
          <w:sz w:val="20"/>
          <w:szCs w:val="20"/>
        </w:rPr>
      </w:pPr>
      <w:r>
        <w:rPr>
          <w:sz w:val="20"/>
          <w:szCs w:val="20"/>
        </w:rPr>
        <w:t>A</w:t>
      </w:r>
      <w:r>
        <w:rPr>
          <w:sz w:val="20"/>
          <w:szCs w:val="20"/>
        </w:rPr>
        <w:t>-</w:t>
      </w:r>
      <w:r>
        <w:rPr>
          <w:sz w:val="20"/>
          <w:szCs w:val="20"/>
        </w:rPr>
        <w:t>3</w:t>
      </w:r>
      <w:r>
        <w:rPr>
          <w:sz w:val="20"/>
          <w:szCs w:val="20"/>
        </w:rPr>
        <w:t>3</w:t>
      </w:r>
    </w:p>
    <w:p w14:paraId="781184B4" w14:textId="77777777" w:rsidR="00000000" w:rsidRDefault="002F725F">
      <w:pPr>
        <w:pStyle w:val="NormalWeb"/>
        <w:spacing w:before="0" w:beforeAutospacing="0" w:after="0" w:afterAutospacing="0"/>
        <w:divId w:val="1642463826"/>
        <w:rPr>
          <w:sz w:val="20"/>
          <w:szCs w:val="20"/>
        </w:rPr>
      </w:pPr>
      <w:r>
        <w:rPr>
          <w:sz w:val="20"/>
          <w:szCs w:val="20"/>
        </w:rPr>
        <w:t> </w:t>
      </w:r>
    </w:p>
    <w:p w14:paraId="531CE64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6B9FEA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(f) acquire, sell, lease, license, subject to any Lien or otherwise dispose of, any assets, securities or properties, in aggregate, with a value or purchase</w:t>
      </w:r>
      <w:r>
        <w:rPr>
          <w:sz w:val="20"/>
          <w:szCs w:val="20"/>
        </w:rPr>
        <w:t xml:space="preserve"> price (including the value of assumed liabilities) in excess of US$5,000,000 in any single transaction or related series of transactions; except (i) in the ordinary course of business consistent with past practice, (ii) pursuant to existing Contracts, or </w:t>
      </w:r>
      <w:r>
        <w:rPr>
          <w:sz w:val="20"/>
          <w:szCs w:val="20"/>
        </w:rPr>
        <w:t xml:space="preserve">(iii) incurrence of Permitted Liens or Liens securing Indebtedness permitted under this </w:t>
      </w:r>
      <w:r>
        <w:rPr>
          <w:sz w:val="20"/>
          <w:szCs w:val="20"/>
          <w:u w:val="single"/>
        </w:rPr>
        <w:t>Section 6.1</w:t>
      </w:r>
      <w:r>
        <w:rPr>
          <w:sz w:val="20"/>
          <w:szCs w:val="20"/>
        </w:rPr>
        <w:t>;</w:t>
      </w:r>
    </w:p>
    <w:p w14:paraId="786AA7C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EB4559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(g) incur, issue or assume any Indebtedness or guarantee or otherwise become liable for any Indebtedness (including increasing the Indebtedness under Con</w:t>
      </w:r>
      <w:r>
        <w:rPr>
          <w:sz w:val="20"/>
          <w:szCs w:val="20"/>
        </w:rPr>
        <w:t>tracts in existence as of the date hereof) that is not budgeted in the Company’s current or any future plan approved by the Board as of the date hereof and is in excess of US$1,000,000 in a single transaction or series of related transactions, other than (</w:t>
      </w:r>
      <w:r>
        <w:rPr>
          <w:sz w:val="20"/>
          <w:szCs w:val="20"/>
        </w:rPr>
        <w:t>A) in the ordinary course of business and consistent with past practices; (B) incurred between the Company and any of its direct or indirect wholly-owned Subsidiaries or between any of such direct or indirect wholly-owned Subsidiaries; or (C) any Indebtedn</w:t>
      </w:r>
      <w:r>
        <w:rPr>
          <w:sz w:val="20"/>
          <w:szCs w:val="20"/>
        </w:rPr>
        <w:t>ess incurred under existing Contracts;</w:t>
      </w:r>
    </w:p>
    <w:p w14:paraId="57444DE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26DA52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lastRenderedPageBreak/>
        <w:t>(h) incur or commit to incur any single capital expenditure in excess of US$1,000,000, or capital expenditures in the aggregate in excess of US$1,000,000 for the Group Companies taken as a whole, in each case not bu</w:t>
      </w:r>
      <w:r>
        <w:rPr>
          <w:sz w:val="20"/>
          <w:szCs w:val="20"/>
        </w:rPr>
        <w:t>dgeted in the Company’s current or any future plan approved by the Board as of the date hereof;</w:t>
      </w:r>
    </w:p>
    <w:p w14:paraId="7364D9B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F0270D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(i) (A) (1) make any material change in any method of Tax accounting or (2) make or change any material Tax election; (B) file any material amended Tax Return</w:t>
      </w:r>
      <w:r>
        <w:rPr>
          <w:sz w:val="20"/>
          <w:szCs w:val="20"/>
        </w:rPr>
        <w:t>, settle or compromise any material Tax liability except as required by applicable Laws; or (C) enter into any material closing agreement with respect to any material Tax or surrender any right to claim a material Tax refund;</w:t>
      </w:r>
    </w:p>
    <w:p w14:paraId="1BAFDD12"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4C0C3D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(j) enter into, amend, modif</w:t>
      </w:r>
      <w:r>
        <w:rPr>
          <w:sz w:val="20"/>
          <w:szCs w:val="20"/>
        </w:rPr>
        <w:t xml:space="preserve">y, consent to the termination of, or waive any material rights under, any Company Material Contract (or any Contract that would be a Company Material Contract if such Contract had been entered into prior to the date hereof) that calls for annual aggregate </w:t>
      </w:r>
      <w:r>
        <w:rPr>
          <w:sz w:val="20"/>
          <w:szCs w:val="20"/>
        </w:rPr>
        <w:t>payments by the Company and its Subsidiaries of US$5,000,000 or more which cannot be terminated without material surviving obligations or material penalty upon notice of ninety (90) days or less;</w:t>
      </w:r>
    </w:p>
    <w:p w14:paraId="32261A2C"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AC6E89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(k) effect or become a party to any merger, consolidation,</w:t>
      </w:r>
      <w:r>
        <w:rPr>
          <w:sz w:val="20"/>
          <w:szCs w:val="20"/>
        </w:rPr>
        <w:t xml:space="preserve"> plan of arrangement, share exchange, business combination, amalgamation, recapitalization, reclassification of shares, stock split, reverse stock split, issuance of bonus shares, division or subdivision of shares, consolidation of shares or similar transa</w:t>
      </w:r>
      <w:r>
        <w:rPr>
          <w:sz w:val="20"/>
          <w:szCs w:val="20"/>
        </w:rPr>
        <w:t>ction;</w:t>
      </w:r>
    </w:p>
    <w:p w14:paraId="3BD6DF0C"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D37ADB2"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(l) settle any Legal Proceeding before a Governmental Entity, other than any settlement involving only the payment of monetary damages not in excess of US$1,000,000, except (A) in the ordinary course of business; (B) Legal Proceedings to enforce t</w:t>
      </w:r>
      <w:r>
        <w:rPr>
          <w:sz w:val="20"/>
          <w:szCs w:val="20"/>
        </w:rPr>
        <w:t>he terms of the Transaction Documents; (C) Legal Proceedings in connection with the Transaction Documents and the transactions contemplated thereby; or (D) not involving the admission of any wrongdoing by the Company or any of its Subsidiaries;</w:t>
      </w:r>
    </w:p>
    <w:p w14:paraId="1C0F537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300DE5C"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(m) permit any material Intellectual Property owned by any Group Company to lapse or to be abandoned, dedicated or disclaimed, fail to perform or make any applicable filings, recordings or other similar actions or filings, fail to pay all fees and Taxes re</w:t>
      </w:r>
      <w:r>
        <w:rPr>
          <w:sz w:val="20"/>
          <w:szCs w:val="20"/>
        </w:rPr>
        <w:t>quired to maintain and protect its interest in each and every item of material Intellectual Property owned by any Group Company, or grant or license or transfer to any Third Party any material Intellectual Property owned by any Group Company;</w:t>
      </w:r>
    </w:p>
    <w:p w14:paraId="235F2DC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56B707A" w14:textId="77777777" w:rsidR="00000000" w:rsidRDefault="002F725F">
      <w:pPr>
        <w:pStyle w:val="NormalWeb"/>
        <w:spacing w:before="0" w:beforeAutospacing="0" w:after="0" w:afterAutospacing="0"/>
        <w:jc w:val="center"/>
        <w:divId w:val="2141726283"/>
        <w:rPr>
          <w:sz w:val="20"/>
          <w:szCs w:val="20"/>
        </w:rPr>
      </w:pPr>
      <w:r>
        <w:rPr>
          <w:sz w:val="20"/>
          <w:szCs w:val="20"/>
        </w:rPr>
        <w:t>A</w:t>
      </w:r>
      <w:r>
        <w:rPr>
          <w:sz w:val="20"/>
          <w:szCs w:val="20"/>
        </w:rPr>
        <w:t>-</w:t>
      </w:r>
      <w:r>
        <w:rPr>
          <w:sz w:val="20"/>
          <w:szCs w:val="20"/>
        </w:rPr>
        <w:t>3</w:t>
      </w:r>
      <w:r>
        <w:rPr>
          <w:sz w:val="20"/>
          <w:szCs w:val="20"/>
        </w:rPr>
        <w:t>4</w:t>
      </w:r>
    </w:p>
    <w:p w14:paraId="55C6BB9B" w14:textId="77777777" w:rsidR="00000000" w:rsidRDefault="002F725F">
      <w:pPr>
        <w:pStyle w:val="NormalWeb"/>
        <w:spacing w:before="0" w:beforeAutospacing="0" w:after="0" w:afterAutospacing="0"/>
        <w:divId w:val="526404252"/>
        <w:rPr>
          <w:sz w:val="20"/>
          <w:szCs w:val="20"/>
        </w:rPr>
      </w:pPr>
      <w:r>
        <w:rPr>
          <w:sz w:val="20"/>
          <w:szCs w:val="20"/>
        </w:rPr>
        <w:t> </w:t>
      </w:r>
    </w:p>
    <w:p w14:paraId="4418077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8E452F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(n</w:t>
      </w:r>
      <w:r>
        <w:rPr>
          <w:sz w:val="20"/>
          <w:szCs w:val="20"/>
        </w:rPr>
        <w:t>) fail to use its reasonable best efforts to make in a timely manner any filings or registrations with the SEC required under the Securities Act or the Exchange Act; or</w:t>
      </w:r>
    </w:p>
    <w:p w14:paraId="1A50115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CB7271B"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(o) agree, authorize or enter into any Contract to do any of the foregoing.</w:t>
      </w:r>
    </w:p>
    <w:p w14:paraId="6963F61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AE5EFC2" w14:textId="77777777" w:rsidR="00000000" w:rsidRDefault="002F725F">
      <w:pPr>
        <w:pStyle w:val="NormalWeb"/>
        <w:spacing w:before="0" w:beforeAutospacing="0" w:after="0" w:afterAutospacing="0"/>
        <w:jc w:val="both"/>
        <w:divId w:val="415980837"/>
        <w:rPr>
          <w:sz w:val="20"/>
          <w:szCs w:val="20"/>
        </w:rPr>
      </w:pPr>
      <w:r>
        <w:rPr>
          <w:sz w:val="20"/>
          <w:szCs w:val="20"/>
        </w:rPr>
        <w:t>Section</w:t>
      </w:r>
      <w:r>
        <w:rPr>
          <w:sz w:val="20"/>
          <w:szCs w:val="20"/>
        </w:rPr>
        <w:t xml:space="preserve"> 6.2 </w:t>
      </w:r>
      <w:r>
        <w:rPr>
          <w:sz w:val="20"/>
          <w:szCs w:val="20"/>
          <w:u w:val="single"/>
        </w:rPr>
        <w:t>Non-Solicitation</w:t>
      </w:r>
      <w:r>
        <w:rPr>
          <w:sz w:val="20"/>
          <w:szCs w:val="20"/>
        </w:rPr>
        <w:t>.</w:t>
      </w:r>
    </w:p>
    <w:p w14:paraId="222BBFEB"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36E571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(a) Subject to the provisions of this </w:t>
      </w:r>
      <w:r>
        <w:rPr>
          <w:sz w:val="20"/>
          <w:szCs w:val="20"/>
          <w:u w:val="single"/>
        </w:rPr>
        <w:t>Section 6.2</w:t>
      </w:r>
      <w:r>
        <w:rPr>
          <w:sz w:val="20"/>
          <w:szCs w:val="20"/>
        </w:rPr>
        <w:t xml:space="preserve">, and except for actions or omissions taken by or at the direction of Parent or Merger Sub, or their respective Affiliates, including solely in such Person’s capacity as a director, </w:t>
      </w:r>
      <w:r>
        <w:rPr>
          <w:sz w:val="20"/>
          <w:szCs w:val="20"/>
        </w:rPr>
        <w:t>officer or employee of any of the Group Companies or otherwise, during the Pre-Closing Period, the Company shall not, and shall not authorize or permit any of its Representatives, any of the Company’s Subsidiaries or any of their respective Representatives</w:t>
      </w:r>
      <w:r>
        <w:rPr>
          <w:sz w:val="20"/>
          <w:szCs w:val="20"/>
        </w:rPr>
        <w:t xml:space="preserve"> to, directly or indirectly:</w:t>
      </w:r>
    </w:p>
    <w:p w14:paraId="3B0EDF99"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44A4C1CE"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(1) solicit, initiate or encourage, any Competing Proposal or any inquiries or the making of any proposal or offer that could reasonably be expected to lead to a Competing Proposal;</w:t>
      </w:r>
    </w:p>
    <w:p w14:paraId="7FABD1C6"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7D9BA63E"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(2) enter into, maintain, continue or oth</w:t>
      </w:r>
      <w:r>
        <w:rPr>
          <w:sz w:val="20"/>
          <w:szCs w:val="20"/>
        </w:rPr>
        <w:t>erwise engage in discussions or negotiations with any Person or furnish to any Person (or any representative thereof) any non-public information with respect to the Company or any of its Subsidiaries, or cooperate with any Person (or any representative the</w:t>
      </w:r>
      <w:r>
        <w:rPr>
          <w:sz w:val="20"/>
          <w:szCs w:val="20"/>
        </w:rPr>
        <w:t xml:space="preserve">reof), in each case, with </w:t>
      </w:r>
      <w:r>
        <w:rPr>
          <w:sz w:val="20"/>
          <w:szCs w:val="20"/>
        </w:rPr>
        <w:lastRenderedPageBreak/>
        <w:t>respect to any Competing Proposal or any proposal or offer that could reasonably be expected to lead to a Competing Proposal;</w:t>
      </w:r>
    </w:p>
    <w:p w14:paraId="5745888A"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21940541"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(3) agree to, approve, endorse, recommend, enter into or consummate any written agreement in principle</w:t>
      </w:r>
      <w:r>
        <w:rPr>
          <w:sz w:val="20"/>
          <w:szCs w:val="20"/>
        </w:rPr>
        <w:t xml:space="preserve">, letter of intent, merger agreement, acquisition agreement or other similar written agreement or any Contract relating to any Competing Transaction (other than an Acceptable Confidentiality Agreement entered into in accordance with </w:t>
      </w:r>
      <w:r>
        <w:rPr>
          <w:sz w:val="20"/>
          <w:szCs w:val="20"/>
          <w:u w:val="single"/>
        </w:rPr>
        <w:t>Section 6.2(b)</w:t>
      </w:r>
      <w:r>
        <w:rPr>
          <w:sz w:val="20"/>
          <w:szCs w:val="20"/>
        </w:rPr>
        <w:t>);</w:t>
      </w:r>
    </w:p>
    <w:p w14:paraId="469A5066"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290B4554"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xml:space="preserve">(4) </w:t>
      </w:r>
      <w:r>
        <w:rPr>
          <w:sz w:val="20"/>
          <w:szCs w:val="20"/>
        </w:rPr>
        <w:t>grant any waiver, amendment or release under any standstill, confidentiality or similar agreement to which the Company is a party, and the Company shall promptly take all actions necessary to terminate or cause to be terminated any such waiver previously g</w:t>
      </w:r>
      <w:r>
        <w:rPr>
          <w:sz w:val="20"/>
          <w:szCs w:val="20"/>
        </w:rPr>
        <w:t>ranted with respect to any provision of any such standstill, confidentiality or similar agreement and to enforce such standstill, confidentiality or similar agreement; or</w:t>
      </w:r>
    </w:p>
    <w:p w14:paraId="306F6D0D"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3DB754C7"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xml:space="preserve">(5) </w:t>
      </w:r>
      <w:r>
        <w:rPr>
          <w:sz w:val="20"/>
          <w:szCs w:val="20"/>
        </w:rPr>
        <w:t>authorize or direct any of the Representatives of the Company or any of its Subsidiaries to take any action or resolve to propose, agree or publicly announce an intention to do any of the foregoing.</w:t>
      </w:r>
    </w:p>
    <w:p w14:paraId="3D3C33F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9A1F36D" w14:textId="77777777" w:rsidR="00000000" w:rsidRDefault="002F725F">
      <w:pPr>
        <w:pStyle w:val="NormalWeb"/>
        <w:spacing w:before="0" w:beforeAutospacing="0" w:after="0" w:afterAutospacing="0"/>
        <w:jc w:val="center"/>
        <w:divId w:val="1663007369"/>
        <w:rPr>
          <w:sz w:val="20"/>
          <w:szCs w:val="20"/>
        </w:rPr>
      </w:pPr>
      <w:r>
        <w:rPr>
          <w:sz w:val="20"/>
          <w:szCs w:val="20"/>
        </w:rPr>
        <w:t>A</w:t>
      </w:r>
      <w:r>
        <w:rPr>
          <w:sz w:val="20"/>
          <w:szCs w:val="20"/>
        </w:rPr>
        <w:t>-</w:t>
      </w:r>
      <w:r>
        <w:rPr>
          <w:sz w:val="20"/>
          <w:szCs w:val="20"/>
        </w:rPr>
        <w:t>3</w:t>
      </w:r>
      <w:r>
        <w:rPr>
          <w:sz w:val="20"/>
          <w:szCs w:val="20"/>
        </w:rPr>
        <w:t>5</w:t>
      </w:r>
    </w:p>
    <w:p w14:paraId="650489FE" w14:textId="77777777" w:rsidR="00000000" w:rsidRDefault="002F725F">
      <w:pPr>
        <w:pStyle w:val="NormalWeb"/>
        <w:spacing w:before="0" w:beforeAutospacing="0" w:after="0" w:afterAutospacing="0"/>
        <w:divId w:val="142477630"/>
        <w:rPr>
          <w:sz w:val="20"/>
          <w:szCs w:val="20"/>
        </w:rPr>
      </w:pPr>
      <w:r>
        <w:rPr>
          <w:sz w:val="20"/>
          <w:szCs w:val="20"/>
        </w:rPr>
        <w:t> </w:t>
      </w:r>
    </w:p>
    <w:p w14:paraId="7A2EB69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D203046"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Notwithstanding anything in this Agreement</w:t>
      </w:r>
      <w:r>
        <w:rPr>
          <w:sz w:val="20"/>
          <w:szCs w:val="20"/>
        </w:rPr>
        <w:t xml:space="preserve"> to the contrary, at any time on or after the date hereof and prior to the receipt of the Company Shareholder Approval, following the receipt of a </w:t>
      </w:r>
      <w:r>
        <w:rPr>
          <w:i/>
          <w:iCs/>
          <w:sz w:val="20"/>
          <w:szCs w:val="20"/>
        </w:rPr>
        <w:t>bona fide</w:t>
      </w:r>
      <w:r>
        <w:rPr>
          <w:sz w:val="20"/>
          <w:szCs w:val="20"/>
        </w:rPr>
        <w:t xml:space="preserve"> written proposal or offer regarding a Competing Transaction that was not obtained in violation of t</w:t>
      </w:r>
      <w:r>
        <w:rPr>
          <w:sz w:val="20"/>
          <w:szCs w:val="20"/>
        </w:rPr>
        <w:t xml:space="preserve">his </w:t>
      </w:r>
      <w:r>
        <w:rPr>
          <w:sz w:val="20"/>
          <w:szCs w:val="20"/>
          <w:u w:val="single"/>
        </w:rPr>
        <w:t>Section 6.2</w:t>
      </w:r>
      <w:r>
        <w:rPr>
          <w:sz w:val="20"/>
          <w:szCs w:val="20"/>
        </w:rPr>
        <w:t xml:space="preserve">, the Company, the Special Committee and their respective Representatives may (i) contact the Person or group of Persons who has made such proposal or offer to notify such Person the restrictions set forth in this </w:t>
      </w:r>
      <w:r>
        <w:rPr>
          <w:sz w:val="20"/>
          <w:szCs w:val="20"/>
          <w:u w:val="single"/>
        </w:rPr>
        <w:t>Section 6.2</w:t>
      </w:r>
      <w:r>
        <w:rPr>
          <w:sz w:val="20"/>
          <w:szCs w:val="20"/>
        </w:rPr>
        <w:t xml:space="preserve"> and/or to clari</w:t>
      </w:r>
      <w:r>
        <w:rPr>
          <w:sz w:val="20"/>
          <w:szCs w:val="20"/>
        </w:rPr>
        <w:t xml:space="preserve">fy and understand the terms and conditions thereof; (ii) furnish non-public information in response to the request of the Person or group of Persons who has made such proposal or offer, </w:t>
      </w:r>
      <w:r>
        <w:rPr>
          <w:sz w:val="20"/>
          <w:szCs w:val="20"/>
          <w:u w:val="single"/>
        </w:rPr>
        <w:t>provided</w:t>
      </w:r>
      <w:r>
        <w:rPr>
          <w:sz w:val="20"/>
          <w:szCs w:val="20"/>
        </w:rPr>
        <w:t>, that (A) prior to furnishing such nonpublic information, the</w:t>
      </w:r>
      <w:r>
        <w:rPr>
          <w:sz w:val="20"/>
          <w:szCs w:val="20"/>
        </w:rPr>
        <w:t xml:space="preserve"> Company receives from such Person or group of Persons an executed Acceptable Confidentiality Agreement; and (B) concurrently with furnishing any such nonpublic information to such Person or group of Persons, the Company furnishes such nonpublic informatio</w:t>
      </w:r>
      <w:r>
        <w:rPr>
          <w:sz w:val="20"/>
          <w:szCs w:val="20"/>
        </w:rPr>
        <w:t>n to Parent (to the extent such nonpublic information has not been previously furnished or made available by the Company to Parent); and (iii) engage or participate in any discussions or negotiations with the Person or group of Persons who has made such pr</w:t>
      </w:r>
      <w:r>
        <w:rPr>
          <w:sz w:val="20"/>
          <w:szCs w:val="20"/>
        </w:rPr>
        <w:t xml:space="preserve">oposal or offer; </w:t>
      </w:r>
      <w:r>
        <w:rPr>
          <w:sz w:val="20"/>
          <w:szCs w:val="20"/>
          <w:u w:val="single"/>
        </w:rPr>
        <w:t>provided further</w:t>
      </w:r>
      <w:r>
        <w:rPr>
          <w:sz w:val="20"/>
          <w:szCs w:val="20"/>
        </w:rPr>
        <w:t>, that prior to taking any actions described in sub-clause (ii) or (iii), the Special Committee shall (x) have determined in good faith, after consultation with its financial advisor and outside legal counsel, that such pro</w:t>
      </w:r>
      <w:r>
        <w:rPr>
          <w:sz w:val="20"/>
          <w:szCs w:val="20"/>
        </w:rPr>
        <w:t>posal or offer constitutes a Superior Proposal or could reasonably be expected to result in a Superior Proposal; and (y) have determined in good faith, after consultation with its financial advisor and outside legal counsel, that the failure to take such a</w:t>
      </w:r>
      <w:r>
        <w:rPr>
          <w:sz w:val="20"/>
          <w:szCs w:val="20"/>
        </w:rPr>
        <w:t>ction could reasonably be expected to be contrary to its fiduciary duties under applicable Laws; and (z) provide Parent with written notice of the receipt by the Company of any Competing Proposal or any inquiry, offer or proposal that could reasonably be e</w:t>
      </w:r>
      <w:r>
        <w:rPr>
          <w:sz w:val="20"/>
          <w:szCs w:val="20"/>
        </w:rPr>
        <w:t>xpected to lead to a Competing Proposal (including the identity of the Person or group of Persons making or submitting such Competing Proposal, and details of the material terms and conditions thereof) prior to or concurrently with taking any such action.</w:t>
      </w:r>
    </w:p>
    <w:p w14:paraId="06E8D0D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CA1634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(c) The Company shall keep Parent promptly and reasonably informed with respect to (i) any inquiry or indication of interest that could lead to a Competing Proposal; (ii) the status of any such Competing Proposal; and (iii) the status, any material devel</w:t>
      </w:r>
      <w:r>
        <w:rPr>
          <w:sz w:val="20"/>
          <w:szCs w:val="20"/>
        </w:rPr>
        <w:t>opments and the terms of any material modification thereto. The Company agrees that it will not enter into any agreement with any Person subsequent to the date hereof that prohibits the Company from providing any information or materials to Parent in accor</w:t>
      </w:r>
      <w:r>
        <w:rPr>
          <w:sz w:val="20"/>
          <w:szCs w:val="20"/>
        </w:rPr>
        <w:t xml:space="preserve">dance with, or otherwise complying with, this </w:t>
      </w:r>
      <w:r>
        <w:rPr>
          <w:sz w:val="20"/>
          <w:szCs w:val="20"/>
          <w:u w:val="single"/>
        </w:rPr>
        <w:t>Section 6.2(c)</w:t>
      </w:r>
      <w:r>
        <w:rPr>
          <w:sz w:val="20"/>
          <w:szCs w:val="20"/>
        </w:rPr>
        <w:t>.</w:t>
      </w:r>
    </w:p>
    <w:p w14:paraId="4669C4E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2B48BC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(d) The Company shall cease and cause to be terminated any discussions existing as of the date hereof with any Person or group of Persons that relate to or for the purpose of encouraging or fa</w:t>
      </w:r>
      <w:r>
        <w:rPr>
          <w:sz w:val="20"/>
          <w:szCs w:val="20"/>
        </w:rPr>
        <w:t>cilitating any Competing Proposal.</w:t>
      </w:r>
    </w:p>
    <w:p w14:paraId="4363C07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4DB6746" w14:textId="77777777" w:rsidR="00000000" w:rsidRDefault="002F725F">
      <w:pPr>
        <w:pStyle w:val="NormalWeb"/>
        <w:spacing w:before="0" w:beforeAutospacing="0" w:after="0" w:afterAutospacing="0"/>
        <w:ind w:firstLine="1440"/>
        <w:jc w:val="both"/>
        <w:divId w:val="415980837"/>
        <w:rPr>
          <w:sz w:val="20"/>
          <w:szCs w:val="20"/>
        </w:rPr>
      </w:pPr>
      <w:r>
        <w:rPr>
          <w:sz w:val="20"/>
          <w:szCs w:val="20"/>
        </w:rPr>
        <w:lastRenderedPageBreak/>
        <w:t xml:space="preserve">(e) During the Pre-Closing Period, none of the Company, the Board (in accordance with </w:t>
      </w:r>
      <w:r>
        <w:rPr>
          <w:sz w:val="20"/>
          <w:szCs w:val="20"/>
          <w:u w:val="single"/>
        </w:rPr>
        <w:t>Section 10.16</w:t>
      </w:r>
      <w:r>
        <w:rPr>
          <w:sz w:val="20"/>
          <w:szCs w:val="20"/>
        </w:rPr>
        <w:t>) or any committee thereof shall (i) change, withhold, withdraw, amend, qualify or modify, or publicly change, withhold,</w:t>
      </w:r>
      <w:r>
        <w:rPr>
          <w:sz w:val="20"/>
          <w:szCs w:val="20"/>
        </w:rPr>
        <w:t xml:space="preserve"> withdraw, amend, qualify or modify, in a manner adverse to Parent or Merger Sub, the Company Recommendation; (ii) adopt, approve or recommend, or publicly adopt, approve or recommend, any Competing Transaction; (iii) fail to make the Company Recommendatio</w:t>
      </w:r>
      <w:r>
        <w:rPr>
          <w:sz w:val="20"/>
          <w:szCs w:val="20"/>
        </w:rPr>
        <w:t>n or include the Company Recommendation in the Proxy Statement, or fail to recommend against any Competing Transaction subject to Regulation 14D under the Exchange Act in any solicitation or recommendation statement on Schedule 14D-9 as promptly as practic</w:t>
      </w:r>
      <w:r>
        <w:rPr>
          <w:sz w:val="20"/>
          <w:szCs w:val="20"/>
        </w:rPr>
        <w:t>able after the commencement of such Competing Transaction (but in any event within ten (10) Business Days following such commencement); or (iv)  resolve or agree to take any of the foregoing actions (any of the actions or events described in sub-clauses “(</w:t>
      </w:r>
      <w:r>
        <w:rPr>
          <w:sz w:val="20"/>
          <w:szCs w:val="20"/>
        </w:rPr>
        <w:t>i)” through “(iv)”, a “</w:t>
      </w:r>
      <w:r>
        <w:rPr>
          <w:sz w:val="20"/>
          <w:szCs w:val="20"/>
          <w:u w:val="single"/>
        </w:rPr>
        <w:t>Change in Company Recommendation</w:t>
      </w:r>
      <w:r>
        <w:rPr>
          <w:sz w:val="20"/>
          <w:szCs w:val="20"/>
        </w:rPr>
        <w:t>”).</w:t>
      </w:r>
    </w:p>
    <w:p w14:paraId="5015E4A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2F20760" w14:textId="77777777" w:rsidR="00000000" w:rsidRDefault="002F725F">
      <w:pPr>
        <w:pStyle w:val="NormalWeb"/>
        <w:spacing w:before="0" w:beforeAutospacing="0" w:after="0" w:afterAutospacing="0"/>
        <w:jc w:val="center"/>
        <w:divId w:val="625624400"/>
        <w:rPr>
          <w:sz w:val="20"/>
          <w:szCs w:val="20"/>
        </w:rPr>
      </w:pPr>
      <w:r>
        <w:rPr>
          <w:sz w:val="20"/>
          <w:szCs w:val="20"/>
        </w:rPr>
        <w:t>A</w:t>
      </w:r>
      <w:r>
        <w:rPr>
          <w:sz w:val="20"/>
          <w:szCs w:val="20"/>
        </w:rPr>
        <w:t>-</w:t>
      </w:r>
      <w:r>
        <w:rPr>
          <w:sz w:val="20"/>
          <w:szCs w:val="20"/>
        </w:rPr>
        <w:t>3</w:t>
      </w:r>
      <w:r>
        <w:rPr>
          <w:sz w:val="20"/>
          <w:szCs w:val="20"/>
        </w:rPr>
        <w:t>6</w:t>
      </w:r>
    </w:p>
    <w:p w14:paraId="4A11E1DD" w14:textId="77777777" w:rsidR="00000000" w:rsidRDefault="002F725F">
      <w:pPr>
        <w:pStyle w:val="NormalWeb"/>
        <w:spacing w:before="0" w:beforeAutospacing="0" w:after="0" w:afterAutospacing="0"/>
        <w:divId w:val="987586960"/>
        <w:rPr>
          <w:sz w:val="20"/>
          <w:szCs w:val="20"/>
        </w:rPr>
      </w:pPr>
      <w:r>
        <w:rPr>
          <w:sz w:val="20"/>
          <w:szCs w:val="20"/>
        </w:rPr>
        <w:t> </w:t>
      </w:r>
    </w:p>
    <w:p w14:paraId="2B12BC0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8C3D26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(f) Notwithstanding anything in this Agreement to the contrary, prior to the receipt of the Company Shareholder Approval, if in response to the receipt by the Company of a Competing Prop</w:t>
      </w:r>
      <w:r>
        <w:rPr>
          <w:sz w:val="20"/>
          <w:szCs w:val="20"/>
        </w:rPr>
        <w:t>osal, the Board (upon the recommendation of the Special Committee) or the Special Committee determines in good faith following consultation with its financial advisor and outside legal counsel, that such proposal constitutes a Superior Proposal and that th</w:t>
      </w:r>
      <w:r>
        <w:rPr>
          <w:sz w:val="20"/>
          <w:szCs w:val="20"/>
        </w:rPr>
        <w:t xml:space="preserve">e failure to take such action could reasonably be expected to be inconsistent with its fiduciary duties under applicable Laws, the Board (acting upon the recommendation of the Special Committee) or the Special Committee, as the case may be, may (1) make a </w:t>
      </w:r>
      <w:r>
        <w:rPr>
          <w:sz w:val="20"/>
          <w:szCs w:val="20"/>
        </w:rPr>
        <w:t xml:space="preserve">Change in Company Recommendation in respect of such Superior Proposal and (2) cause the Company to terminate this Agreement under </w:t>
      </w:r>
      <w:r>
        <w:rPr>
          <w:sz w:val="20"/>
          <w:szCs w:val="20"/>
          <w:u w:val="single"/>
        </w:rPr>
        <w:t>Section 9.1(c)(2)</w:t>
      </w:r>
      <w:r>
        <w:rPr>
          <w:sz w:val="20"/>
          <w:szCs w:val="20"/>
        </w:rPr>
        <w:t xml:space="preserve">; </w:t>
      </w:r>
      <w:r>
        <w:rPr>
          <w:sz w:val="20"/>
          <w:szCs w:val="20"/>
          <w:u w:val="single"/>
        </w:rPr>
        <w:t>provided</w:t>
      </w:r>
      <w:r>
        <w:rPr>
          <w:sz w:val="20"/>
          <w:szCs w:val="20"/>
        </w:rPr>
        <w:t>, that (i) the Board or the Special Committee has first notified Parent in writing of its intent to</w:t>
      </w:r>
      <w:r>
        <w:rPr>
          <w:sz w:val="20"/>
          <w:szCs w:val="20"/>
        </w:rPr>
        <w:t xml:space="preserve"> take such action (any such notice, a “</w:t>
      </w:r>
      <w:r>
        <w:rPr>
          <w:sz w:val="20"/>
          <w:szCs w:val="20"/>
          <w:u w:val="single"/>
        </w:rPr>
        <w:t>Change in Company Recommendation Notice</w:t>
      </w:r>
      <w:r>
        <w:rPr>
          <w:sz w:val="20"/>
          <w:szCs w:val="20"/>
        </w:rPr>
        <w:t>”), which notice shall contain the identity of the Person making the Superior Proposal, specify the material terms of the Superior Proposal, contain a copy of the material docume</w:t>
      </w:r>
      <w:r>
        <w:rPr>
          <w:sz w:val="20"/>
          <w:szCs w:val="20"/>
        </w:rPr>
        <w:t>nts and/or agreements providing for the Superior Proposal and indicate that the Board or the Special Committee intends to effect a Change in Company Recommendation and terminate this Agreement; (ii) if requested by Parent in writing, the Company shall, and</w:t>
      </w:r>
      <w:r>
        <w:rPr>
          <w:sz w:val="20"/>
          <w:szCs w:val="20"/>
        </w:rPr>
        <w:t xml:space="preserve"> shall cause its Representatives to, for a period of at least five (5) Business Days following receipt by Parent of the Change in Company Recommendation Notice (such time period, the “</w:t>
      </w:r>
      <w:r>
        <w:rPr>
          <w:sz w:val="20"/>
          <w:szCs w:val="20"/>
          <w:u w:val="single"/>
        </w:rPr>
        <w:t>Notice Period</w:t>
      </w:r>
      <w:r>
        <w:rPr>
          <w:sz w:val="20"/>
          <w:szCs w:val="20"/>
        </w:rPr>
        <w:t>”) and prior to making any such Change in Company Recommend</w:t>
      </w:r>
      <w:r>
        <w:rPr>
          <w:sz w:val="20"/>
          <w:szCs w:val="20"/>
        </w:rPr>
        <w:t>ation and terminating this Agreement, negotiate with Parent and any Representative of Parent in good faith (to the extent Parent desires to negotiate) to permit Parent to propose amendments to the terms and conditions of this Agreement and the Transactions</w:t>
      </w:r>
      <w:r>
        <w:rPr>
          <w:sz w:val="20"/>
          <w:szCs w:val="20"/>
        </w:rPr>
        <w:t xml:space="preserve"> (a “</w:t>
      </w:r>
      <w:r>
        <w:rPr>
          <w:sz w:val="20"/>
          <w:szCs w:val="20"/>
          <w:u w:val="single"/>
        </w:rPr>
        <w:t>Parent Proposal</w:t>
      </w:r>
      <w:r>
        <w:rPr>
          <w:sz w:val="20"/>
          <w:szCs w:val="20"/>
        </w:rPr>
        <w:t xml:space="preserve">”); (iii) following the Notice Period, and taking into account any Parent Proposal received during the Notice Period, the Board or the Special Committee shall have considered in good faith such Parent Proposal, if any, and shall, prior </w:t>
      </w:r>
      <w:r>
        <w:rPr>
          <w:sz w:val="20"/>
          <w:szCs w:val="20"/>
        </w:rPr>
        <w:t>to making any such Change in Company Recommendation and terminating this Agreement, have determined, in respect of such Superior Proposal, following consultation with its financial advisor and outside legal counsel, that the Superior Proposal would continu</w:t>
      </w:r>
      <w:r>
        <w:rPr>
          <w:sz w:val="20"/>
          <w:szCs w:val="20"/>
        </w:rPr>
        <w:t xml:space="preserve">e to constitute a Superior Proposal if the revisions proposed in such Parent Proposal, if any, were to be given effect; (iv) such Superior Proposal did not result from a breach of this </w:t>
      </w:r>
      <w:r>
        <w:rPr>
          <w:sz w:val="20"/>
          <w:szCs w:val="20"/>
          <w:u w:val="single"/>
        </w:rPr>
        <w:t>Section 6.2</w:t>
      </w:r>
      <w:r>
        <w:rPr>
          <w:sz w:val="20"/>
          <w:szCs w:val="20"/>
        </w:rPr>
        <w:t xml:space="preserve"> (other than any such breach caused by Parent, Merger Sub, t</w:t>
      </w:r>
      <w:r>
        <w:rPr>
          <w:sz w:val="20"/>
          <w:szCs w:val="20"/>
        </w:rPr>
        <w:t xml:space="preserve">he Sponsor or their respective Affiliates); and (v) the Board or the Special Committee causes the Company to terminate this Agreement under </w:t>
      </w:r>
      <w:r>
        <w:rPr>
          <w:sz w:val="20"/>
          <w:szCs w:val="20"/>
          <w:u w:val="single"/>
        </w:rPr>
        <w:t>Section 9.1(c)(2)</w:t>
      </w:r>
      <w:r>
        <w:rPr>
          <w:sz w:val="20"/>
          <w:szCs w:val="20"/>
        </w:rPr>
        <w:t xml:space="preserve"> and pay to Parent the Company Termination Fee (as defined below) in accordance with </w:t>
      </w:r>
      <w:r>
        <w:rPr>
          <w:sz w:val="20"/>
          <w:szCs w:val="20"/>
          <w:u w:val="single"/>
        </w:rPr>
        <w:t>Section 9.3(a)</w:t>
      </w:r>
      <w:r>
        <w:rPr>
          <w:sz w:val="20"/>
          <w:szCs w:val="20"/>
        </w:rPr>
        <w:t>. The Company acknowledges and agrees that, in connection with a Change in Company Recommendation Notice delivered in connection with a Competing Proposal that is determined to be a Superior Proposal for purpose of this ‎</w:t>
      </w:r>
      <w:r>
        <w:rPr>
          <w:sz w:val="20"/>
          <w:szCs w:val="20"/>
          <w:u w:val="single"/>
        </w:rPr>
        <w:t>Section 6.2(f)</w:t>
      </w:r>
      <w:r>
        <w:rPr>
          <w:sz w:val="20"/>
          <w:szCs w:val="20"/>
        </w:rPr>
        <w:t>, each successive mat</w:t>
      </w:r>
      <w:r>
        <w:rPr>
          <w:sz w:val="20"/>
          <w:szCs w:val="20"/>
        </w:rPr>
        <w:t xml:space="preserve">erial modification to the financial terms of such Competing Proposal shall be deemed to constitute a new Competing Proposal to which the requirements of this </w:t>
      </w:r>
      <w:r>
        <w:rPr>
          <w:sz w:val="20"/>
          <w:szCs w:val="20"/>
          <w:u w:val="single"/>
        </w:rPr>
        <w:t>Section 6.2(f)</w:t>
      </w:r>
      <w:r>
        <w:rPr>
          <w:sz w:val="20"/>
          <w:szCs w:val="20"/>
        </w:rPr>
        <w:t xml:space="preserve"> shall again apply and shall trigger a new Notice Period, except that the Notice Per</w:t>
      </w:r>
      <w:r>
        <w:rPr>
          <w:sz w:val="20"/>
          <w:szCs w:val="20"/>
        </w:rPr>
        <w:t>iod shall be at least two (2) Business Days.</w:t>
      </w:r>
    </w:p>
    <w:p w14:paraId="5B6B70F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3D897E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(g) At the Shareholders’ Meeting, and any other meeting of the shareholders of the Company called to seek the Company Shareholder Approval or in any other circumstances upon which a vote, consent or other appr</w:t>
      </w:r>
      <w:r>
        <w:rPr>
          <w:sz w:val="20"/>
          <w:szCs w:val="20"/>
        </w:rPr>
        <w:t>oval (including by written consent) with respect to this Agreement, the Plan of Merger or the Transactions is sought, Parent and/or Merger Sub shall vote, and shall cause their respective Affiliates to vote, or cause to be voted, all Shares held directly o</w:t>
      </w:r>
      <w:r>
        <w:rPr>
          <w:sz w:val="20"/>
          <w:szCs w:val="20"/>
        </w:rPr>
        <w:t>r indirectly by them and their respective Affiliates in favor of the authorization and approval of this Agreement, the Plan of Merger and the Transactions.</w:t>
      </w:r>
    </w:p>
    <w:p w14:paraId="674773C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lastRenderedPageBreak/>
        <w:t> </w:t>
      </w:r>
    </w:p>
    <w:p w14:paraId="3B312F06"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6.3 </w:t>
      </w:r>
      <w:r>
        <w:rPr>
          <w:sz w:val="20"/>
          <w:szCs w:val="20"/>
          <w:u w:val="single"/>
        </w:rPr>
        <w:t>Operation of Parent’s and Merger Sub’s Business</w:t>
      </w:r>
      <w:r>
        <w:rPr>
          <w:sz w:val="20"/>
          <w:szCs w:val="20"/>
        </w:rPr>
        <w:t xml:space="preserve">. Each of Parent and Merger Sub agrees </w:t>
      </w:r>
      <w:r>
        <w:rPr>
          <w:sz w:val="20"/>
          <w:szCs w:val="20"/>
        </w:rPr>
        <w:t xml:space="preserve">that, from the date hereof until the earlier of the Effective Time or the termination of this Agreement in accordance with </w:t>
      </w:r>
      <w:r>
        <w:rPr>
          <w:sz w:val="20"/>
          <w:szCs w:val="20"/>
          <w:u w:val="single"/>
        </w:rPr>
        <w:t>Article IX</w:t>
      </w:r>
      <w:r>
        <w:rPr>
          <w:sz w:val="20"/>
          <w:szCs w:val="20"/>
        </w:rPr>
        <w:t>, it shall not take any action that is intended to or would reasonably be likely to result in any of the conditions to effe</w:t>
      </w:r>
      <w:r>
        <w:rPr>
          <w:sz w:val="20"/>
          <w:szCs w:val="20"/>
        </w:rPr>
        <w:t>cting the Merger becoming incapable of being satisfied or take any action or fail to take any action which would, or would reasonably likely to, individually or in the aggregate, have a Parent Material Adverse Effect.</w:t>
      </w:r>
    </w:p>
    <w:p w14:paraId="68E5C694"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2000DF5"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6.4 </w:t>
      </w:r>
      <w:r>
        <w:rPr>
          <w:sz w:val="20"/>
          <w:szCs w:val="20"/>
          <w:u w:val="single"/>
        </w:rPr>
        <w:t>No Control of Other Party’s Business</w:t>
      </w:r>
      <w:r>
        <w:rPr>
          <w:sz w:val="20"/>
          <w:szCs w:val="20"/>
        </w:rPr>
        <w:t>. Nothing contained in this Agreement is intended to give Parent or Merger Sub, directly or indirectly, the right to control or direct the operations of the Company or its Subsidiaries prior to the Effective Time, and no</w:t>
      </w:r>
      <w:r>
        <w:rPr>
          <w:sz w:val="20"/>
          <w:szCs w:val="20"/>
        </w:rPr>
        <w:t>thing contained in this Agreement is intended to give the Company, directly or indirectly, the right to control or direct Parent’s or Merger Sub’s operations. Prior to the Effective Time, each of Parent, Merger Sub and the Company shall exercise, consisten</w:t>
      </w:r>
      <w:r>
        <w:rPr>
          <w:sz w:val="20"/>
          <w:szCs w:val="20"/>
        </w:rPr>
        <w:t>t with the terms and conditions of this Agreement, complete control and supervision over its and its Subsidiaries’ respective operations.</w:t>
      </w:r>
    </w:p>
    <w:p w14:paraId="672442F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5294109" w14:textId="77777777" w:rsidR="00000000" w:rsidRDefault="002F725F">
      <w:pPr>
        <w:pStyle w:val="NormalWeb"/>
        <w:spacing w:before="0" w:beforeAutospacing="0" w:after="0" w:afterAutospacing="0"/>
        <w:jc w:val="center"/>
        <w:divId w:val="34238583"/>
        <w:rPr>
          <w:sz w:val="20"/>
          <w:szCs w:val="20"/>
        </w:rPr>
      </w:pPr>
      <w:r>
        <w:rPr>
          <w:sz w:val="20"/>
          <w:szCs w:val="20"/>
        </w:rPr>
        <w:t>A</w:t>
      </w:r>
      <w:r>
        <w:rPr>
          <w:sz w:val="20"/>
          <w:szCs w:val="20"/>
        </w:rPr>
        <w:t>-</w:t>
      </w:r>
      <w:r>
        <w:rPr>
          <w:sz w:val="20"/>
          <w:szCs w:val="20"/>
        </w:rPr>
        <w:t>3</w:t>
      </w:r>
      <w:r>
        <w:rPr>
          <w:sz w:val="20"/>
          <w:szCs w:val="20"/>
        </w:rPr>
        <w:t>7</w:t>
      </w:r>
    </w:p>
    <w:p w14:paraId="4AB0F187" w14:textId="77777777" w:rsidR="00000000" w:rsidRDefault="002F725F">
      <w:pPr>
        <w:pStyle w:val="NormalWeb"/>
        <w:spacing w:before="0" w:beforeAutospacing="0" w:after="0" w:afterAutospacing="0"/>
        <w:divId w:val="824668940"/>
        <w:rPr>
          <w:sz w:val="20"/>
          <w:szCs w:val="20"/>
        </w:rPr>
      </w:pPr>
      <w:r>
        <w:rPr>
          <w:sz w:val="20"/>
          <w:szCs w:val="20"/>
        </w:rPr>
        <w:t> </w:t>
      </w:r>
    </w:p>
    <w:p w14:paraId="012E9A3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3DFF9F6"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Article VII</w:t>
      </w:r>
      <w:r>
        <w:rPr>
          <w:b/>
          <w:bCs/>
          <w:caps/>
          <w:sz w:val="20"/>
          <w:szCs w:val="20"/>
        </w:rPr>
        <w:br/>
        <w:t>ADDITIONAL AGREEMENTS</w:t>
      </w:r>
    </w:p>
    <w:p w14:paraId="72855078"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7F6D0BF1"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7.1 </w:t>
      </w:r>
      <w:r>
        <w:rPr>
          <w:sz w:val="20"/>
          <w:szCs w:val="20"/>
          <w:u w:val="single"/>
        </w:rPr>
        <w:t>SEC Filings; Other Actions</w:t>
      </w:r>
      <w:r>
        <w:rPr>
          <w:sz w:val="20"/>
          <w:szCs w:val="20"/>
        </w:rPr>
        <w:t>.</w:t>
      </w:r>
    </w:p>
    <w:p w14:paraId="1570229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9EC1FC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As promptly as reasonably</w:t>
      </w:r>
      <w:r>
        <w:rPr>
          <w:sz w:val="20"/>
          <w:szCs w:val="20"/>
        </w:rPr>
        <w:t xml:space="preserve"> practicable following the date of this Agreement, the Company will prepare and cause to be filed with the SEC, with the assistance of Parent and Merger Sub, the Proxy Statement and the Schedule 13E-3. Parent and Merger Sub shall promptly furnish all infor</w:t>
      </w:r>
      <w:r>
        <w:rPr>
          <w:sz w:val="20"/>
          <w:szCs w:val="20"/>
        </w:rPr>
        <w:t>mation as the Company may reasonably request in connection with such actions and the preparation of the Proxy Statement and the Schedule 13E-3. Each of the Company, Parent and Merger Sub shall use its reasonable best efforts so that the Proxy Statement and</w:t>
      </w:r>
      <w:r>
        <w:rPr>
          <w:sz w:val="20"/>
          <w:szCs w:val="20"/>
        </w:rPr>
        <w:t xml:space="preserve"> the Schedule 13E-3 comply in all material respects with the requirements of the Exchange Act and the rules and regulations promulgated thereunder. The Company, with the assistance of, and after consultation with, Parent and Merger Sub, shall use its reaso</w:t>
      </w:r>
      <w:r>
        <w:rPr>
          <w:sz w:val="20"/>
          <w:szCs w:val="20"/>
        </w:rPr>
        <w:t>nable best efforts to (i) respond, as promptly as reasonably practicable, to any comments received from the staff of the SEC with respect to such filings of the Proxy Statement and the Schedule 13E-3; (ii) prepare and file, as promptly as reasonably practi</w:t>
      </w:r>
      <w:r>
        <w:rPr>
          <w:sz w:val="20"/>
          <w:szCs w:val="20"/>
        </w:rPr>
        <w:t>cable, any amendments or supplements necessary to be filed in response to any such comments or as required by applicable Laws; (iii) have cleared by the staff of the SEC the Proxy Statement and the Schedule 13E-3; and (iv) to the extent required by applica</w:t>
      </w:r>
      <w:r>
        <w:rPr>
          <w:sz w:val="20"/>
          <w:szCs w:val="20"/>
        </w:rPr>
        <w:t>ble Laws, as promptly as reasonably practicable after the date the Proxy Statement is cleared by the SEC, prepare, file and distribute to the shareholders any supplement or amendment to the Proxy Statement or the Schedule 13E-3. Each of Parent and Merger S</w:t>
      </w:r>
      <w:r>
        <w:rPr>
          <w:sz w:val="20"/>
          <w:szCs w:val="20"/>
        </w:rPr>
        <w:t>ub shall provide reasonable assistance and cooperation to the Company in the preparation, filing, and mailing/distribution of the Proxy Statement and the Schedule 13E-3, and the resolution of comments from the SEC. Upon its receipt of any oral or written c</w:t>
      </w:r>
      <w:r>
        <w:rPr>
          <w:sz w:val="20"/>
          <w:szCs w:val="20"/>
        </w:rPr>
        <w:t>omments from the SEC or its staff or any request therefrom for amendments or supplements to the Proxy Statement and the Schedule 13E-3, the Company shall as promptly as reasonably practicable notify Parent of the receipt of such comment and shall provide P</w:t>
      </w:r>
      <w:r>
        <w:rPr>
          <w:sz w:val="20"/>
          <w:szCs w:val="20"/>
        </w:rPr>
        <w:t>arent with copies of all correspondence between the Company and its Representatives, on the one hand, and the SEC and its staff, on the other hand. Prior to filing the Schedule 13E-3 or mailing the Proxy Statement or responding to any comments of the SEC w</w:t>
      </w:r>
      <w:r>
        <w:rPr>
          <w:sz w:val="20"/>
          <w:szCs w:val="20"/>
        </w:rPr>
        <w:t>ith respect thereto, the Company shall (i) provide Parent with a reasonable opportunity to review and comment on such document or response; and (ii) shall consider in good faith all additions, deletions or changes reasonably proposed by Parent in good fait</w:t>
      </w:r>
      <w:r>
        <w:rPr>
          <w:sz w:val="20"/>
          <w:szCs w:val="20"/>
        </w:rPr>
        <w:t>h.</w:t>
      </w:r>
    </w:p>
    <w:p w14:paraId="428BC0C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66E6D1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If at any time prior to the Shareholders’ Meeting, any information is discovered by any Party which should be set forth in an amendment or supplement to the Proxy Statement or the Schedule 13E-3 so that the Proxy Statement or the Schedule 13E-3 wo</w:t>
      </w:r>
      <w:r>
        <w:rPr>
          <w:sz w:val="20"/>
          <w:szCs w:val="20"/>
        </w:rPr>
        <w:t>uld not include any untrue statement of a material fact or omit to state any material fact required to be stated therein or necessary to make the statements made therein, in the light of the circumstances under which they were made, not misleading, the Par</w:t>
      </w:r>
      <w:r>
        <w:rPr>
          <w:sz w:val="20"/>
          <w:szCs w:val="20"/>
        </w:rPr>
        <w:t>ty which discovers such information shall promptly notify the other Parties, and, to the extent required by applicable Laws, an appropriate amendment or supplement describing such information shall be promptly filed by the appropriate Party with the SEC an</w:t>
      </w:r>
      <w:r>
        <w:rPr>
          <w:sz w:val="20"/>
          <w:szCs w:val="20"/>
        </w:rPr>
        <w:t xml:space="preserve">d, to the </w:t>
      </w:r>
      <w:r>
        <w:rPr>
          <w:sz w:val="20"/>
          <w:szCs w:val="20"/>
        </w:rPr>
        <w:lastRenderedPageBreak/>
        <w:t>extent required by applicable Laws, disseminate to the shareholders of the Company; </w:t>
      </w:r>
      <w:r>
        <w:rPr>
          <w:sz w:val="20"/>
          <w:szCs w:val="20"/>
          <w:u w:val="single"/>
        </w:rPr>
        <w:t>provided</w:t>
      </w:r>
      <w:r>
        <w:rPr>
          <w:sz w:val="20"/>
          <w:szCs w:val="20"/>
        </w:rPr>
        <w:t>, that prior to such filing, to the extent permitted by Laws, the Company and Parent, as the case may be, shall consult with each other with respect to su</w:t>
      </w:r>
      <w:r>
        <w:rPr>
          <w:sz w:val="20"/>
          <w:szCs w:val="20"/>
        </w:rPr>
        <w:t>ch amendment or supplement and shall afford the other Party and its Representatives a reasonable opportunity to comment thereon.</w:t>
      </w:r>
    </w:p>
    <w:p w14:paraId="555B5E3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D3B89C1" w14:textId="77777777" w:rsidR="00000000" w:rsidRDefault="002F725F">
      <w:pPr>
        <w:pStyle w:val="NormalWeb"/>
        <w:spacing w:before="0" w:beforeAutospacing="0" w:after="0" w:afterAutospacing="0"/>
        <w:jc w:val="center"/>
        <w:divId w:val="918558030"/>
        <w:rPr>
          <w:sz w:val="20"/>
          <w:szCs w:val="20"/>
        </w:rPr>
      </w:pPr>
      <w:r>
        <w:rPr>
          <w:sz w:val="20"/>
          <w:szCs w:val="20"/>
        </w:rPr>
        <w:t>A</w:t>
      </w:r>
      <w:r>
        <w:rPr>
          <w:sz w:val="20"/>
          <w:szCs w:val="20"/>
        </w:rPr>
        <w:t>-</w:t>
      </w:r>
      <w:r>
        <w:rPr>
          <w:sz w:val="20"/>
          <w:szCs w:val="20"/>
        </w:rPr>
        <w:t>3</w:t>
      </w:r>
      <w:r>
        <w:rPr>
          <w:sz w:val="20"/>
          <w:szCs w:val="20"/>
        </w:rPr>
        <w:t>8</w:t>
      </w:r>
    </w:p>
    <w:p w14:paraId="6020760C" w14:textId="77777777" w:rsidR="00000000" w:rsidRDefault="002F725F">
      <w:pPr>
        <w:pStyle w:val="NormalWeb"/>
        <w:spacing w:before="0" w:beforeAutospacing="0" w:after="0" w:afterAutospacing="0"/>
        <w:divId w:val="1320305581"/>
        <w:rPr>
          <w:sz w:val="20"/>
          <w:szCs w:val="20"/>
        </w:rPr>
      </w:pPr>
      <w:r>
        <w:rPr>
          <w:sz w:val="20"/>
          <w:szCs w:val="20"/>
        </w:rPr>
        <w:t> </w:t>
      </w:r>
    </w:p>
    <w:p w14:paraId="585D886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74662F6"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(c) Nothing in this </w:t>
      </w:r>
      <w:r>
        <w:rPr>
          <w:sz w:val="20"/>
          <w:szCs w:val="20"/>
          <w:u w:val="single"/>
        </w:rPr>
        <w:t>Section 7.1</w:t>
      </w:r>
      <w:r>
        <w:rPr>
          <w:sz w:val="20"/>
          <w:szCs w:val="20"/>
        </w:rPr>
        <w:t xml:space="preserve"> is intended to restrict or preclude the Board or the Special Committee from effectin</w:t>
      </w:r>
      <w:r>
        <w:rPr>
          <w:sz w:val="20"/>
          <w:szCs w:val="20"/>
        </w:rPr>
        <w:t xml:space="preserve">g a Change in Company Recommendation on the terms and subject to the condition set forth in this Agreement. Notwithstanding anything herein to the contrary, and subject to compliance with the terms of </w:t>
      </w:r>
      <w:r>
        <w:rPr>
          <w:sz w:val="20"/>
          <w:szCs w:val="20"/>
          <w:u w:val="single"/>
        </w:rPr>
        <w:t>Section 6.2</w:t>
      </w:r>
      <w:r>
        <w:rPr>
          <w:sz w:val="20"/>
          <w:szCs w:val="20"/>
        </w:rPr>
        <w:t>, with respect to any disclosure regarding a</w:t>
      </w:r>
      <w:r>
        <w:rPr>
          <w:sz w:val="20"/>
          <w:szCs w:val="20"/>
        </w:rPr>
        <w:t xml:space="preserve"> Change in Company Recommendation made in accordance with and not in violation of this Agreement, the Company shall not be required to provide Parent or Merger Sub with the opportunity to review or comment on (or include comments proposed by Parent or Merg</w:t>
      </w:r>
      <w:r>
        <w:rPr>
          <w:sz w:val="20"/>
          <w:szCs w:val="20"/>
        </w:rPr>
        <w:t>er Sub in) the Schedule 13E-3 or the Proxy Statement, or any amendment or supplement thereto, or any comments thereon, or another filing by the Company with the SEC, with respect to such disclosure.</w:t>
      </w:r>
    </w:p>
    <w:p w14:paraId="024F29CC"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20333F4"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7.2 </w:t>
      </w:r>
      <w:r>
        <w:rPr>
          <w:sz w:val="20"/>
          <w:szCs w:val="20"/>
          <w:u w:val="single"/>
        </w:rPr>
        <w:t>Shareholders’ Meeting</w:t>
      </w:r>
      <w:r>
        <w:rPr>
          <w:sz w:val="20"/>
          <w:szCs w:val="20"/>
        </w:rPr>
        <w:t>.</w:t>
      </w:r>
    </w:p>
    <w:p w14:paraId="3FECDE0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D0D85FB"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Subject to the</w:t>
      </w:r>
      <w:r>
        <w:rPr>
          <w:sz w:val="20"/>
          <w:szCs w:val="20"/>
        </w:rPr>
        <w:t xml:space="preserve"> other provisions of this Agreement, the Company shall as promptly as reasonably practicable, (i) take all actions required under the Companies Act and its memorandum and articles of association to duly call, give notice of, convene and hold a meeting of i</w:t>
      </w:r>
      <w:r>
        <w:rPr>
          <w:sz w:val="20"/>
          <w:szCs w:val="20"/>
        </w:rPr>
        <w:t>ts shareholders; and (ii) in no event later than fifteen (15) Business Days after the SEC confirms that it has no further comments on, is not reviewing or otherwise clears, the Schedule 13E-3 and the Proxy Statement, mail or cause to be mailed the Proxy St</w:t>
      </w:r>
      <w:r>
        <w:rPr>
          <w:sz w:val="20"/>
          <w:szCs w:val="20"/>
        </w:rPr>
        <w:t>atement for the purpose of obtaining the Company Shareholder Approval (the “</w:t>
      </w:r>
      <w:r>
        <w:rPr>
          <w:sz w:val="20"/>
          <w:szCs w:val="20"/>
          <w:u w:val="single"/>
        </w:rPr>
        <w:t>Shareholders’ Meeting</w:t>
      </w:r>
      <w:r>
        <w:rPr>
          <w:sz w:val="20"/>
          <w:szCs w:val="20"/>
        </w:rPr>
        <w:t xml:space="preserve">”), with the date of the Shareholders’ </w:t>
      </w:r>
      <w:r>
        <w:rPr>
          <w:sz w:val="20"/>
          <w:szCs w:val="20"/>
        </w:rPr>
        <w:t xml:space="preserve">Meeting (such meeting date being no later than forty (40) days after the date of mailing the Proxy Statement) and the record date for determining the holders of Shares who shall be entitled to give instructions for the exercise of the voting rights at the </w:t>
      </w:r>
      <w:r>
        <w:rPr>
          <w:sz w:val="20"/>
          <w:szCs w:val="20"/>
        </w:rPr>
        <w:t>Shareholders’ Meeting (the “</w:t>
      </w:r>
      <w:r>
        <w:rPr>
          <w:sz w:val="20"/>
          <w:szCs w:val="20"/>
          <w:u w:val="single"/>
        </w:rPr>
        <w:t>Record Date</w:t>
      </w:r>
      <w:r>
        <w:rPr>
          <w:sz w:val="20"/>
          <w:szCs w:val="20"/>
        </w:rPr>
        <w:t xml:space="preserve">”) to be determined by the Company after good faith consultation with Parent. Subject to a Change in Company Recommendation in accordance with </w:t>
      </w:r>
      <w:r>
        <w:rPr>
          <w:sz w:val="20"/>
          <w:szCs w:val="20"/>
          <w:u w:val="single"/>
        </w:rPr>
        <w:t>Section 6.2</w:t>
      </w:r>
      <w:r>
        <w:rPr>
          <w:sz w:val="20"/>
          <w:szCs w:val="20"/>
        </w:rPr>
        <w:t>, (A) the Board shall recommend to the holders of Shares that t</w:t>
      </w:r>
      <w:r>
        <w:rPr>
          <w:sz w:val="20"/>
          <w:szCs w:val="20"/>
        </w:rPr>
        <w:t xml:space="preserve">hey approve and adopt this Agreement, the Plan of Merger and the Transactions, and shall include such recommendation in the Proxy Statement; and (B) the Company shall use its reasonable best efforts to solicit from its shareholders proxies in favor of the </w:t>
      </w:r>
      <w:r>
        <w:rPr>
          <w:sz w:val="20"/>
          <w:szCs w:val="20"/>
        </w:rPr>
        <w:t>authorization and approval of this Agreement, the Plan of Merger and the Transactions, and take all other actions necessary or advisable to secure the Company Shareholder Approval. Upon prior written request of Parent, the Company shall use its commerciall</w:t>
      </w:r>
      <w:r>
        <w:rPr>
          <w:sz w:val="20"/>
          <w:szCs w:val="20"/>
        </w:rPr>
        <w:t xml:space="preserve">y reasonable efforts to advise Parent on a current basis prior to the date of the Shareholders’ Meeting, as to the aggregate tally of proxies received by the Company with respect to the Company Shareholder Approval. Subject to this </w:t>
      </w:r>
      <w:r>
        <w:rPr>
          <w:sz w:val="20"/>
          <w:szCs w:val="20"/>
          <w:u w:val="single"/>
        </w:rPr>
        <w:t>Section 7.2</w:t>
      </w:r>
      <w:r>
        <w:rPr>
          <w:sz w:val="20"/>
          <w:szCs w:val="20"/>
        </w:rPr>
        <w:t>, without the</w:t>
      </w:r>
      <w:r>
        <w:rPr>
          <w:sz w:val="20"/>
          <w:szCs w:val="20"/>
        </w:rPr>
        <w:t xml:space="preserve"> consent of Parent (which consent shall not be unreasonably withheld, delayed or conditioned), the authorization and approval of this Agreement, the Plan of Merger and the Transactions are the only matters (other than procedural matters) that shall be prop</w:t>
      </w:r>
      <w:r>
        <w:rPr>
          <w:sz w:val="20"/>
          <w:szCs w:val="20"/>
        </w:rPr>
        <w:t>osed to be voted upon by the shareholders of the Company at the Shareholders’ Meeting. In the event that the Shareholders’ Meeting as originally called is for any reason adjourned or postponed or otherwise delayed, the Company agrees that, unless Parent sh</w:t>
      </w:r>
      <w:r>
        <w:rPr>
          <w:sz w:val="20"/>
          <w:szCs w:val="20"/>
        </w:rPr>
        <w:t>all have otherwise approved in writing (such approval shall not be unreasonably withheld, conditioned and/or delayed), the Company shall implement such adjournment or postponement or other delay in such a way that the Company does not establish a new Recor</w:t>
      </w:r>
      <w:r>
        <w:rPr>
          <w:sz w:val="20"/>
          <w:szCs w:val="20"/>
        </w:rPr>
        <w:t>d Date for the Shareholders’ Meeting, as so adjourned, postponed or delayed, except as required by applicable Laws or the memorandum and articles of association of the Company.</w:t>
      </w:r>
    </w:p>
    <w:p w14:paraId="0AD9E22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3C692B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Notwithstanding anything to the contrary contained in this Agreement, the</w:t>
      </w:r>
      <w:r>
        <w:rPr>
          <w:sz w:val="20"/>
          <w:szCs w:val="20"/>
        </w:rPr>
        <w:t xml:space="preserve"> Company may, and Parent may request in writing that the Company, adjourn or postpone the Shareholders’ Meeting, if and to the extent the Special Committee or Parent, as the case may be, determines in good faith (i) such adjournment or postponement is nece</w:t>
      </w:r>
      <w:r>
        <w:rPr>
          <w:sz w:val="20"/>
          <w:szCs w:val="20"/>
        </w:rPr>
        <w:t xml:space="preserve">ssary to ensure that any supplement or amendment to the Proxy Statement that is required by applicable Laws is timely filed, and mailed or otherwise provided to the Company’s shareholders; (ii) if at the time the Shareholders’ Meeting proceeds to business </w:t>
      </w:r>
      <w:r>
        <w:rPr>
          <w:sz w:val="20"/>
          <w:szCs w:val="20"/>
        </w:rPr>
        <w:t xml:space="preserve">there are insufficient Shares represented (either in person or by proxy) (A) to constitute a quorum necessary to conduct business at the Shareholders’ Meeting; or (B) voting in favor of the authorization and </w:t>
      </w:r>
      <w:r>
        <w:rPr>
          <w:sz w:val="20"/>
          <w:szCs w:val="20"/>
        </w:rPr>
        <w:lastRenderedPageBreak/>
        <w:t xml:space="preserve">approval of this Agreement, the Plan of Merger, </w:t>
      </w:r>
      <w:r>
        <w:rPr>
          <w:sz w:val="20"/>
          <w:szCs w:val="20"/>
        </w:rPr>
        <w:t>and the Transactions to obtain the Company Shareholder Approval; or (iii) additional time is required to solicit proxies in favor of the adoption of this Agreement.</w:t>
      </w:r>
    </w:p>
    <w:p w14:paraId="53F7636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4AE2A7B"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7.3 </w:t>
      </w:r>
      <w:r>
        <w:rPr>
          <w:sz w:val="20"/>
          <w:szCs w:val="20"/>
          <w:u w:val="single"/>
        </w:rPr>
        <w:t>Access to Information</w:t>
      </w:r>
      <w:r>
        <w:rPr>
          <w:sz w:val="20"/>
          <w:szCs w:val="20"/>
        </w:rPr>
        <w:t>. During the Pre-Closing Period, upon reasonable prior written notice from Parent, the Company shall (and shall cause the respective Representatives of the Group Companies to): (a) provide Parent and its authorized Representatives reasonable access, in a m</w:t>
      </w:r>
      <w:r>
        <w:rPr>
          <w:sz w:val="20"/>
          <w:szCs w:val="20"/>
        </w:rPr>
        <w:t xml:space="preserve">anner not disruptive to the operations of the business of the Group Companies, during normal business hours and upon reasonable notice throughout the Pre-Closing Period, to the properties, books, records and other documents and information relating to the </w:t>
      </w:r>
      <w:r>
        <w:rPr>
          <w:sz w:val="20"/>
          <w:szCs w:val="20"/>
        </w:rPr>
        <w:t>Group Companies as may be reasonably requested in writing; (b) furnish promptly to such Representatives all information concerning the business, properties and personnel of the Group Companies as may reasonably be requested in writing; and (c) provide reas</w:t>
      </w:r>
      <w:r>
        <w:rPr>
          <w:sz w:val="20"/>
          <w:szCs w:val="20"/>
        </w:rPr>
        <w:t xml:space="preserve">onable access to the Group Companies’ Representatives and personnel, to the extent such individuals are not Affiliates of Parent; </w:t>
      </w:r>
      <w:r>
        <w:rPr>
          <w:sz w:val="20"/>
          <w:szCs w:val="20"/>
          <w:u w:val="single"/>
        </w:rPr>
        <w:t>provided</w:t>
      </w:r>
      <w:r>
        <w:rPr>
          <w:sz w:val="20"/>
          <w:szCs w:val="20"/>
        </w:rPr>
        <w:t>, that nothing herein shall require the Company or any of its Subsidiaries to disclose any information to Parent if su</w:t>
      </w:r>
      <w:r>
        <w:rPr>
          <w:sz w:val="20"/>
          <w:szCs w:val="20"/>
        </w:rPr>
        <w:t>ch disclosure would, in the reasonable judgment of the Company, (i) cause significant competitive harm to the Company or its Subsidiaries if the Transactions are not consummated; (ii) violate applicable Laws, Order or the provisions of any Contract to whic</w:t>
      </w:r>
      <w:r>
        <w:rPr>
          <w:sz w:val="20"/>
          <w:szCs w:val="20"/>
        </w:rPr>
        <w:t xml:space="preserve">h the Company or any of its Subsidiaries is a party; (iii) jeopardize any attorney-client privilege, work product doctrine or any other applicable legal privilege; or (iv) give a third party the right to terminate or accelerate its rights under a Contract </w:t>
      </w:r>
      <w:r>
        <w:rPr>
          <w:sz w:val="20"/>
          <w:szCs w:val="20"/>
        </w:rPr>
        <w:t xml:space="preserve">entered into prior to the date of this Agreement. All information obtained by the Parties pursuant to this  </w:t>
      </w:r>
      <w:r>
        <w:rPr>
          <w:sz w:val="20"/>
          <w:szCs w:val="20"/>
          <w:u w:val="single"/>
        </w:rPr>
        <w:t>Section 7.3</w:t>
      </w:r>
      <w:r>
        <w:rPr>
          <w:sz w:val="20"/>
          <w:szCs w:val="20"/>
        </w:rPr>
        <w:t xml:space="preserve"> shall be kept confidential in accordance with the Confidentiality Agreements and </w:t>
      </w:r>
      <w:r>
        <w:rPr>
          <w:sz w:val="20"/>
          <w:szCs w:val="20"/>
          <w:u w:val="single"/>
        </w:rPr>
        <w:t>Section 10.12</w:t>
      </w:r>
      <w:r>
        <w:rPr>
          <w:sz w:val="20"/>
          <w:szCs w:val="20"/>
        </w:rPr>
        <w:t xml:space="preserve">. Notwithstanding the foregoing, any such </w:t>
      </w:r>
      <w:r>
        <w:rPr>
          <w:sz w:val="20"/>
          <w:szCs w:val="20"/>
        </w:rPr>
        <w:t>investigation shall be conducted in such manner as not to unreasonably interfere with the business or operation of the Company or its Subsidiaries or otherwise result in any significant interference with the timely discharge by the employees of the Company</w:t>
      </w:r>
      <w:r>
        <w:rPr>
          <w:sz w:val="20"/>
          <w:szCs w:val="20"/>
        </w:rPr>
        <w:t xml:space="preserve"> or its Subsidiaries of their duties.</w:t>
      </w:r>
    </w:p>
    <w:p w14:paraId="38A0A160"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55BC0E9"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7.4 </w:t>
      </w:r>
      <w:r>
        <w:rPr>
          <w:sz w:val="20"/>
          <w:szCs w:val="20"/>
          <w:u w:val="single"/>
        </w:rPr>
        <w:t>Publicity</w:t>
      </w:r>
      <w:r>
        <w:rPr>
          <w:sz w:val="20"/>
          <w:szCs w:val="20"/>
        </w:rPr>
        <w:t>. The initial press release by any Party with respect to the execution of this Agreement shall be reasonably acceptable to Parent and the Company. Neither the Company nor Parent (nor any of their</w:t>
      </w:r>
      <w:r>
        <w:rPr>
          <w:sz w:val="20"/>
          <w:szCs w:val="20"/>
        </w:rPr>
        <w:t xml:space="preserve"> respective Affiliates) shall issue any other press release or make any other public announcement with respect to this Agreement or the Transactions without the prior written agreement of the other Party, except (a) as may be required by Laws or by any lis</w:t>
      </w:r>
      <w:r>
        <w:rPr>
          <w:sz w:val="20"/>
          <w:szCs w:val="20"/>
        </w:rPr>
        <w:t>ting agreement with a national securities exchange, in which case the Party proposing to issue such press release or make such public announcement shall use its reasonable best efforts to consult in good faith with the other Party before making any such pu</w:t>
      </w:r>
      <w:r>
        <w:rPr>
          <w:sz w:val="20"/>
          <w:szCs w:val="20"/>
        </w:rPr>
        <w:t xml:space="preserve">blic announcements, (b) that the Company shall not be required to obtain the prior agreement of Parent in connection with the receipt and existence of a Competing Proposal and matters related thereto, a Change in Company Recommendation or any action taken </w:t>
      </w:r>
      <w:r>
        <w:rPr>
          <w:sz w:val="20"/>
          <w:szCs w:val="20"/>
        </w:rPr>
        <w:t xml:space="preserve">by the Company, the Board or the Special Committee permitted under </w:t>
      </w:r>
      <w:r>
        <w:rPr>
          <w:sz w:val="20"/>
          <w:szCs w:val="20"/>
          <w:u w:val="single"/>
        </w:rPr>
        <w:t>Section 6.2</w:t>
      </w:r>
      <w:r>
        <w:rPr>
          <w:sz w:val="20"/>
          <w:szCs w:val="20"/>
        </w:rPr>
        <w:t xml:space="preserve">, and (c) subject to compliance with the Confidentiality Agreements and </w:t>
      </w:r>
      <w:r>
        <w:rPr>
          <w:sz w:val="20"/>
          <w:szCs w:val="20"/>
          <w:u w:val="single"/>
        </w:rPr>
        <w:t>Section 6.2</w:t>
      </w:r>
      <w:r>
        <w:rPr>
          <w:sz w:val="20"/>
          <w:szCs w:val="20"/>
        </w:rPr>
        <w:t xml:space="preserve"> of this Agreement, the Company may otherwise communicate in the ordinary course with its emplo</w:t>
      </w:r>
      <w:r>
        <w:rPr>
          <w:sz w:val="20"/>
          <w:szCs w:val="20"/>
        </w:rPr>
        <w:t xml:space="preserve">yees, customers, suppliers and vendors as it deems appropriate. This </w:t>
      </w:r>
      <w:r>
        <w:rPr>
          <w:sz w:val="20"/>
          <w:szCs w:val="20"/>
          <w:u w:val="single"/>
        </w:rPr>
        <w:t>Section 7.4</w:t>
      </w:r>
      <w:r>
        <w:rPr>
          <w:sz w:val="20"/>
          <w:szCs w:val="20"/>
        </w:rPr>
        <w:t xml:space="preserve"> shall terminate upon a Change in Company Recommendation.</w:t>
      </w:r>
    </w:p>
    <w:p w14:paraId="2C0466B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FE62E10" w14:textId="77777777" w:rsidR="00000000" w:rsidRDefault="002F725F">
      <w:pPr>
        <w:pStyle w:val="NormalWeb"/>
        <w:spacing w:before="0" w:beforeAutospacing="0" w:after="0" w:afterAutospacing="0"/>
        <w:jc w:val="center"/>
        <w:divId w:val="1798254296"/>
        <w:rPr>
          <w:sz w:val="20"/>
          <w:szCs w:val="20"/>
        </w:rPr>
      </w:pPr>
      <w:r>
        <w:rPr>
          <w:sz w:val="20"/>
          <w:szCs w:val="20"/>
        </w:rPr>
        <w:t>A</w:t>
      </w:r>
      <w:r>
        <w:rPr>
          <w:sz w:val="20"/>
          <w:szCs w:val="20"/>
        </w:rPr>
        <w:t>-</w:t>
      </w:r>
      <w:r>
        <w:rPr>
          <w:sz w:val="20"/>
          <w:szCs w:val="20"/>
        </w:rPr>
        <w:t>3</w:t>
      </w:r>
      <w:r>
        <w:rPr>
          <w:sz w:val="20"/>
          <w:szCs w:val="20"/>
        </w:rPr>
        <w:t>9</w:t>
      </w:r>
    </w:p>
    <w:p w14:paraId="7C81E7A3" w14:textId="77777777" w:rsidR="00000000" w:rsidRDefault="002F725F">
      <w:pPr>
        <w:pStyle w:val="NormalWeb"/>
        <w:spacing w:before="0" w:beforeAutospacing="0" w:after="0" w:afterAutospacing="0"/>
        <w:divId w:val="1026062110"/>
        <w:rPr>
          <w:sz w:val="20"/>
          <w:szCs w:val="20"/>
        </w:rPr>
      </w:pPr>
      <w:r>
        <w:rPr>
          <w:sz w:val="20"/>
          <w:szCs w:val="20"/>
        </w:rPr>
        <w:t> </w:t>
      </w:r>
    </w:p>
    <w:p w14:paraId="1EA0518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7645E85"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7.5 </w:t>
      </w:r>
      <w:r>
        <w:rPr>
          <w:sz w:val="20"/>
          <w:szCs w:val="20"/>
          <w:u w:val="single"/>
        </w:rPr>
        <w:t>Directors’ and Officers’ Insurance and Indemnification</w:t>
      </w:r>
      <w:r>
        <w:rPr>
          <w:sz w:val="20"/>
          <w:szCs w:val="20"/>
        </w:rPr>
        <w:t>.</w:t>
      </w:r>
    </w:p>
    <w:p w14:paraId="308AC9D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576D24E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From and after the Effective Time</w:t>
      </w:r>
      <w:r>
        <w:rPr>
          <w:sz w:val="20"/>
          <w:szCs w:val="20"/>
        </w:rPr>
        <w:t xml:space="preserve"> for a period of six (6) years, the Surviving Company shall, and Parent shall cause the Surviving Company to, indemnify and hold harmless, and provide advancement of expenses to, the present and former officers and directors of the Group Companies and any </w:t>
      </w:r>
      <w:r>
        <w:rPr>
          <w:sz w:val="20"/>
          <w:szCs w:val="20"/>
        </w:rPr>
        <w:t>person who becomes a director or officer of Group Companies prior to the Effective Time (each, an “</w:t>
      </w:r>
      <w:r>
        <w:rPr>
          <w:sz w:val="20"/>
          <w:szCs w:val="20"/>
          <w:u w:val="single"/>
        </w:rPr>
        <w:t>Indemnified Party</w:t>
      </w:r>
      <w:r>
        <w:rPr>
          <w:sz w:val="20"/>
          <w:szCs w:val="20"/>
        </w:rPr>
        <w:t>”) against any and all cost or expenses (including reasonable attorneys’ fees and expenses), judgments, fines, losses, claims, damages, liab</w:t>
      </w:r>
      <w:r>
        <w:rPr>
          <w:sz w:val="20"/>
          <w:szCs w:val="20"/>
        </w:rPr>
        <w:t xml:space="preserve">ilities and amounts paid in settlement in connection with any actual or threatened Legal Proceeding, whether civil, criminal administrative or investigative to the fullest extent permitted by the Companies Act or any other applicable Law or provided under </w:t>
      </w:r>
      <w:r>
        <w:rPr>
          <w:sz w:val="20"/>
          <w:szCs w:val="20"/>
        </w:rPr>
        <w:t>the memorandum and articles of association, any indemnification agreements and any other governing documents of the Group Companies in effect on the date hereof. In the event of any threatened or pending claim, action, suit, arbitration, proceeding or inve</w:t>
      </w:r>
      <w:r>
        <w:rPr>
          <w:sz w:val="20"/>
          <w:szCs w:val="20"/>
        </w:rPr>
        <w:t>stigation, whether civil, criminal, administrative or investigative and whether formal or informal (each, a “</w:t>
      </w:r>
      <w:r>
        <w:rPr>
          <w:sz w:val="20"/>
          <w:szCs w:val="20"/>
          <w:u w:val="single"/>
        </w:rPr>
        <w:t>Proceeding</w:t>
      </w:r>
      <w:r>
        <w:rPr>
          <w:sz w:val="20"/>
          <w:szCs w:val="20"/>
        </w:rPr>
        <w:t xml:space="preserve">”) to which an Indemnified Party is, has been or becomes a party or </w:t>
      </w:r>
      <w:r>
        <w:rPr>
          <w:sz w:val="20"/>
          <w:szCs w:val="20"/>
        </w:rPr>
        <w:lastRenderedPageBreak/>
        <w:t>with respect to which an Indemnified Party is, has been or becomes ot</w:t>
      </w:r>
      <w:r>
        <w:rPr>
          <w:sz w:val="20"/>
          <w:szCs w:val="20"/>
        </w:rPr>
        <w:t>herwise involved (including as a witness), arising in whole or in part out of, or pertaining in whole or in part to, the fact that the Indemnified Party is or was an officer or director of the Company or any of its Subsidiaries or any of their respective p</w:t>
      </w:r>
      <w:r>
        <w:rPr>
          <w:sz w:val="20"/>
          <w:szCs w:val="20"/>
        </w:rPr>
        <w:t>redecessors or is or was serving at the request of the Company or any of its Subsidiaries or any of their respective predecessors as an officer, director, employee, fiduciary or agent of another enterprise (including any Proceeding arising out of or pertai</w:t>
      </w:r>
      <w:r>
        <w:rPr>
          <w:sz w:val="20"/>
          <w:szCs w:val="20"/>
        </w:rPr>
        <w:t xml:space="preserve">ning to matters occurring or existing or alleged to have occurred or existed, or acts or omissions occurring or alleged to have occurred, at or prior to the Effective Time, or arising out of or pertaining to this Agreement and the Transactions and actions </w:t>
      </w:r>
      <w:r>
        <w:rPr>
          <w:sz w:val="20"/>
          <w:szCs w:val="20"/>
        </w:rPr>
        <w:t>contemplated hereby), (i) the Surviving Company shall, and Parent shall cause the Surviving Company to, advance fees, costs and expenses (including reasonable attorney’s fees and disbursements) incurred by each Indemnified Party in connection with and prio</w:t>
      </w:r>
      <w:r>
        <w:rPr>
          <w:sz w:val="20"/>
          <w:szCs w:val="20"/>
        </w:rPr>
        <w:t>r to the final disposition of such Proceedings, such fees, costs and expenses (including reasonable attorney’s fees and disbursements) to be advanced within twenty (20) Business Days of receipt by Parent from the Indemnified Party of a request therefor; an</w:t>
      </w:r>
      <w:r>
        <w:rPr>
          <w:sz w:val="20"/>
          <w:szCs w:val="20"/>
        </w:rPr>
        <w:t>d (ii) neither Parent nor the Surviving Company shall settle, compromise or consent to the entry of any judgment in any Proceeding in which indemnification could be sought by such Indemnified Party hereunder, unless such settlement, compromise or consent i</w:t>
      </w:r>
      <w:r>
        <w:rPr>
          <w:sz w:val="20"/>
          <w:szCs w:val="20"/>
        </w:rPr>
        <w:t xml:space="preserve">ncludes an unconditional release of such Indemnified Party from all liability arising out of such Proceeding or such Indemnified Party otherwise consents in writing. If any claim for indemnification is asserted or made by any Indemnified Party pursuant to </w:t>
      </w:r>
      <w:r>
        <w:rPr>
          <w:sz w:val="20"/>
          <w:szCs w:val="20"/>
        </w:rPr>
        <w:t xml:space="preserve">this </w:t>
      </w:r>
      <w:r>
        <w:rPr>
          <w:sz w:val="20"/>
          <w:szCs w:val="20"/>
          <w:u w:val="single"/>
        </w:rPr>
        <w:t>Section 7.5</w:t>
      </w:r>
      <w:r>
        <w:rPr>
          <w:sz w:val="20"/>
          <w:szCs w:val="20"/>
        </w:rPr>
        <w:t>, any determination required to be made with respect to whether such Indemnified Party’s conduct complies with the standards under the Companies Act, the memorandum and articles of association of the Surviving Company or any Subsidiary, oth</w:t>
      </w:r>
      <w:r>
        <w:rPr>
          <w:sz w:val="20"/>
          <w:szCs w:val="20"/>
        </w:rPr>
        <w:t xml:space="preserve">er applicable Laws or any applicable indemnification agreement shall be made by independent legal counsel selected by such Indemnified Party that is reasonably acceptable to the Surviving Company. If any Proceeding is brought against any Indemnified Party </w:t>
      </w:r>
      <w:r>
        <w:rPr>
          <w:sz w:val="20"/>
          <w:szCs w:val="20"/>
        </w:rPr>
        <w:t xml:space="preserve">in which indemnification could be sought by such Indemnified Party under this </w:t>
      </w:r>
      <w:r>
        <w:rPr>
          <w:sz w:val="20"/>
          <w:szCs w:val="20"/>
          <w:u w:val="single"/>
        </w:rPr>
        <w:t>Section 7.5</w:t>
      </w:r>
      <w:r>
        <w:rPr>
          <w:sz w:val="20"/>
          <w:szCs w:val="20"/>
        </w:rPr>
        <w:t>, (i) each Indemnified Party shall be entitled to retain his or her own counsel in connection with such Proceeding; and (ii) no Indemnified Party shall be liable for a</w:t>
      </w:r>
      <w:r>
        <w:rPr>
          <w:sz w:val="20"/>
          <w:szCs w:val="20"/>
        </w:rPr>
        <w:t>ny settlement effected without his or her prior express written consent.</w:t>
      </w:r>
    </w:p>
    <w:p w14:paraId="112E755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E57300A" w14:textId="77777777" w:rsidR="00000000" w:rsidRDefault="002F725F">
      <w:pPr>
        <w:pStyle w:val="NormalWeb"/>
        <w:spacing w:before="0" w:beforeAutospacing="0" w:after="0" w:afterAutospacing="0"/>
        <w:jc w:val="center"/>
        <w:divId w:val="1617982972"/>
        <w:rPr>
          <w:sz w:val="20"/>
          <w:szCs w:val="20"/>
        </w:rPr>
      </w:pPr>
      <w:r>
        <w:rPr>
          <w:sz w:val="20"/>
          <w:szCs w:val="20"/>
        </w:rPr>
        <w:t>A</w:t>
      </w:r>
      <w:r>
        <w:rPr>
          <w:sz w:val="20"/>
          <w:szCs w:val="20"/>
        </w:rPr>
        <w:t>-</w:t>
      </w:r>
      <w:r>
        <w:rPr>
          <w:sz w:val="20"/>
          <w:szCs w:val="20"/>
        </w:rPr>
        <w:t>4</w:t>
      </w:r>
      <w:r>
        <w:rPr>
          <w:sz w:val="20"/>
          <w:szCs w:val="20"/>
        </w:rPr>
        <w:t>0</w:t>
      </w:r>
    </w:p>
    <w:p w14:paraId="31DACF64" w14:textId="77777777" w:rsidR="00000000" w:rsidRDefault="002F725F">
      <w:pPr>
        <w:pStyle w:val="NormalWeb"/>
        <w:spacing w:before="0" w:beforeAutospacing="0" w:after="0" w:afterAutospacing="0"/>
        <w:divId w:val="1893612084"/>
        <w:rPr>
          <w:sz w:val="20"/>
          <w:szCs w:val="20"/>
        </w:rPr>
      </w:pPr>
      <w:r>
        <w:rPr>
          <w:sz w:val="20"/>
          <w:szCs w:val="20"/>
        </w:rPr>
        <w:t> </w:t>
      </w:r>
    </w:p>
    <w:p w14:paraId="32530E6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75CBF3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Upon being served with any summons, citation, subpoena, complaint, indictment, information, or other document relating to any Proceeding which may result in the payment</w:t>
      </w:r>
      <w:r>
        <w:rPr>
          <w:sz w:val="20"/>
          <w:szCs w:val="20"/>
        </w:rPr>
        <w:t xml:space="preserve"> or advancement of any amounts by the Surviving Company under </w:t>
      </w:r>
      <w:r>
        <w:rPr>
          <w:sz w:val="20"/>
          <w:szCs w:val="20"/>
          <w:u w:val="single"/>
        </w:rPr>
        <w:t>Section 7.5(a)</w:t>
      </w:r>
      <w:r>
        <w:rPr>
          <w:sz w:val="20"/>
          <w:szCs w:val="20"/>
        </w:rPr>
        <w:t xml:space="preserve">, any Group Company’s organizational and governing documents, or any existing indemnification agreements, the Indemnified Party shall use commercially reasonable efforts to notify </w:t>
      </w:r>
      <w:r>
        <w:rPr>
          <w:sz w:val="20"/>
          <w:szCs w:val="20"/>
        </w:rPr>
        <w:t xml:space="preserve">the Surviving Company promptly, but in all events no later than the earlier of (i) five (5) days after actual receipt; and (ii) as soon as necessary after actual receipt to prevent the Surviving Company or any of its Subsidiaries from being materially and </w:t>
      </w:r>
      <w:r>
        <w:rPr>
          <w:sz w:val="20"/>
          <w:szCs w:val="20"/>
        </w:rPr>
        <w:t>adversely prejudiced by late notice. Unless (x) otherwise provided in any applicable agreement or document providing for indemnification to the contrary or (y) joint representation is inappropriate due to a conflict of interest between the Person seeking i</w:t>
      </w:r>
      <w:r>
        <w:rPr>
          <w:sz w:val="20"/>
          <w:szCs w:val="20"/>
        </w:rPr>
        <w:t xml:space="preserve">ndemnification and the Surviving Company (or its applicable Subsidiary) or any other Person represented by the counsel that is proposed by the Surviving Company or such Subsidiary to conduct the defense of the Person seeking indemnification, the Surviving </w:t>
      </w:r>
      <w:r>
        <w:rPr>
          <w:sz w:val="20"/>
          <w:szCs w:val="20"/>
        </w:rPr>
        <w:t>Company (or a Subsidiary nominated by it) shall have the right to participate in any such Proceeding and, at its option, assume the defense of such Proceeding in respect of which indemnification is sought under the applicable agreement or document. The Ind</w:t>
      </w:r>
      <w:r>
        <w:rPr>
          <w:sz w:val="20"/>
          <w:szCs w:val="20"/>
        </w:rPr>
        <w:t>emnified Person shall have the right to effectively participate in the defense and/or settlement of such Proceeding, including receiving copies of all correspondence and participating in all meetings and teleconferences concerning the Proceeding. In the ev</w:t>
      </w:r>
      <w:r>
        <w:rPr>
          <w:sz w:val="20"/>
          <w:szCs w:val="20"/>
        </w:rPr>
        <w:t xml:space="preserve">ent the Surviving Company (or a Subsidiary nominated by it) assumes the defense of any Proceeding pursuant to this </w:t>
      </w:r>
      <w:r>
        <w:rPr>
          <w:sz w:val="20"/>
          <w:szCs w:val="20"/>
          <w:u w:val="single"/>
        </w:rPr>
        <w:t>Section 7.5(b)</w:t>
      </w:r>
      <w:r>
        <w:rPr>
          <w:sz w:val="20"/>
          <w:szCs w:val="20"/>
        </w:rPr>
        <w:t>, neither the Surviving Company nor any of its Subsidiaries shall be liable to the Indemnified Party for any fees of counsel su</w:t>
      </w:r>
      <w:r>
        <w:rPr>
          <w:sz w:val="20"/>
          <w:szCs w:val="20"/>
        </w:rPr>
        <w:t>bsequently incurred by such Person with respect to the same Proceeding.</w:t>
      </w:r>
    </w:p>
    <w:p w14:paraId="7C2172FB"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A44EFA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(c) The Surviving Company shall (and Parent shall cause the Surviving Company to) honor and fulfill in all respects the obligations of the Company under (i) any indemnification, adva</w:t>
      </w:r>
      <w:r>
        <w:rPr>
          <w:sz w:val="20"/>
          <w:szCs w:val="20"/>
        </w:rPr>
        <w:t xml:space="preserve">ncement of expenses and exculpation provision set forth in any memorandum and articles of association or comparable organizational documents of the Company or any of its Subsidiaries as in effect on the date of this Agreement, and (ii) all indemnification </w:t>
      </w:r>
      <w:r>
        <w:rPr>
          <w:sz w:val="20"/>
          <w:szCs w:val="20"/>
        </w:rPr>
        <w:t>agreements between the Company and any of its respective current or former directors and officers and any person who becomes a director or officer of the Company prior to the Effective Time.</w:t>
      </w:r>
    </w:p>
    <w:p w14:paraId="31A9FBC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lastRenderedPageBreak/>
        <w:t> </w:t>
      </w:r>
    </w:p>
    <w:p w14:paraId="612D110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(d) From and after the Effective Time for a period of six (6) y</w:t>
      </w:r>
      <w:r>
        <w:rPr>
          <w:sz w:val="20"/>
          <w:szCs w:val="20"/>
        </w:rPr>
        <w:t xml:space="preserve">ears, the Surviving Company shall, and Parent shall cause the Surviving Company to, maintain in effect all provisions in the Surviving Company’s memorandum and articles of association (or in such documents of any successor to the business of the Surviving </w:t>
      </w:r>
      <w:r>
        <w:rPr>
          <w:sz w:val="20"/>
          <w:szCs w:val="20"/>
        </w:rPr>
        <w:t xml:space="preserve">Company) and in the memorandum and articles of association and other governing documents of the Company’s Subsidiaries regarding (i) elimination of liability of directors; (ii) indemnification of officers, directors and employees; and (iii) advancement of </w:t>
      </w:r>
      <w:r>
        <w:rPr>
          <w:sz w:val="20"/>
          <w:szCs w:val="20"/>
        </w:rPr>
        <w:t>expenses, in each case, that are no less advantageous to the intended beneficiaries than the corresponding provisions in existence on the date of this Agreement.</w:t>
      </w:r>
    </w:p>
    <w:p w14:paraId="18F23C0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FF61BF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(e) Prior to the Effective Time, the Company may, at its option, obtain and fully pay the pr</w:t>
      </w:r>
      <w:r>
        <w:rPr>
          <w:sz w:val="20"/>
          <w:szCs w:val="20"/>
        </w:rPr>
        <w:t>emium for the non-cancellable extension of the directors’ and officers’ liability coverage of the Company’s existing directors’ and officers’ insurance policies and the Company’s existing fiduciary liability insurance policies (collectively, “</w:t>
      </w:r>
      <w:r>
        <w:rPr>
          <w:sz w:val="20"/>
          <w:szCs w:val="20"/>
          <w:u w:val="single"/>
        </w:rPr>
        <w:t>D&amp;O Insurance</w:t>
      </w:r>
      <w:r>
        <w:rPr>
          <w:sz w:val="20"/>
          <w:szCs w:val="20"/>
        </w:rPr>
        <w:t xml:space="preserve">”), in each case for a claims reporting or discovery period ending six (6) years from and after the Effective Time with respect to any claim related to any period of time at or prior to the Effective Time, from an insurance carrier with the same or better </w:t>
      </w:r>
      <w:r>
        <w:rPr>
          <w:sz w:val="20"/>
          <w:szCs w:val="20"/>
        </w:rPr>
        <w:t>credit rating as the Company’s current insurance carrier with respect to D&amp;O Insurance, with terms, conditions, retentions and limits of liability that are no less favorable to the Indemnified Parties than the coverage provided under the Company’s existing</w:t>
      </w:r>
      <w:r>
        <w:rPr>
          <w:sz w:val="20"/>
          <w:szCs w:val="20"/>
        </w:rPr>
        <w:t xml:space="preserve"> policies with respect to any actual or alleged error, misstatement, misleading statement, act, omission, neglect, breach of duty or any matter claimed against a director or officer of the Company or any of its Subsidiaries by reason of him or her serving </w:t>
      </w:r>
      <w:r>
        <w:rPr>
          <w:sz w:val="20"/>
          <w:szCs w:val="20"/>
        </w:rPr>
        <w:t xml:space="preserve">in such capacity that existed or occurred at or prior to the Effective Time (including in connection with this Agreement or the Transactions); </w:t>
      </w:r>
      <w:r>
        <w:rPr>
          <w:sz w:val="20"/>
          <w:szCs w:val="20"/>
          <w:u w:val="single"/>
        </w:rPr>
        <w:t>provided</w:t>
      </w:r>
      <w:r>
        <w:rPr>
          <w:sz w:val="20"/>
          <w:szCs w:val="20"/>
        </w:rPr>
        <w:t>, that the maximum aggregate premium for such policies shall not be in excess of three hundred percent (3</w:t>
      </w:r>
      <w:r>
        <w:rPr>
          <w:sz w:val="20"/>
          <w:szCs w:val="20"/>
        </w:rPr>
        <w:t xml:space="preserve">00%) of the amount the Company paid for its D&amp;O Insurance in its last full fiscal year; </w:t>
      </w:r>
      <w:r>
        <w:rPr>
          <w:sz w:val="20"/>
          <w:szCs w:val="20"/>
          <w:u w:val="single"/>
        </w:rPr>
        <w:t>provided further</w:t>
      </w:r>
      <w:r>
        <w:rPr>
          <w:sz w:val="20"/>
          <w:szCs w:val="20"/>
        </w:rPr>
        <w:t xml:space="preserve">, that if the premiums of such “tail” policy exceed such amount, the Company may, at its option, obtain such a “tail” policy with the greatest coverage </w:t>
      </w:r>
      <w:r>
        <w:rPr>
          <w:sz w:val="20"/>
          <w:szCs w:val="20"/>
        </w:rPr>
        <w:t xml:space="preserve">available, with respect to matters occurring prior to the Effective Time, for a cost not exceeding such amount. If the Company does not obtain such “tail” insurance policies as of the Effective Time, the Surviving Company shall, and Parent shall cause the </w:t>
      </w:r>
      <w:r>
        <w:rPr>
          <w:sz w:val="20"/>
          <w:szCs w:val="20"/>
        </w:rPr>
        <w:t xml:space="preserve">Surviving Company to, continue to maintain in effect, for a period of at least six (6) years from and after the Effective Time, the D&amp;O Insurance in place as of the date hereof with the Company’s current insurance carrier or with an insurance carrier with </w:t>
      </w:r>
      <w:r>
        <w:rPr>
          <w:sz w:val="20"/>
          <w:szCs w:val="20"/>
        </w:rPr>
        <w:t>the same or better credit rating as the Company’s current insurance carrier with respect to D&amp;O Insurance with terms, conditions, retentions and limits of liability that are no less favorable than the coverage provided under the Company’s existing policies</w:t>
      </w:r>
      <w:r>
        <w:rPr>
          <w:sz w:val="20"/>
          <w:szCs w:val="20"/>
        </w:rPr>
        <w:t xml:space="preserve"> as of the date hereof, or the Surviving Company shall purchase from the Company’s current insurance carrier or from an insurance carrier with the same or better credit rating as the Company’s current insurance carrier with respect to D&amp;O Insurance compara</w:t>
      </w:r>
      <w:r>
        <w:rPr>
          <w:sz w:val="20"/>
          <w:szCs w:val="20"/>
        </w:rPr>
        <w:t xml:space="preserve">ble D&amp;O Insurance for such six (6)-year period with terms, conditions, retentions and limits of liability that are no less favorable to the Indemnified Parties than as provided in the Company’s existing policies as of the date hereof; </w:t>
      </w:r>
      <w:r>
        <w:rPr>
          <w:sz w:val="20"/>
          <w:szCs w:val="20"/>
          <w:u w:val="single"/>
        </w:rPr>
        <w:t>provided</w:t>
      </w:r>
      <w:r>
        <w:rPr>
          <w:sz w:val="20"/>
          <w:szCs w:val="20"/>
        </w:rPr>
        <w:t xml:space="preserve">, that in no </w:t>
      </w:r>
      <w:r>
        <w:rPr>
          <w:sz w:val="20"/>
          <w:szCs w:val="20"/>
        </w:rPr>
        <w:t>event shall Parent or the Surviving Company be required to expend for such policies pursuant to this sentence an annual premium amount in excess of three hundred percent (300%) of the amount per annum the Company paid for its D&amp;O Insurance in its last full</w:t>
      </w:r>
      <w:r>
        <w:rPr>
          <w:sz w:val="20"/>
          <w:szCs w:val="20"/>
        </w:rPr>
        <w:t xml:space="preserve"> fiscal year; and </w:t>
      </w:r>
      <w:r>
        <w:rPr>
          <w:sz w:val="20"/>
          <w:szCs w:val="20"/>
          <w:u w:val="single"/>
        </w:rPr>
        <w:t>provided further</w:t>
      </w:r>
      <w:r>
        <w:rPr>
          <w:i/>
          <w:iCs/>
          <w:sz w:val="20"/>
          <w:szCs w:val="20"/>
        </w:rPr>
        <w:t>,</w:t>
      </w:r>
      <w:r>
        <w:rPr>
          <w:sz w:val="20"/>
          <w:szCs w:val="20"/>
        </w:rPr>
        <w:t xml:space="preserve"> that if the premiums of such insurance coverage exceed such amount, the Surviving Company shall be obligated, and Parent shall cause the Surviving Company, to obtain a policy with the greatest coverage available, with re</w:t>
      </w:r>
      <w:r>
        <w:rPr>
          <w:sz w:val="20"/>
          <w:szCs w:val="20"/>
        </w:rPr>
        <w:t>spect to matters occurring prior to the Effective Time, for a cost not exceeding such amount.</w:t>
      </w:r>
    </w:p>
    <w:p w14:paraId="3F9B550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51AC5C3" w14:textId="77777777" w:rsidR="00000000" w:rsidRDefault="002F725F">
      <w:pPr>
        <w:pStyle w:val="NormalWeb"/>
        <w:spacing w:before="0" w:beforeAutospacing="0" w:after="0" w:afterAutospacing="0"/>
        <w:jc w:val="center"/>
        <w:divId w:val="154539426"/>
        <w:rPr>
          <w:sz w:val="20"/>
          <w:szCs w:val="20"/>
        </w:rPr>
      </w:pPr>
      <w:r>
        <w:rPr>
          <w:sz w:val="20"/>
          <w:szCs w:val="20"/>
        </w:rPr>
        <w:t>A</w:t>
      </w:r>
      <w:r>
        <w:rPr>
          <w:sz w:val="20"/>
          <w:szCs w:val="20"/>
        </w:rPr>
        <w:t>-</w:t>
      </w:r>
      <w:r>
        <w:rPr>
          <w:sz w:val="20"/>
          <w:szCs w:val="20"/>
        </w:rPr>
        <w:t>4</w:t>
      </w:r>
      <w:r>
        <w:rPr>
          <w:sz w:val="20"/>
          <w:szCs w:val="20"/>
        </w:rPr>
        <w:t>1</w:t>
      </w:r>
    </w:p>
    <w:p w14:paraId="2F21B537" w14:textId="77777777" w:rsidR="00000000" w:rsidRDefault="002F725F">
      <w:pPr>
        <w:pStyle w:val="NormalWeb"/>
        <w:spacing w:before="0" w:beforeAutospacing="0" w:after="0" w:afterAutospacing="0"/>
        <w:divId w:val="1964075868"/>
        <w:rPr>
          <w:sz w:val="20"/>
          <w:szCs w:val="20"/>
        </w:rPr>
      </w:pPr>
      <w:r>
        <w:rPr>
          <w:sz w:val="20"/>
          <w:szCs w:val="20"/>
        </w:rPr>
        <w:t> </w:t>
      </w:r>
    </w:p>
    <w:p w14:paraId="3B31BD9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E4450E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(f) </w:t>
      </w:r>
      <w:r>
        <w:rPr>
          <w:sz w:val="20"/>
          <w:szCs w:val="20"/>
        </w:rPr>
        <w:t>If Parent, the Surviving Company or any of their respective successors or assigns (i) consolidates with or merges into any other Person and shall not be the continuing or surviving Entity of such consolidation or merger; or (ii) transfers or conveys all or</w:t>
      </w:r>
      <w:r>
        <w:rPr>
          <w:sz w:val="20"/>
          <w:szCs w:val="20"/>
        </w:rPr>
        <w:t xml:space="preserve"> substantially all of its properties and assets to any Person, then, and in each such case, to the extent necessary, proper provision shall be made so that the successors and assigns of Parent or the Surviving Company, as the case may be, shall assume the </w:t>
      </w:r>
      <w:r>
        <w:rPr>
          <w:sz w:val="20"/>
          <w:szCs w:val="20"/>
        </w:rPr>
        <w:t xml:space="preserve">obligations set forth in this </w:t>
      </w:r>
      <w:r>
        <w:rPr>
          <w:sz w:val="20"/>
          <w:szCs w:val="20"/>
          <w:u w:val="single"/>
        </w:rPr>
        <w:t>Section 7.5</w:t>
      </w:r>
      <w:r>
        <w:rPr>
          <w:sz w:val="20"/>
          <w:szCs w:val="20"/>
        </w:rPr>
        <w:t>.</w:t>
      </w:r>
    </w:p>
    <w:p w14:paraId="1DE0AD7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F6ACE3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(g) The provisions of this </w:t>
      </w:r>
      <w:r>
        <w:rPr>
          <w:sz w:val="20"/>
          <w:szCs w:val="20"/>
          <w:u w:val="single"/>
        </w:rPr>
        <w:t>Section 7.5</w:t>
      </w:r>
      <w:r>
        <w:rPr>
          <w:sz w:val="20"/>
          <w:szCs w:val="20"/>
        </w:rPr>
        <w:t xml:space="preserve"> shall survive consummation of the Merger and are intended to be for the benefit of, and shall be enforceable by, each Indemnified Party referred to in this </w:t>
      </w:r>
      <w:r>
        <w:rPr>
          <w:sz w:val="20"/>
          <w:szCs w:val="20"/>
          <w:u w:val="single"/>
        </w:rPr>
        <w:t>Section 7.5</w:t>
      </w:r>
      <w:r>
        <w:rPr>
          <w:sz w:val="20"/>
          <w:szCs w:val="20"/>
        </w:rPr>
        <w:t xml:space="preserve"> and </w:t>
      </w:r>
      <w:r>
        <w:rPr>
          <w:sz w:val="20"/>
          <w:szCs w:val="20"/>
        </w:rPr>
        <w:t xml:space="preserve">his or her heirs and Representatives, and are in addition to, and not in substitution for, any other rights that any such Person </w:t>
      </w:r>
      <w:r>
        <w:rPr>
          <w:sz w:val="20"/>
          <w:szCs w:val="20"/>
        </w:rPr>
        <w:lastRenderedPageBreak/>
        <w:t>may have under the memorandum and articles of association or other governing documents of the Company or any of its Subsidiarie</w:t>
      </w:r>
      <w:r>
        <w:rPr>
          <w:sz w:val="20"/>
          <w:szCs w:val="20"/>
        </w:rPr>
        <w:t>s, under the Companies Act or any other applicable Law or under any agreement of any Indemnified Party with the Company or any of its Subsidiaries or otherwise.</w:t>
      </w:r>
    </w:p>
    <w:p w14:paraId="4F772CF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A03DC2A"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7.6 </w:t>
      </w:r>
      <w:r>
        <w:rPr>
          <w:sz w:val="20"/>
          <w:szCs w:val="20"/>
          <w:u w:val="single"/>
        </w:rPr>
        <w:t>Financing</w:t>
      </w:r>
      <w:r>
        <w:rPr>
          <w:sz w:val="20"/>
          <w:szCs w:val="20"/>
        </w:rPr>
        <w:t xml:space="preserve">. Subject to the terms and conditions of this Agreement, each of Parent </w:t>
      </w:r>
      <w:r>
        <w:rPr>
          <w:sz w:val="20"/>
          <w:szCs w:val="20"/>
        </w:rPr>
        <w:t>and Merger Sub shall use its reasonable best efforts to (a) obtain the Financing on the terms and conditions described in the Equity Commitment Letter; (b) maintain in effect the Equity Commitment Letter until the Transactions are consummated; (c) satisfy,</w:t>
      </w:r>
      <w:r>
        <w:rPr>
          <w:sz w:val="20"/>
          <w:szCs w:val="20"/>
        </w:rPr>
        <w:t xml:space="preserve"> or cause to be satisfied, on a timely basis all conditions to the closing of and funding under the Equity Commitment Letters applicable to Parent or Merger Sub that are within its control, if any; (d) seek to enforce its rights under the Equity Commitment</w:t>
      </w:r>
      <w:r>
        <w:rPr>
          <w:sz w:val="20"/>
          <w:szCs w:val="20"/>
        </w:rPr>
        <w:t xml:space="preserve"> Letter; and (e) consummate the Financing at or prior to the Effective Time. Each of Parent and Merger Sub hereby acknowledges and agrees that it shall not be a condition to Closing for Parent or Merger Sub to obtain the Financing and reaffirms its obligat</w:t>
      </w:r>
      <w:r>
        <w:rPr>
          <w:sz w:val="20"/>
          <w:szCs w:val="20"/>
        </w:rPr>
        <w:t>ion to consummate the Transactions hereby on the terms and subject to the conditions set forth in this Agreement, irrespective and independent of the availability of the Financing.</w:t>
      </w:r>
    </w:p>
    <w:p w14:paraId="7121FD1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FF74049"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7.7 </w:t>
      </w:r>
      <w:r>
        <w:rPr>
          <w:sz w:val="20"/>
          <w:szCs w:val="20"/>
          <w:u w:val="single"/>
        </w:rPr>
        <w:t>Support Agreement</w:t>
      </w:r>
      <w:r>
        <w:rPr>
          <w:sz w:val="20"/>
          <w:szCs w:val="20"/>
        </w:rPr>
        <w:t>. Parent shall use its reasonable best effor</w:t>
      </w:r>
      <w:r>
        <w:rPr>
          <w:sz w:val="20"/>
          <w:szCs w:val="20"/>
        </w:rPr>
        <w:t>ts to consummate the transactions contemplated by the Support Agreement on the terms and conditions described in the Support Agreement, including using reasonable best efforts to (a) maintain in full force and effect the Support Agreement until the Transac</w:t>
      </w:r>
      <w:r>
        <w:rPr>
          <w:sz w:val="20"/>
          <w:szCs w:val="20"/>
        </w:rPr>
        <w:t>tions are consummated; (b) satisfy, or cause to be satisfied, on a timely basis all conditions applicable to Parent in the Support Agreement that are within its control, if any; and (c) cause the Rollover Shareholders to vote their Shares in favor of the a</w:t>
      </w:r>
      <w:r>
        <w:rPr>
          <w:sz w:val="20"/>
          <w:szCs w:val="20"/>
        </w:rPr>
        <w:t>uthorization and approval of this Agreement, the Plan of Merger and the Transactions, hold their respective Rollover Shares through the Effective Time, and receive no cash consideration for their Rollover Shares in the Merger. Parent shall promptly (and in</w:t>
      </w:r>
      <w:r>
        <w:rPr>
          <w:sz w:val="20"/>
          <w:szCs w:val="20"/>
        </w:rPr>
        <w:t xml:space="preserve"> any event within two (2) Business Days) notify the Company and the Special Committee of any termination of, material amendment or modification to be made to, or any waiver of any material provision or remedy under, the Support Agreement.</w:t>
      </w:r>
    </w:p>
    <w:p w14:paraId="0B69FDC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C3952D1"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7.8 </w:t>
      </w:r>
      <w:r>
        <w:rPr>
          <w:sz w:val="20"/>
          <w:szCs w:val="20"/>
          <w:u w:val="single"/>
        </w:rPr>
        <w:t>Rea</w:t>
      </w:r>
      <w:r>
        <w:rPr>
          <w:sz w:val="20"/>
          <w:szCs w:val="20"/>
          <w:u w:val="single"/>
        </w:rPr>
        <w:t>sonable Best Efforts</w:t>
      </w:r>
    </w:p>
    <w:p w14:paraId="3E2B1D7A" w14:textId="77777777" w:rsidR="00000000" w:rsidRDefault="002F725F">
      <w:pPr>
        <w:pStyle w:val="NormalWeb"/>
        <w:spacing w:before="0" w:beforeAutospacing="0" w:after="0" w:afterAutospacing="0"/>
        <w:jc w:val="both"/>
        <w:divId w:val="415980837"/>
        <w:rPr>
          <w:sz w:val="20"/>
          <w:szCs w:val="20"/>
        </w:rPr>
      </w:pPr>
      <w:r>
        <w:rPr>
          <w:sz w:val="20"/>
          <w:szCs w:val="20"/>
        </w:rPr>
        <w:t>.</w:t>
      </w:r>
    </w:p>
    <w:p w14:paraId="1716AD6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Upon the terms and subject to the conditions set forth in this Agreement, each of the Parties and their respective Representatives shall use its reasonable best efforts to promptly (i) take, or cause to be taken, all actions, and</w:t>
      </w:r>
      <w:r>
        <w:rPr>
          <w:sz w:val="20"/>
          <w:szCs w:val="20"/>
        </w:rPr>
        <w:t xml:space="preserve"> do, or cause to be done, and assist and cooperate with the other Parties in doing all things necessary, proper or advisable under applicable Laws or otherwise to consummate and make effective the Transactions; (ii) make all registrations, filings, notific</w:t>
      </w:r>
      <w:r>
        <w:rPr>
          <w:sz w:val="20"/>
          <w:szCs w:val="20"/>
        </w:rPr>
        <w:t xml:space="preserve">ations or submissions which are necessary or advisable, and thereafter make any other required submissions, with respect to this Agreement and the Merger required under (A) any applicable federal or state securities Laws; and (B) any other applicable Law; </w:t>
      </w:r>
      <w:r>
        <w:rPr>
          <w:sz w:val="20"/>
          <w:szCs w:val="20"/>
          <w:u w:val="single"/>
        </w:rPr>
        <w:t>provided</w:t>
      </w:r>
      <w:r>
        <w:rPr>
          <w:sz w:val="20"/>
          <w:szCs w:val="20"/>
        </w:rPr>
        <w:t>, that the Company, on the one hand, and Parent, on the other hand, will cooperate with each other in connection with the making of all such filings, including providing copies of all such filings and attachments to outside counsel for the non-fili</w:t>
      </w:r>
      <w:r>
        <w:rPr>
          <w:sz w:val="20"/>
          <w:szCs w:val="20"/>
        </w:rPr>
        <w:t>ng party and including the timing of the initial filings; (iii) furnish all information required for any application or other filing to be made pursuant to any applicable Law in connection with the Transactions; (iv) execute and deliver any additional inst</w:t>
      </w:r>
      <w:r>
        <w:rPr>
          <w:sz w:val="20"/>
          <w:szCs w:val="20"/>
        </w:rPr>
        <w:t>ruments necessary to consummate the Transactions; (v) keep the other Parties promptly (and in any event within three (3) days) informed in all material respects of any material communication received by such Party, or given by such Party, in connection wit</w:t>
      </w:r>
      <w:r>
        <w:rPr>
          <w:sz w:val="20"/>
          <w:szCs w:val="20"/>
        </w:rPr>
        <w:t xml:space="preserve">h any proceeding by a private party, in each case relating to the Transactions; (vi) permit the other Parties to review any material communication (and considering the other Parties’ reasonable comments thereto) delivered to, and consulting with the other </w:t>
      </w:r>
      <w:r>
        <w:rPr>
          <w:sz w:val="20"/>
          <w:szCs w:val="20"/>
        </w:rPr>
        <w:t>Parties in advance of any meeting or conference with, any private party in connection with any proceeding by a private party relating thereto, and giving the other Parties the opportunity to attend and participate in such meetings and conferences (to the e</w:t>
      </w:r>
      <w:r>
        <w:rPr>
          <w:sz w:val="20"/>
          <w:szCs w:val="20"/>
        </w:rPr>
        <w:t xml:space="preserve">xtent permitted by such private party); and (vii) avoid the entry of, or have vacated or terminated, any decree, Order, or judgment that would restrain, prevent or delay the consummation of the Transactions, including defending any lawsuits or other Legal </w:t>
      </w:r>
      <w:r>
        <w:rPr>
          <w:sz w:val="20"/>
          <w:szCs w:val="20"/>
        </w:rPr>
        <w:t>Proceedings, whether judicial or administrative, challenging this Agreement or the consummation of the Transactions.</w:t>
      </w:r>
    </w:p>
    <w:p w14:paraId="5C0751A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FD59DCA" w14:textId="77777777" w:rsidR="00000000" w:rsidRDefault="002F725F">
      <w:pPr>
        <w:pStyle w:val="NormalWeb"/>
        <w:spacing w:before="0" w:beforeAutospacing="0" w:after="0" w:afterAutospacing="0"/>
        <w:jc w:val="center"/>
        <w:divId w:val="1658268503"/>
        <w:rPr>
          <w:sz w:val="20"/>
          <w:szCs w:val="20"/>
        </w:rPr>
      </w:pPr>
      <w:r>
        <w:rPr>
          <w:sz w:val="20"/>
          <w:szCs w:val="20"/>
        </w:rPr>
        <w:t>A</w:t>
      </w:r>
      <w:r>
        <w:rPr>
          <w:sz w:val="20"/>
          <w:szCs w:val="20"/>
        </w:rPr>
        <w:t>-</w:t>
      </w:r>
      <w:r>
        <w:rPr>
          <w:sz w:val="20"/>
          <w:szCs w:val="20"/>
        </w:rPr>
        <w:t>4</w:t>
      </w:r>
      <w:r>
        <w:rPr>
          <w:sz w:val="20"/>
          <w:szCs w:val="20"/>
        </w:rPr>
        <w:t>2</w:t>
      </w:r>
    </w:p>
    <w:p w14:paraId="6113017B" w14:textId="77777777" w:rsidR="00000000" w:rsidRDefault="002F725F">
      <w:pPr>
        <w:pStyle w:val="NormalWeb"/>
        <w:spacing w:before="0" w:beforeAutospacing="0" w:after="0" w:afterAutospacing="0"/>
        <w:divId w:val="860321033"/>
        <w:rPr>
          <w:sz w:val="20"/>
          <w:szCs w:val="20"/>
        </w:rPr>
      </w:pPr>
      <w:r>
        <w:rPr>
          <w:sz w:val="20"/>
          <w:szCs w:val="20"/>
        </w:rPr>
        <w:t> </w:t>
      </w:r>
    </w:p>
    <w:p w14:paraId="312CC73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DE45D2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lastRenderedPageBreak/>
        <w:t>(b) Each Party hereto shall, upon request by any other Party, furnish such other Party with all information concerning itself, i</w:t>
      </w:r>
      <w:r>
        <w:rPr>
          <w:sz w:val="20"/>
          <w:szCs w:val="20"/>
        </w:rPr>
        <w:t xml:space="preserve">ts Subsidiaries, directors, officers and shareholders and such other matters as may be reasonably necessary or advisable in connection with the Proxy Statement, the Schedule 13E-3, or any other statement, filing, notice or application made by or on behalf </w:t>
      </w:r>
      <w:r>
        <w:rPr>
          <w:sz w:val="20"/>
          <w:szCs w:val="20"/>
        </w:rPr>
        <w:t>of Parent, Merger Sub, the Company or any of their respective Subsidiaries to any Third Party and/or any Governmental Entity in connection with the Transactions.</w:t>
      </w:r>
    </w:p>
    <w:p w14:paraId="5CD693E2"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EF42277"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7.9 </w:t>
      </w:r>
      <w:r>
        <w:rPr>
          <w:sz w:val="20"/>
          <w:szCs w:val="20"/>
          <w:u w:val="single"/>
        </w:rPr>
        <w:t>Antitakeover Statutes</w:t>
      </w:r>
      <w:r>
        <w:rPr>
          <w:sz w:val="20"/>
          <w:szCs w:val="20"/>
        </w:rPr>
        <w:t>. If the restrictions of any Antitakeover Statutes are or m</w:t>
      </w:r>
      <w:r>
        <w:rPr>
          <w:sz w:val="20"/>
          <w:szCs w:val="20"/>
        </w:rPr>
        <w:t>ay become applicable to any of the Transactions, each of the Company and Parent, and their respective board of directors, shall use their reasonable best efforts to grant such approvals and take such actions as are necessary so that the Transactions may be</w:t>
      </w:r>
      <w:r>
        <w:rPr>
          <w:sz w:val="20"/>
          <w:szCs w:val="20"/>
        </w:rPr>
        <w:t xml:space="preserve"> consummated as promptly as practicable on the terms contemplated hereby and otherwise act to render the restrictions of such Antitakeover Statutes inapplicable to, or minimize, to the extent possible, the effects of such statute or regulation on the Trans</w:t>
      </w:r>
      <w:r>
        <w:rPr>
          <w:sz w:val="20"/>
          <w:szCs w:val="20"/>
        </w:rPr>
        <w:t>actions.</w:t>
      </w:r>
    </w:p>
    <w:p w14:paraId="66DAEF24"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81535F4"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7.10 </w:t>
      </w:r>
      <w:r>
        <w:rPr>
          <w:sz w:val="20"/>
          <w:szCs w:val="20"/>
          <w:u w:val="single"/>
        </w:rPr>
        <w:t>Deregistration</w:t>
      </w:r>
      <w:r>
        <w:rPr>
          <w:sz w:val="20"/>
          <w:szCs w:val="20"/>
        </w:rPr>
        <w:t xml:space="preserve">. Prior to the Effective Time, the Company shall cooperate with Parent and shall use reasonable best efforts to take, or cause to be taken, all actions required, proper or advisable to cause the Shares and the Company </w:t>
      </w:r>
      <w:r>
        <w:rPr>
          <w:sz w:val="20"/>
          <w:szCs w:val="20"/>
        </w:rPr>
        <w:t>Warrants, to the extent applicable, to be deregistered under the Exchange Act as soon as reasonably practicable following the Effective Time.</w:t>
      </w:r>
    </w:p>
    <w:p w14:paraId="60C3D7D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43C12DE"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7.11 </w:t>
      </w:r>
      <w:r>
        <w:rPr>
          <w:sz w:val="20"/>
          <w:szCs w:val="20"/>
          <w:u w:val="single"/>
        </w:rPr>
        <w:t>Obligations of Merger Sub</w:t>
      </w:r>
      <w:r>
        <w:rPr>
          <w:sz w:val="20"/>
          <w:szCs w:val="20"/>
        </w:rPr>
        <w:t>. Whenever this Agreement requires Merger Sub to take any action, such req</w:t>
      </w:r>
      <w:r>
        <w:rPr>
          <w:sz w:val="20"/>
          <w:szCs w:val="20"/>
        </w:rPr>
        <w:t>uirement shall be deemed to include an undertaking on the part of Parent to cause Merger Sub to take such action.</w:t>
      </w:r>
    </w:p>
    <w:p w14:paraId="1FACBE9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1188EEE"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7.12 </w:t>
      </w:r>
      <w:r>
        <w:rPr>
          <w:sz w:val="20"/>
          <w:szCs w:val="20"/>
          <w:u w:val="single"/>
        </w:rPr>
        <w:t>Participation in Litigation</w:t>
      </w:r>
      <w:r>
        <w:rPr>
          <w:sz w:val="20"/>
          <w:szCs w:val="20"/>
        </w:rPr>
        <w:t>. Prior to the Effective Time, (a) </w:t>
      </w:r>
      <w:r>
        <w:rPr>
          <w:sz w:val="20"/>
          <w:szCs w:val="20"/>
        </w:rPr>
        <w:t>the Company shall give prompt notice to Parent, and Parent shall give prompt notice to the Company, of any Legal Proceedings commenced or, to the Knowledge of such Party, threatened in writing against such Party and/or its directors which relate to this Ag</w:t>
      </w:r>
      <w:r>
        <w:rPr>
          <w:sz w:val="20"/>
          <w:szCs w:val="20"/>
        </w:rPr>
        <w:t>reement or the Transactions; and (b) the Company shall give Parent the opportunity to participate in the defense or settlement of any Legal Proceedings of shareholders (on their own behalf or on behalf of the Company) against the Company and/or its directo</w:t>
      </w:r>
      <w:r>
        <w:rPr>
          <w:sz w:val="20"/>
          <w:szCs w:val="20"/>
        </w:rPr>
        <w:t xml:space="preserve">rs or Representatives relating to this Agreement or the Transactions at its own expense, and no such Legal Proceeding shall be settled or compromised without Parent’s prior written consent, which consent should not be unreasonably withheld, conditioned or </w:t>
      </w:r>
      <w:r>
        <w:rPr>
          <w:sz w:val="20"/>
          <w:szCs w:val="20"/>
        </w:rPr>
        <w:t>delayed.</w:t>
      </w:r>
    </w:p>
    <w:p w14:paraId="663025C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02599DB"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7.13 </w:t>
      </w:r>
      <w:r>
        <w:rPr>
          <w:sz w:val="20"/>
          <w:szCs w:val="20"/>
          <w:u w:val="single"/>
        </w:rPr>
        <w:t>Resignations</w:t>
      </w:r>
      <w:r>
        <w:rPr>
          <w:sz w:val="20"/>
          <w:szCs w:val="20"/>
        </w:rPr>
        <w:t>. To the extent requested by Parent in writing at least three (3) Business Days prior to Closing, on the Closing Date, the Company shall use reasonable best efforts to cause to be delivered to Parent duly signed resignat</w:t>
      </w:r>
      <w:r>
        <w:rPr>
          <w:sz w:val="20"/>
          <w:szCs w:val="20"/>
        </w:rPr>
        <w:t>ions, effective as of the Effective Time, of the directors of any Group Company designated by Parent.</w:t>
      </w:r>
    </w:p>
    <w:p w14:paraId="1D8C559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BBCD621"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7.14 </w:t>
      </w:r>
      <w:r>
        <w:rPr>
          <w:sz w:val="20"/>
          <w:szCs w:val="20"/>
          <w:u w:val="single"/>
        </w:rPr>
        <w:t>No Amendment to Transaction Documents</w:t>
      </w:r>
      <w:r>
        <w:rPr>
          <w:sz w:val="20"/>
          <w:szCs w:val="20"/>
        </w:rPr>
        <w:t>. Without the prior written consent of the Special Committee (acting on behalf of the Company), Parent</w:t>
      </w:r>
      <w:r>
        <w:rPr>
          <w:sz w:val="20"/>
          <w:szCs w:val="20"/>
        </w:rPr>
        <w:t xml:space="preserve"> and Merger Sub shall not, and shall cause its respective Affiliates not to, (i) amend, modify, withdraw, waive or terminate any Transaction Documents or (ii) enter into or modify any other Contract relating to the Merger or Transactions, in each case in a</w:t>
      </w:r>
      <w:r>
        <w:rPr>
          <w:sz w:val="20"/>
          <w:szCs w:val="20"/>
        </w:rPr>
        <w:t xml:space="preserve"> manner that (x) would be inconsistent with the terms of any Transaction Document, or (y) would or would reasonably be expected to prevent or impede, interfere with, hinder or delay (A) the consummation by Parent and Merger Sub of the Merger or any of the </w:t>
      </w:r>
      <w:r>
        <w:rPr>
          <w:sz w:val="20"/>
          <w:szCs w:val="20"/>
        </w:rPr>
        <w:t xml:space="preserve">other Transactions, (B) the performance by each of Parent and Merger Sub of their respective obligations under this Agreement, or (C) the Company’s exercise of its right to specific performance of the terms of any Transaction Document in its capacity as a </w:t>
      </w:r>
      <w:r>
        <w:rPr>
          <w:sz w:val="20"/>
          <w:szCs w:val="20"/>
        </w:rPr>
        <w:t>third-party beneficiary.</w:t>
      </w:r>
    </w:p>
    <w:p w14:paraId="066F7A05"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DA8D6F9" w14:textId="77777777" w:rsidR="00000000" w:rsidRDefault="002F725F">
      <w:pPr>
        <w:pStyle w:val="NormalWeb"/>
        <w:spacing w:before="0" w:beforeAutospacing="0" w:after="0" w:afterAutospacing="0"/>
        <w:jc w:val="center"/>
        <w:divId w:val="2105372480"/>
        <w:rPr>
          <w:sz w:val="20"/>
          <w:szCs w:val="20"/>
        </w:rPr>
      </w:pPr>
      <w:r>
        <w:rPr>
          <w:sz w:val="20"/>
          <w:szCs w:val="20"/>
        </w:rPr>
        <w:t>A</w:t>
      </w:r>
      <w:r>
        <w:rPr>
          <w:sz w:val="20"/>
          <w:szCs w:val="20"/>
        </w:rPr>
        <w:t>-</w:t>
      </w:r>
      <w:r>
        <w:rPr>
          <w:sz w:val="20"/>
          <w:szCs w:val="20"/>
        </w:rPr>
        <w:t>4</w:t>
      </w:r>
      <w:r>
        <w:rPr>
          <w:sz w:val="20"/>
          <w:szCs w:val="20"/>
        </w:rPr>
        <w:t>3</w:t>
      </w:r>
    </w:p>
    <w:p w14:paraId="514C0165" w14:textId="77777777" w:rsidR="00000000" w:rsidRDefault="002F725F">
      <w:pPr>
        <w:pStyle w:val="NormalWeb"/>
        <w:spacing w:before="0" w:beforeAutospacing="0" w:after="0" w:afterAutospacing="0"/>
        <w:divId w:val="591862225"/>
        <w:rPr>
          <w:sz w:val="20"/>
          <w:szCs w:val="20"/>
        </w:rPr>
      </w:pPr>
      <w:r>
        <w:rPr>
          <w:sz w:val="20"/>
          <w:szCs w:val="20"/>
        </w:rPr>
        <w:t> </w:t>
      </w:r>
    </w:p>
    <w:p w14:paraId="6BDE721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FCC5DA9"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7.15 </w:t>
      </w:r>
      <w:r>
        <w:rPr>
          <w:sz w:val="20"/>
          <w:szCs w:val="20"/>
          <w:u w:val="single"/>
        </w:rPr>
        <w:t>Actions Taken at Direction or Acquiescence of Parent or Merger Sub</w:t>
      </w:r>
      <w:r>
        <w:rPr>
          <w:sz w:val="20"/>
          <w:szCs w:val="20"/>
        </w:rPr>
        <w:t>. Notwithstanding any other provision of this Agreement to the contrary, the Company shall not be deemed to be in breach of any representatio</w:t>
      </w:r>
      <w:r>
        <w:rPr>
          <w:sz w:val="20"/>
          <w:szCs w:val="20"/>
        </w:rPr>
        <w:t xml:space="preserve">n, warranty, covenant or agreement hereunder, including, without limitation, </w:t>
      </w:r>
      <w:r>
        <w:rPr>
          <w:sz w:val="20"/>
          <w:szCs w:val="20"/>
          <w:u w:val="single"/>
        </w:rPr>
        <w:t>Article IV</w:t>
      </w:r>
      <w:r>
        <w:rPr>
          <w:sz w:val="20"/>
          <w:szCs w:val="20"/>
        </w:rPr>
        <w:t xml:space="preserve">, </w:t>
      </w:r>
      <w:r>
        <w:rPr>
          <w:sz w:val="20"/>
          <w:szCs w:val="20"/>
          <w:u w:val="single"/>
        </w:rPr>
        <w:t>Article VI</w:t>
      </w:r>
      <w:r>
        <w:rPr>
          <w:sz w:val="20"/>
          <w:szCs w:val="20"/>
        </w:rPr>
        <w:t xml:space="preserve"> or this </w:t>
      </w:r>
      <w:r>
        <w:rPr>
          <w:sz w:val="20"/>
          <w:szCs w:val="20"/>
          <w:u w:val="single"/>
        </w:rPr>
        <w:t>Article VII</w:t>
      </w:r>
      <w:r>
        <w:rPr>
          <w:sz w:val="20"/>
          <w:szCs w:val="20"/>
        </w:rPr>
        <w:t xml:space="preserve"> hereof, if the alleged breach results from an action or inaction by the Company at the direction, acquiescence acting solely in their re</w:t>
      </w:r>
      <w:r>
        <w:rPr>
          <w:sz w:val="20"/>
          <w:szCs w:val="20"/>
        </w:rPr>
        <w:t xml:space="preserve">spective capacity as a director or officer of the Company, or approval of Parent, Merger Sub or their </w:t>
      </w:r>
      <w:r>
        <w:rPr>
          <w:sz w:val="20"/>
          <w:szCs w:val="20"/>
        </w:rPr>
        <w:lastRenderedPageBreak/>
        <w:t>respective Affiliates or Representatives, regardless of whether there is any approval by or direction from the Board (acting at the direction of the Speci</w:t>
      </w:r>
      <w:r>
        <w:rPr>
          <w:sz w:val="20"/>
          <w:szCs w:val="20"/>
        </w:rPr>
        <w:t>al Committee) or the Special Committee.</w:t>
      </w:r>
    </w:p>
    <w:p w14:paraId="6E31ECF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C5BBD82"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7.16 </w:t>
      </w:r>
      <w:r>
        <w:rPr>
          <w:sz w:val="20"/>
          <w:szCs w:val="20"/>
          <w:u w:val="single"/>
        </w:rPr>
        <w:t>ESOP Information</w:t>
      </w:r>
      <w:r>
        <w:rPr>
          <w:sz w:val="20"/>
          <w:szCs w:val="20"/>
        </w:rPr>
        <w:t xml:space="preserve">. As soon as practicable following the date hereof (but in no event later than five (5) Business Days prior to the Closing Date, the Company shall make available to Parent accurate and </w:t>
      </w:r>
      <w:r>
        <w:rPr>
          <w:sz w:val="20"/>
          <w:szCs w:val="20"/>
        </w:rPr>
        <w:t>complete information (a) with respect to each Company Option under the 2024 Plan that is outstanding immediately before the Closing Date: (i) the name of the Company Option recipient; (ii) the number of Shares subject to such Company Option; (iii) the exer</w:t>
      </w:r>
      <w:r>
        <w:rPr>
          <w:sz w:val="20"/>
          <w:szCs w:val="20"/>
        </w:rPr>
        <w:t>cise or purchase price of such Company Option; (iv) the date on which such Company Option was granted; (v) the vesting schedule and other vesting conditions (if any), vesting commencement date and vesting status of such Company Option; and (vi) the date on</w:t>
      </w:r>
      <w:r>
        <w:rPr>
          <w:sz w:val="20"/>
          <w:szCs w:val="20"/>
        </w:rPr>
        <w:t xml:space="preserve"> which such Company Option expires; and (b) with respect to each Company RSU under the 2024 Plan that is outstanding immediately before the Closing Date: (i) the name of the Company RSU recipient; (ii) the number of Shares subject to such Company RSU; (iii</w:t>
      </w:r>
      <w:r>
        <w:rPr>
          <w:sz w:val="20"/>
          <w:szCs w:val="20"/>
        </w:rPr>
        <w:t>) the date on which such Company RSU was granted; and (iv) the vesting schedule and other vesting conditions (if any), the vesting commencement date and vesting status of such Company RSU.</w:t>
      </w:r>
    </w:p>
    <w:p w14:paraId="3681E3B1"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3008D15F"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Article VIII</w:t>
      </w:r>
      <w:r>
        <w:rPr>
          <w:b/>
          <w:bCs/>
          <w:caps/>
          <w:sz w:val="20"/>
          <w:szCs w:val="20"/>
        </w:rPr>
        <w:br/>
        <w:t>CONDITIONS TO THE MERGER</w:t>
      </w:r>
    </w:p>
    <w:p w14:paraId="5D54FBB5"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20493290"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8.1 </w:t>
      </w:r>
      <w:r>
        <w:rPr>
          <w:sz w:val="20"/>
          <w:szCs w:val="20"/>
          <w:u w:val="single"/>
        </w:rPr>
        <w:t>Conditions to</w:t>
      </w:r>
      <w:r>
        <w:rPr>
          <w:sz w:val="20"/>
          <w:szCs w:val="20"/>
          <w:u w:val="single"/>
        </w:rPr>
        <w:t xml:space="preserve"> Each Party’s Obligation to Effect the Merger</w:t>
      </w:r>
      <w:r>
        <w:rPr>
          <w:sz w:val="20"/>
          <w:szCs w:val="20"/>
        </w:rPr>
        <w:t>. The respective obligations of the Company, Parent and Merger Sub to consummate the Merger are subject to the satisfaction of the following conditions:</w:t>
      </w:r>
    </w:p>
    <w:p w14:paraId="33256FB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E3AA7A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the Company Shareholder Approval shall have been obt</w:t>
      </w:r>
      <w:r>
        <w:rPr>
          <w:sz w:val="20"/>
          <w:szCs w:val="20"/>
        </w:rPr>
        <w:t>ained in accordance with applicable Laws and the memorandum and articles of association of the Company; and</w:t>
      </w:r>
    </w:p>
    <w:p w14:paraId="6B3F718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BF37ED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no Governmental Entity of any competent jurisdiction shall have enacted, issued, promulgated, enforced or entered any Order or Law or taken an</w:t>
      </w:r>
      <w:r>
        <w:rPr>
          <w:sz w:val="20"/>
          <w:szCs w:val="20"/>
        </w:rPr>
        <w:t>y other action which is then in effect (whether temporary, preliminary or permanent) and has the effect of enjoining, restraining, prohibiting or otherwise making illegal the consummation of the Transactions.</w:t>
      </w:r>
    </w:p>
    <w:p w14:paraId="4756EC4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CB353B4" w14:textId="77777777" w:rsidR="00000000" w:rsidRDefault="002F725F">
      <w:pPr>
        <w:pStyle w:val="NormalWeb"/>
        <w:spacing w:before="0" w:beforeAutospacing="0" w:after="0" w:afterAutospacing="0"/>
        <w:jc w:val="center"/>
        <w:divId w:val="1991857630"/>
        <w:rPr>
          <w:sz w:val="20"/>
          <w:szCs w:val="20"/>
        </w:rPr>
      </w:pPr>
      <w:r>
        <w:rPr>
          <w:sz w:val="20"/>
          <w:szCs w:val="20"/>
        </w:rPr>
        <w:t>A</w:t>
      </w:r>
      <w:r>
        <w:rPr>
          <w:sz w:val="20"/>
          <w:szCs w:val="20"/>
        </w:rPr>
        <w:t>-</w:t>
      </w:r>
      <w:r>
        <w:rPr>
          <w:sz w:val="20"/>
          <w:szCs w:val="20"/>
        </w:rPr>
        <w:t>4</w:t>
      </w:r>
      <w:r>
        <w:rPr>
          <w:sz w:val="20"/>
          <w:szCs w:val="20"/>
        </w:rPr>
        <w:t>4</w:t>
      </w:r>
    </w:p>
    <w:p w14:paraId="369F2085" w14:textId="77777777" w:rsidR="00000000" w:rsidRDefault="002F725F">
      <w:pPr>
        <w:pStyle w:val="NormalWeb"/>
        <w:spacing w:before="0" w:beforeAutospacing="0" w:after="0" w:afterAutospacing="0"/>
        <w:divId w:val="910582511"/>
        <w:rPr>
          <w:sz w:val="20"/>
          <w:szCs w:val="20"/>
        </w:rPr>
      </w:pPr>
      <w:r>
        <w:rPr>
          <w:sz w:val="20"/>
          <w:szCs w:val="20"/>
        </w:rPr>
        <w:t> </w:t>
      </w:r>
    </w:p>
    <w:p w14:paraId="11AF592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EFCB212"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8.2 </w:t>
      </w:r>
      <w:r>
        <w:rPr>
          <w:sz w:val="20"/>
          <w:szCs w:val="20"/>
          <w:u w:val="single"/>
        </w:rPr>
        <w:t>Additional Conditions to the Obligations of Parent and Merger Sub</w:t>
      </w:r>
      <w:r>
        <w:rPr>
          <w:sz w:val="20"/>
          <w:szCs w:val="20"/>
        </w:rPr>
        <w:t xml:space="preserve">. The obligations of Parent and Merger Sub to effect the </w:t>
      </w:r>
      <w:r>
        <w:rPr>
          <w:sz w:val="20"/>
          <w:szCs w:val="20"/>
        </w:rPr>
        <w:t>Merger are subject to the satisfaction (or waiver by Parent and Merger Sub, to the extent permitted by applicable Laws) of the following conditions:</w:t>
      </w:r>
    </w:p>
    <w:p w14:paraId="0F48222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5D52DBD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(a) (i) other than the representations and warranties of the Company contained in </w:t>
      </w:r>
      <w:r>
        <w:rPr>
          <w:sz w:val="20"/>
          <w:szCs w:val="20"/>
          <w:u w:val="single"/>
        </w:rPr>
        <w:t>Section 4.1</w:t>
      </w:r>
      <w:r>
        <w:rPr>
          <w:sz w:val="20"/>
          <w:szCs w:val="20"/>
        </w:rPr>
        <w:t xml:space="preserve"> (Organizati</w:t>
      </w:r>
      <w:r>
        <w:rPr>
          <w:sz w:val="20"/>
          <w:szCs w:val="20"/>
        </w:rPr>
        <w:t xml:space="preserve">on), </w:t>
      </w:r>
      <w:r>
        <w:rPr>
          <w:sz w:val="20"/>
          <w:szCs w:val="20"/>
          <w:u w:val="single"/>
        </w:rPr>
        <w:t>Section 4.3(a)</w:t>
      </w:r>
      <w:r>
        <w:rPr>
          <w:sz w:val="20"/>
          <w:szCs w:val="20"/>
        </w:rPr>
        <w:t xml:space="preserve"> (Capitalization), </w:t>
      </w:r>
      <w:r>
        <w:rPr>
          <w:sz w:val="20"/>
          <w:szCs w:val="20"/>
          <w:u w:val="single"/>
        </w:rPr>
        <w:t>Section 4.4(a)</w:t>
      </w:r>
      <w:r>
        <w:rPr>
          <w:sz w:val="20"/>
          <w:szCs w:val="20"/>
        </w:rPr>
        <w:t xml:space="preserve"> (Authorization), </w:t>
      </w:r>
      <w:r>
        <w:rPr>
          <w:sz w:val="20"/>
          <w:szCs w:val="20"/>
          <w:u w:val="single"/>
        </w:rPr>
        <w:t>Section 4.10(b)</w:t>
      </w:r>
      <w:r>
        <w:rPr>
          <w:sz w:val="20"/>
          <w:szCs w:val="20"/>
        </w:rPr>
        <w:t xml:space="preserve"> (Absence of Certain Changes) and </w:t>
      </w:r>
      <w:r>
        <w:rPr>
          <w:sz w:val="20"/>
          <w:szCs w:val="20"/>
          <w:u w:val="single"/>
        </w:rPr>
        <w:t>Section 4.17</w:t>
      </w:r>
      <w:r>
        <w:rPr>
          <w:sz w:val="20"/>
          <w:szCs w:val="20"/>
        </w:rPr>
        <w:t xml:space="preserve"> (Brokers or Finders), the representations and warranties of the Company contained in this Agreement, for the purpose of this</w:t>
      </w:r>
      <w:r>
        <w:rPr>
          <w:sz w:val="20"/>
          <w:szCs w:val="20"/>
        </w:rPr>
        <w:t xml:space="preserve"> clause (i) without giving effect to any limitation as to “materiality” or “Company Material Adverse Effect” or any similar standard or qualification set forth therein, shall be true and correct in all respects as of the date hereof and as of the Closing D</w:t>
      </w:r>
      <w:r>
        <w:rPr>
          <w:sz w:val="20"/>
          <w:szCs w:val="20"/>
        </w:rPr>
        <w:t>ate, as though made on and as of such date and time (other than those representations and warranties that address matters only as of a particular date or only with respect to a specific period of time, which representations and warranties need only be true</w:t>
      </w:r>
      <w:r>
        <w:rPr>
          <w:sz w:val="20"/>
          <w:szCs w:val="20"/>
        </w:rPr>
        <w:t xml:space="preserve"> and correct as of such date or with respect to such period), except to the extent such failures to be true and correct, individually or in the aggregate, has not had and would not reasonably be expected to have a Company Material Adverse Effect; and (ii) </w:t>
      </w:r>
      <w:r>
        <w:rPr>
          <w:sz w:val="20"/>
          <w:szCs w:val="20"/>
        </w:rPr>
        <w:t xml:space="preserve">the representations and warranties set forth in </w:t>
      </w:r>
      <w:r>
        <w:rPr>
          <w:sz w:val="20"/>
          <w:szCs w:val="20"/>
          <w:u w:val="single"/>
        </w:rPr>
        <w:t>Section 4.1</w:t>
      </w:r>
      <w:r>
        <w:rPr>
          <w:sz w:val="20"/>
          <w:szCs w:val="20"/>
        </w:rPr>
        <w:t xml:space="preserve"> (Organization), </w:t>
      </w:r>
      <w:r>
        <w:rPr>
          <w:sz w:val="20"/>
          <w:szCs w:val="20"/>
          <w:u w:val="single"/>
        </w:rPr>
        <w:t>Section 4.3(a)</w:t>
      </w:r>
      <w:r>
        <w:rPr>
          <w:sz w:val="20"/>
          <w:szCs w:val="20"/>
        </w:rPr>
        <w:t xml:space="preserve"> (Capitalization), </w:t>
      </w:r>
      <w:r>
        <w:rPr>
          <w:sz w:val="20"/>
          <w:szCs w:val="20"/>
          <w:u w:val="single"/>
        </w:rPr>
        <w:t>Section 4.4(a)</w:t>
      </w:r>
      <w:r>
        <w:rPr>
          <w:sz w:val="20"/>
          <w:szCs w:val="20"/>
        </w:rPr>
        <w:t xml:space="preserve"> (Authorization), </w:t>
      </w:r>
      <w:r>
        <w:rPr>
          <w:sz w:val="20"/>
          <w:szCs w:val="20"/>
          <w:u w:val="single"/>
        </w:rPr>
        <w:t>Section 4.10(b)</w:t>
      </w:r>
      <w:r>
        <w:rPr>
          <w:sz w:val="20"/>
          <w:szCs w:val="20"/>
        </w:rPr>
        <w:t xml:space="preserve"> (Absence of Certain Changes) and </w:t>
      </w:r>
      <w:r>
        <w:rPr>
          <w:sz w:val="20"/>
          <w:szCs w:val="20"/>
          <w:u w:val="single"/>
        </w:rPr>
        <w:t>Section 4.17</w:t>
      </w:r>
      <w:r>
        <w:rPr>
          <w:sz w:val="20"/>
          <w:szCs w:val="20"/>
        </w:rPr>
        <w:t xml:space="preserve"> (Brokers or Finders) shall be true and correct in all</w:t>
      </w:r>
      <w:r>
        <w:rPr>
          <w:sz w:val="20"/>
          <w:szCs w:val="20"/>
        </w:rPr>
        <w:t xml:space="preserve"> respects (except, for </w:t>
      </w:r>
      <w:r>
        <w:rPr>
          <w:i/>
          <w:iCs/>
          <w:sz w:val="20"/>
          <w:szCs w:val="20"/>
        </w:rPr>
        <w:t>de minimis</w:t>
      </w:r>
      <w:r>
        <w:rPr>
          <w:sz w:val="20"/>
          <w:szCs w:val="20"/>
        </w:rPr>
        <w:t> inaccuracies) as of the date hereof and as of the Closing Date, as though made on and as of such date and time (except to the extent expressly made as of an earlier date, in which case as of such earlier date);</w:t>
      </w:r>
    </w:p>
    <w:p w14:paraId="4EC82D8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0887CB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lastRenderedPageBreak/>
        <w:t>(b) the C</w:t>
      </w:r>
      <w:r>
        <w:rPr>
          <w:sz w:val="20"/>
          <w:szCs w:val="20"/>
        </w:rPr>
        <w:t>ompany shall have performed all obligations and complied with all covenants, in each case in all material respects, required by this Agreement to be performed or complied with by it at or prior to the Closing;</w:t>
      </w:r>
    </w:p>
    <w:p w14:paraId="3F26954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638F82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(c) no Company Material Adverse Effect shall</w:t>
      </w:r>
      <w:r>
        <w:rPr>
          <w:sz w:val="20"/>
          <w:szCs w:val="20"/>
        </w:rPr>
        <w:t xml:space="preserve"> have occurred and be continuing following the date of this Agreement; and</w:t>
      </w:r>
    </w:p>
    <w:p w14:paraId="12945DE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0E29B04"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(d) the Company shall have delivered to Parent a certificate, dated as of the Closing Date, signed by a senior executive officer of the Company, certifying to the satisfaction of </w:t>
      </w:r>
      <w:r>
        <w:rPr>
          <w:sz w:val="20"/>
          <w:szCs w:val="20"/>
        </w:rPr>
        <w:t xml:space="preserve">the conditions specified in </w:t>
      </w:r>
      <w:r>
        <w:rPr>
          <w:sz w:val="20"/>
          <w:szCs w:val="20"/>
          <w:u w:val="single"/>
        </w:rPr>
        <w:t>Section 8.2(a)</w:t>
      </w:r>
      <w:r>
        <w:rPr>
          <w:sz w:val="20"/>
          <w:szCs w:val="20"/>
        </w:rPr>
        <w:t xml:space="preserve">, </w:t>
      </w:r>
      <w:r>
        <w:rPr>
          <w:sz w:val="20"/>
          <w:szCs w:val="20"/>
          <w:u w:val="single"/>
        </w:rPr>
        <w:t>Section 8.2(b)</w:t>
      </w:r>
      <w:r>
        <w:rPr>
          <w:sz w:val="20"/>
          <w:szCs w:val="20"/>
        </w:rPr>
        <w:t xml:space="preserve"> and </w:t>
      </w:r>
      <w:r>
        <w:rPr>
          <w:sz w:val="20"/>
          <w:szCs w:val="20"/>
          <w:u w:val="single"/>
        </w:rPr>
        <w:t>Section 8.2(c)</w:t>
      </w:r>
      <w:r>
        <w:rPr>
          <w:sz w:val="20"/>
          <w:szCs w:val="20"/>
        </w:rPr>
        <w:t>.</w:t>
      </w:r>
    </w:p>
    <w:p w14:paraId="7061C23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164A90B"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8.3 </w:t>
      </w:r>
      <w:r>
        <w:rPr>
          <w:sz w:val="20"/>
          <w:szCs w:val="20"/>
          <w:u w:val="single"/>
        </w:rPr>
        <w:t>Additional Conditions to Company’s Obligations to Effect the Merger</w:t>
      </w:r>
      <w:r>
        <w:rPr>
          <w:sz w:val="20"/>
          <w:szCs w:val="20"/>
        </w:rPr>
        <w:t>. The obligations of the Company to effect the Merger are subject to the satisfaction (or waiver</w:t>
      </w:r>
      <w:r>
        <w:rPr>
          <w:sz w:val="20"/>
          <w:szCs w:val="20"/>
        </w:rPr>
        <w:t xml:space="preserve"> by Company) of the following conditions:</w:t>
      </w:r>
    </w:p>
    <w:p w14:paraId="3DB60EF2"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C682ED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the representations and warranties of each of Parent and Merger Sub contained in this Agreement shall be true and correct as of the date hereof and as of the Closing Date, as though made on and as of such dat</w:t>
      </w:r>
      <w:r>
        <w:rPr>
          <w:sz w:val="20"/>
          <w:szCs w:val="20"/>
        </w:rPr>
        <w:t>e and time (other than those representations and warranties that address matters only as of a particular date or only with respect to a specific period of time, which representations and warranties need only be true and correct as of such date or with resp</w:t>
      </w:r>
      <w:r>
        <w:rPr>
          <w:sz w:val="20"/>
          <w:szCs w:val="20"/>
        </w:rPr>
        <w:t xml:space="preserve">ect to such period), except where the failure of such representations and warranties of Parent or Merger Sub to be so true and correct, without giving effect to any limitation as to “materiality” or “Parent Material Adverse Effect” or any similar standard </w:t>
      </w:r>
      <w:r>
        <w:rPr>
          <w:sz w:val="20"/>
          <w:szCs w:val="20"/>
        </w:rPr>
        <w:t>or qualification set forth therein, would not individually or in the aggregate, have a Parent Material Adverse Effect;</w:t>
      </w:r>
    </w:p>
    <w:p w14:paraId="13D88D5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5B25F9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(b) Parent and Merger Sub shall have performed all obligations and complied with all covenants, in each case in all material respects, </w:t>
      </w:r>
      <w:r>
        <w:rPr>
          <w:sz w:val="20"/>
          <w:szCs w:val="20"/>
        </w:rPr>
        <w:t>required by this Agreement to be performed or complied with by it at or prior to the Closing; and</w:t>
      </w:r>
    </w:p>
    <w:p w14:paraId="570B58FC" w14:textId="77777777" w:rsidR="00000000" w:rsidRDefault="002F725F">
      <w:pPr>
        <w:pStyle w:val="NormalWeb"/>
        <w:spacing w:before="0" w:beforeAutospacing="0" w:after="0" w:afterAutospacing="0"/>
        <w:jc w:val="center"/>
        <w:divId w:val="127162127"/>
        <w:rPr>
          <w:sz w:val="20"/>
          <w:szCs w:val="20"/>
        </w:rPr>
      </w:pPr>
      <w:r>
        <w:rPr>
          <w:sz w:val="20"/>
          <w:szCs w:val="20"/>
        </w:rPr>
        <w:t>A</w:t>
      </w:r>
      <w:r>
        <w:rPr>
          <w:sz w:val="20"/>
          <w:szCs w:val="20"/>
        </w:rPr>
        <w:t>-</w:t>
      </w:r>
      <w:r>
        <w:rPr>
          <w:sz w:val="20"/>
          <w:szCs w:val="20"/>
        </w:rPr>
        <w:t>4</w:t>
      </w:r>
      <w:r>
        <w:rPr>
          <w:sz w:val="20"/>
          <w:szCs w:val="20"/>
        </w:rPr>
        <w:t>5</w:t>
      </w:r>
    </w:p>
    <w:p w14:paraId="6961B00F" w14:textId="77777777" w:rsidR="00000000" w:rsidRDefault="002F725F">
      <w:pPr>
        <w:pStyle w:val="NormalWeb"/>
        <w:spacing w:before="0" w:beforeAutospacing="0" w:after="0" w:afterAutospacing="0"/>
        <w:divId w:val="102501152"/>
        <w:rPr>
          <w:sz w:val="20"/>
          <w:szCs w:val="20"/>
        </w:rPr>
      </w:pPr>
      <w:r>
        <w:rPr>
          <w:sz w:val="20"/>
          <w:szCs w:val="20"/>
        </w:rPr>
        <w:t> </w:t>
      </w:r>
    </w:p>
    <w:p w14:paraId="63AC1A9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5C852FA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(c) each of Parent and Merger Sub shall have delivered to the Company a certificate, dated as of the Closing Date, signed by a director of each of Pa</w:t>
      </w:r>
      <w:r>
        <w:rPr>
          <w:sz w:val="20"/>
          <w:szCs w:val="20"/>
        </w:rPr>
        <w:t xml:space="preserve">rent and Merger Sub, as the case may be, certifying as to the satisfaction of the conditions specified in </w:t>
      </w:r>
      <w:r>
        <w:rPr>
          <w:sz w:val="20"/>
          <w:szCs w:val="20"/>
          <w:u w:val="single"/>
        </w:rPr>
        <w:t>Section 8.3(a)</w:t>
      </w:r>
      <w:r>
        <w:rPr>
          <w:sz w:val="20"/>
          <w:szCs w:val="20"/>
        </w:rPr>
        <w:t xml:space="preserve"> and </w:t>
      </w:r>
      <w:r>
        <w:rPr>
          <w:sz w:val="20"/>
          <w:szCs w:val="20"/>
          <w:u w:val="single"/>
        </w:rPr>
        <w:t>Section 8.3(b)</w:t>
      </w:r>
      <w:r>
        <w:rPr>
          <w:sz w:val="20"/>
          <w:szCs w:val="20"/>
        </w:rPr>
        <w:t>.</w:t>
      </w:r>
    </w:p>
    <w:p w14:paraId="7C8306B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9A598E2"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8.4 </w:t>
      </w:r>
      <w:r>
        <w:rPr>
          <w:sz w:val="20"/>
          <w:szCs w:val="20"/>
          <w:u w:val="single"/>
        </w:rPr>
        <w:t>Frustration of Conditions</w:t>
      </w:r>
      <w:r>
        <w:rPr>
          <w:sz w:val="20"/>
          <w:szCs w:val="20"/>
        </w:rPr>
        <w:t>. None of the Company, Parent or Merger Sub may rely on the failure of any c</w:t>
      </w:r>
      <w:r>
        <w:rPr>
          <w:sz w:val="20"/>
          <w:szCs w:val="20"/>
        </w:rPr>
        <w:t xml:space="preserve">ondition set forth in this </w:t>
      </w:r>
      <w:r>
        <w:rPr>
          <w:sz w:val="20"/>
          <w:szCs w:val="20"/>
          <w:u w:val="single"/>
        </w:rPr>
        <w:t>Article VIII</w:t>
      </w:r>
      <w:r>
        <w:rPr>
          <w:sz w:val="20"/>
          <w:szCs w:val="20"/>
        </w:rPr>
        <w:t xml:space="preserve"> to be satisfied if such failure was caused by such Party’s failure to comply with this Agreement.</w:t>
      </w:r>
    </w:p>
    <w:p w14:paraId="70E7006C"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690825C5"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Article IX</w:t>
      </w:r>
      <w:r>
        <w:rPr>
          <w:b/>
          <w:bCs/>
          <w:caps/>
          <w:sz w:val="20"/>
          <w:szCs w:val="20"/>
        </w:rPr>
        <w:br/>
        <w:t>TERMINATION</w:t>
      </w:r>
    </w:p>
    <w:p w14:paraId="789DDE30"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5B61DFA8"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9.1 </w:t>
      </w:r>
      <w:r>
        <w:rPr>
          <w:sz w:val="20"/>
          <w:szCs w:val="20"/>
          <w:u w:val="single"/>
        </w:rPr>
        <w:t>Termination</w:t>
      </w:r>
      <w:r>
        <w:rPr>
          <w:sz w:val="20"/>
          <w:szCs w:val="20"/>
        </w:rPr>
        <w:t>. This Agreement may be terminated and the Transactions may be abandoned (except as otherwise provided below) only at any time prior to the Effective Time and only as follows:</w:t>
      </w:r>
    </w:p>
    <w:p w14:paraId="54CE129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0AAF2B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(a) by the mutual written agreement of the Company (in accordance with </w:t>
      </w:r>
      <w:r>
        <w:rPr>
          <w:sz w:val="20"/>
          <w:szCs w:val="20"/>
          <w:u w:val="single"/>
        </w:rPr>
        <w:t>Section</w:t>
      </w:r>
      <w:r>
        <w:rPr>
          <w:sz w:val="20"/>
          <w:szCs w:val="20"/>
          <w:u w:val="single"/>
        </w:rPr>
        <w:t xml:space="preserve"> 10.16</w:t>
      </w:r>
      <w:r>
        <w:rPr>
          <w:sz w:val="20"/>
          <w:szCs w:val="20"/>
        </w:rPr>
        <w:t>) and Parent; or</w:t>
      </w:r>
    </w:p>
    <w:p w14:paraId="392CEB4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B4AFC7B"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(b) by either the Company (in accordance with </w:t>
      </w:r>
      <w:r>
        <w:rPr>
          <w:sz w:val="20"/>
          <w:szCs w:val="20"/>
          <w:u w:val="single"/>
        </w:rPr>
        <w:t>Section 10.16</w:t>
      </w:r>
      <w:r>
        <w:rPr>
          <w:sz w:val="20"/>
          <w:szCs w:val="20"/>
        </w:rPr>
        <w:t>) or Parent:</w:t>
      </w:r>
    </w:p>
    <w:p w14:paraId="56C4B906"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53FAF9D0"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(1) if any Governmental Entity having competent jurisdiction shall have enacted, issued, promulgated, enforced or entered any Law or Order which is then in e</w:t>
      </w:r>
      <w:r>
        <w:rPr>
          <w:sz w:val="20"/>
          <w:szCs w:val="20"/>
        </w:rPr>
        <w:t>ffect or taken any other action, in each case, permanently restraining, enjoining or otherwise prohibiting the consummation of the Merger and such Order or other action shall have become final and non-appealable;</w:t>
      </w:r>
    </w:p>
    <w:p w14:paraId="5E4E8A36"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061917CE" w14:textId="77777777" w:rsidR="00000000" w:rsidRDefault="002F725F">
      <w:pPr>
        <w:pStyle w:val="NormalWeb"/>
        <w:spacing w:before="0" w:beforeAutospacing="0" w:after="0" w:afterAutospacing="0"/>
        <w:ind w:firstLine="2160"/>
        <w:jc w:val="both"/>
        <w:divId w:val="415980837"/>
        <w:rPr>
          <w:sz w:val="20"/>
          <w:szCs w:val="20"/>
        </w:rPr>
      </w:pPr>
      <w:r>
        <w:rPr>
          <w:sz w:val="20"/>
          <w:szCs w:val="20"/>
        </w:rPr>
        <w:lastRenderedPageBreak/>
        <w:t>(2) if the Company Shareholder Approval s</w:t>
      </w:r>
      <w:r>
        <w:rPr>
          <w:sz w:val="20"/>
          <w:szCs w:val="20"/>
        </w:rPr>
        <w:t>hall not have been obtained at the Shareholders’ Meeting (after taking into account any adjournment, postponement, or recess thereof); or</w:t>
      </w:r>
    </w:p>
    <w:p w14:paraId="0BB2F9AE"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6C213265"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(3) if the Merger shall not have occurred by the date falling nine (9) months from the date of this Agreement (the “</w:t>
      </w:r>
      <w:r>
        <w:rPr>
          <w:sz w:val="20"/>
          <w:szCs w:val="20"/>
          <w:u w:val="single"/>
        </w:rPr>
        <w:t>Termination Date</w:t>
      </w:r>
      <w:r>
        <w:rPr>
          <w:sz w:val="20"/>
          <w:szCs w:val="20"/>
        </w:rPr>
        <w:t>”);</w:t>
      </w:r>
    </w:p>
    <w:p w14:paraId="509730A5"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53320FC5" w14:textId="77777777" w:rsidR="00000000" w:rsidRDefault="002F725F">
      <w:pPr>
        <w:pStyle w:val="NormalWeb"/>
        <w:spacing w:before="0" w:beforeAutospacing="0" w:after="0" w:afterAutospacing="0"/>
        <w:jc w:val="both"/>
        <w:divId w:val="415980837"/>
        <w:rPr>
          <w:sz w:val="20"/>
          <w:szCs w:val="20"/>
        </w:rPr>
      </w:pPr>
      <w:r>
        <w:rPr>
          <w:sz w:val="20"/>
          <w:szCs w:val="20"/>
          <w:u w:val="single"/>
        </w:rPr>
        <w:t>provided</w:t>
      </w:r>
      <w:r>
        <w:rPr>
          <w:sz w:val="20"/>
          <w:szCs w:val="20"/>
        </w:rPr>
        <w:t xml:space="preserve">, that the right to terminate this Agreement pursuant to this </w:t>
      </w:r>
      <w:r>
        <w:rPr>
          <w:sz w:val="20"/>
          <w:szCs w:val="20"/>
          <w:u w:val="single"/>
        </w:rPr>
        <w:t>Section 9.1(b)</w:t>
      </w:r>
      <w:r>
        <w:rPr>
          <w:sz w:val="20"/>
          <w:szCs w:val="20"/>
        </w:rPr>
        <w:t xml:space="preserve"> shall not be available to any Party whose breach of, or failure to fulfill (or, in the case of Parent, any such breach or failure by Parent or Merger</w:t>
      </w:r>
      <w:r>
        <w:rPr>
          <w:sz w:val="20"/>
          <w:szCs w:val="20"/>
        </w:rPr>
        <w:t xml:space="preserve"> Sub), any of its obligations under this Agreement in any manner has been a primary cause of, or resulted in, the failure of the Merger to be consummated by the Termination Date or the applicable condition(s) being satisfied;</w:t>
      </w:r>
    </w:p>
    <w:p w14:paraId="4293CCA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B1E5B69"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(c) by the Company (in accor</w:t>
      </w:r>
      <w:r>
        <w:rPr>
          <w:sz w:val="20"/>
          <w:szCs w:val="20"/>
        </w:rPr>
        <w:t xml:space="preserve">dance with </w:t>
      </w:r>
      <w:r>
        <w:rPr>
          <w:sz w:val="20"/>
          <w:szCs w:val="20"/>
          <w:u w:val="single"/>
        </w:rPr>
        <w:t>Section 10.16</w:t>
      </w:r>
      <w:r>
        <w:rPr>
          <w:sz w:val="20"/>
          <w:szCs w:val="20"/>
        </w:rPr>
        <w:t>),</w:t>
      </w:r>
    </w:p>
    <w:p w14:paraId="16A5AEF4"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6D357804"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xml:space="preserve">(1) if a breach or failure of any representation, warranty or covenant of Parent or Merger Sub set forth in this Agreement shall have occurred, which breach or failure has given rise to the failure of a condition set forth in </w:t>
      </w:r>
      <w:r>
        <w:rPr>
          <w:sz w:val="20"/>
          <w:szCs w:val="20"/>
          <w:u w:val="single"/>
        </w:rPr>
        <w:t>S</w:t>
      </w:r>
      <w:r>
        <w:rPr>
          <w:sz w:val="20"/>
          <w:szCs w:val="20"/>
          <w:u w:val="single"/>
        </w:rPr>
        <w:t>ection 8.1</w:t>
      </w:r>
      <w:r>
        <w:rPr>
          <w:sz w:val="20"/>
          <w:szCs w:val="20"/>
        </w:rPr>
        <w:t xml:space="preserve"> or </w:t>
      </w:r>
      <w:r>
        <w:rPr>
          <w:sz w:val="20"/>
          <w:szCs w:val="20"/>
          <w:u w:val="single"/>
        </w:rPr>
        <w:t>Section 8.3</w:t>
      </w:r>
      <w:r>
        <w:rPr>
          <w:sz w:val="20"/>
          <w:szCs w:val="20"/>
        </w:rPr>
        <w:t xml:space="preserve"> and such breach or failure would not be capable of being cured prior to the Termination Date, or if capable of being cured, shall not have been cured within thirty (30) Business Days following the receipt by Parent or Merger Sub o</w:t>
      </w:r>
      <w:r>
        <w:rPr>
          <w:sz w:val="20"/>
          <w:szCs w:val="20"/>
        </w:rPr>
        <w:t xml:space="preserve">f written notice from the Company of such breach or failure stating the Company’s intention to terminate this Agreement pursuant to this </w:t>
      </w:r>
      <w:r>
        <w:rPr>
          <w:sz w:val="20"/>
          <w:szCs w:val="20"/>
          <w:u w:val="single"/>
        </w:rPr>
        <w:t>Section 9.1(c)(1)</w:t>
      </w:r>
      <w:r>
        <w:rPr>
          <w:sz w:val="20"/>
          <w:szCs w:val="20"/>
        </w:rPr>
        <w:t xml:space="preserve"> (or such shorter period of time that remains between the date the Company provides written notice of </w:t>
      </w:r>
      <w:r>
        <w:rPr>
          <w:sz w:val="20"/>
          <w:szCs w:val="20"/>
        </w:rPr>
        <w:t xml:space="preserve">such breach or failure and the Termination Date); </w:t>
      </w:r>
      <w:r>
        <w:rPr>
          <w:sz w:val="20"/>
          <w:szCs w:val="20"/>
          <w:u w:val="single"/>
        </w:rPr>
        <w:t>provided</w:t>
      </w:r>
      <w:r>
        <w:rPr>
          <w:sz w:val="20"/>
          <w:szCs w:val="20"/>
        </w:rPr>
        <w:t xml:space="preserve">, </w:t>
      </w:r>
      <w:r>
        <w:rPr>
          <w:sz w:val="20"/>
          <w:szCs w:val="20"/>
          <w:u w:val="single"/>
        </w:rPr>
        <w:t>however</w:t>
      </w:r>
      <w:r>
        <w:rPr>
          <w:sz w:val="20"/>
          <w:szCs w:val="20"/>
        </w:rPr>
        <w:t xml:space="preserve">, that the Company shall not have the right to terminate this Agreement pursuant to this </w:t>
      </w:r>
      <w:r>
        <w:rPr>
          <w:sz w:val="20"/>
          <w:szCs w:val="20"/>
          <w:u w:val="single"/>
        </w:rPr>
        <w:t>Section 9.1(c)(1)</w:t>
      </w:r>
      <w:r>
        <w:rPr>
          <w:sz w:val="20"/>
          <w:szCs w:val="20"/>
        </w:rPr>
        <w:t xml:space="preserve"> if it is then in material breach of this Agreement and such breach would result in</w:t>
      </w:r>
      <w:r>
        <w:rPr>
          <w:sz w:val="20"/>
          <w:szCs w:val="20"/>
        </w:rPr>
        <w:t xml:space="preserve"> any conditions to Closing set forth in </w:t>
      </w:r>
      <w:r>
        <w:rPr>
          <w:sz w:val="20"/>
          <w:szCs w:val="20"/>
          <w:u w:val="single"/>
        </w:rPr>
        <w:t>Section 8.1</w:t>
      </w:r>
      <w:r>
        <w:rPr>
          <w:sz w:val="20"/>
          <w:szCs w:val="20"/>
        </w:rPr>
        <w:t xml:space="preserve"> or </w:t>
      </w:r>
      <w:r>
        <w:rPr>
          <w:sz w:val="20"/>
          <w:szCs w:val="20"/>
          <w:u w:val="single"/>
        </w:rPr>
        <w:t>Section 8.2</w:t>
      </w:r>
      <w:r>
        <w:rPr>
          <w:sz w:val="20"/>
          <w:szCs w:val="20"/>
        </w:rPr>
        <w:t xml:space="preserve"> not being satisfied;</w:t>
      </w:r>
    </w:p>
    <w:p w14:paraId="374A2631"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32A7FFA4" w14:textId="77777777" w:rsidR="00000000" w:rsidRDefault="002F725F">
      <w:pPr>
        <w:pStyle w:val="NormalWeb"/>
        <w:spacing w:before="0" w:beforeAutospacing="0" w:after="0" w:afterAutospacing="0"/>
        <w:jc w:val="center"/>
        <w:divId w:val="1200824295"/>
        <w:rPr>
          <w:sz w:val="20"/>
          <w:szCs w:val="20"/>
        </w:rPr>
      </w:pPr>
      <w:r>
        <w:rPr>
          <w:sz w:val="20"/>
          <w:szCs w:val="20"/>
        </w:rPr>
        <w:t>A</w:t>
      </w:r>
      <w:r>
        <w:rPr>
          <w:sz w:val="20"/>
          <w:szCs w:val="20"/>
        </w:rPr>
        <w:t>-</w:t>
      </w:r>
      <w:r>
        <w:rPr>
          <w:sz w:val="20"/>
          <w:szCs w:val="20"/>
        </w:rPr>
        <w:t>4</w:t>
      </w:r>
      <w:r>
        <w:rPr>
          <w:sz w:val="20"/>
          <w:szCs w:val="20"/>
        </w:rPr>
        <w:t>6</w:t>
      </w:r>
    </w:p>
    <w:p w14:paraId="7207083F" w14:textId="77777777" w:rsidR="00000000" w:rsidRDefault="002F725F">
      <w:pPr>
        <w:pStyle w:val="NormalWeb"/>
        <w:spacing w:before="0" w:beforeAutospacing="0" w:after="0" w:afterAutospacing="0"/>
        <w:divId w:val="1991667435"/>
        <w:rPr>
          <w:sz w:val="20"/>
          <w:szCs w:val="20"/>
        </w:rPr>
      </w:pPr>
      <w:r>
        <w:rPr>
          <w:sz w:val="20"/>
          <w:szCs w:val="20"/>
        </w:rPr>
        <w:t> </w:t>
      </w:r>
    </w:p>
    <w:p w14:paraId="12D458A4"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775959E0"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xml:space="preserve">(2) if, prior to obtaining the Company Shareholder Approval, the Board or the Special Committee (in accordance with </w:t>
      </w:r>
      <w:r>
        <w:rPr>
          <w:sz w:val="20"/>
          <w:szCs w:val="20"/>
          <w:u w:val="single"/>
        </w:rPr>
        <w:t>Section 10.16</w:t>
      </w:r>
      <w:r>
        <w:rPr>
          <w:sz w:val="20"/>
          <w:szCs w:val="20"/>
        </w:rPr>
        <w:t>) shall have determined to m</w:t>
      </w:r>
      <w:r>
        <w:rPr>
          <w:sz w:val="20"/>
          <w:szCs w:val="20"/>
        </w:rPr>
        <w:t xml:space="preserve">ake a Change in Company Recommendation in respect of a Superior Proposal and terminate this Agreement in accordance with </w:t>
      </w:r>
      <w:r>
        <w:rPr>
          <w:sz w:val="20"/>
          <w:szCs w:val="20"/>
          <w:u w:val="single"/>
        </w:rPr>
        <w:t>Section 6.2(f)(2)</w:t>
      </w:r>
      <w:r>
        <w:rPr>
          <w:sz w:val="20"/>
          <w:szCs w:val="20"/>
        </w:rPr>
        <w:t xml:space="preserve">; </w:t>
      </w:r>
      <w:r>
        <w:rPr>
          <w:sz w:val="20"/>
          <w:szCs w:val="20"/>
          <w:u w:val="single"/>
        </w:rPr>
        <w:t>provided</w:t>
      </w:r>
      <w:r>
        <w:rPr>
          <w:sz w:val="20"/>
          <w:szCs w:val="20"/>
        </w:rPr>
        <w:t>, that substantially concurrently with or immediately after the termination of this Agreement by the Company</w:t>
      </w:r>
      <w:r>
        <w:rPr>
          <w:sz w:val="20"/>
          <w:szCs w:val="20"/>
        </w:rPr>
        <w:t xml:space="preserve"> pursuant to this </w:t>
      </w:r>
      <w:r>
        <w:rPr>
          <w:sz w:val="20"/>
          <w:szCs w:val="20"/>
          <w:u w:val="single"/>
        </w:rPr>
        <w:t>Section 9.1(c)(2)</w:t>
      </w:r>
      <w:r>
        <w:rPr>
          <w:sz w:val="20"/>
          <w:szCs w:val="20"/>
        </w:rPr>
        <w:t xml:space="preserve">, the Company enters into definitive binding transaction documents with respect to the relevant Superior Proposal and the Company pays to Parent the Company Termination Fee in immediately available funds; </w:t>
      </w:r>
      <w:r>
        <w:rPr>
          <w:sz w:val="20"/>
          <w:szCs w:val="20"/>
          <w:u w:val="single"/>
        </w:rPr>
        <w:t>provided further</w:t>
      </w:r>
      <w:r>
        <w:rPr>
          <w:sz w:val="20"/>
          <w:szCs w:val="20"/>
        </w:rPr>
        <w:t xml:space="preserve">, that the Company shall not be entitled to terminate this Agreement pursuant to this </w:t>
      </w:r>
      <w:r>
        <w:rPr>
          <w:sz w:val="20"/>
          <w:szCs w:val="20"/>
          <w:u w:val="single"/>
        </w:rPr>
        <w:t>Section 9.1(c)(2)</w:t>
      </w:r>
      <w:r>
        <w:rPr>
          <w:sz w:val="20"/>
          <w:szCs w:val="20"/>
        </w:rPr>
        <w:t xml:space="preserve"> unless the Company has complied with the requirements of </w:t>
      </w:r>
      <w:r>
        <w:rPr>
          <w:sz w:val="20"/>
          <w:szCs w:val="20"/>
          <w:u w:val="single"/>
        </w:rPr>
        <w:t>Section 6.2</w:t>
      </w:r>
      <w:r>
        <w:rPr>
          <w:sz w:val="20"/>
          <w:szCs w:val="20"/>
        </w:rPr>
        <w:t xml:space="preserve"> with respect to such Superior Proposal (other than immaterial non-compliance that d</w:t>
      </w:r>
      <w:r>
        <w:rPr>
          <w:sz w:val="20"/>
          <w:szCs w:val="20"/>
        </w:rPr>
        <w:t xml:space="preserve">oes not adversely affect Parent and Merger Sub). Any purported termination pursuant to this </w:t>
      </w:r>
      <w:r>
        <w:rPr>
          <w:sz w:val="20"/>
          <w:szCs w:val="20"/>
          <w:u w:val="single"/>
        </w:rPr>
        <w:t>Section 9.1(c)(2)</w:t>
      </w:r>
      <w:r>
        <w:rPr>
          <w:sz w:val="20"/>
          <w:szCs w:val="20"/>
        </w:rPr>
        <w:t xml:space="preserve"> shall be void and of no force or effect if the Company shall not have paid the Company Termination Fee in full in accordance with this </w:t>
      </w:r>
      <w:r>
        <w:rPr>
          <w:sz w:val="20"/>
          <w:szCs w:val="20"/>
          <w:u w:val="single"/>
        </w:rPr>
        <w:t>Section 9.1</w:t>
      </w:r>
      <w:r>
        <w:rPr>
          <w:sz w:val="20"/>
          <w:szCs w:val="20"/>
          <w:u w:val="single"/>
        </w:rPr>
        <w:t>(c)(2)</w:t>
      </w:r>
      <w:r>
        <w:rPr>
          <w:sz w:val="20"/>
          <w:szCs w:val="20"/>
        </w:rPr>
        <w:t xml:space="preserve"> and </w:t>
      </w:r>
      <w:r>
        <w:rPr>
          <w:sz w:val="20"/>
          <w:szCs w:val="20"/>
          <w:u w:val="single"/>
        </w:rPr>
        <w:t>Section 9.3(a)</w:t>
      </w:r>
      <w:r>
        <w:rPr>
          <w:sz w:val="20"/>
          <w:szCs w:val="20"/>
        </w:rPr>
        <w:t>; or</w:t>
      </w:r>
    </w:p>
    <w:p w14:paraId="39D9DF76"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765E79B8"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xml:space="preserve">(3) if (i) all the conditions set forth in </w:t>
      </w:r>
      <w:r>
        <w:rPr>
          <w:sz w:val="20"/>
          <w:szCs w:val="20"/>
          <w:u w:val="single"/>
        </w:rPr>
        <w:t>Section 8.1</w:t>
      </w:r>
      <w:r>
        <w:rPr>
          <w:sz w:val="20"/>
          <w:szCs w:val="20"/>
        </w:rPr>
        <w:t xml:space="preserve"> and </w:t>
      </w:r>
      <w:r>
        <w:rPr>
          <w:sz w:val="20"/>
          <w:szCs w:val="20"/>
          <w:u w:val="single"/>
        </w:rPr>
        <w:t>Section 8.2</w:t>
      </w:r>
      <w:r>
        <w:rPr>
          <w:sz w:val="20"/>
          <w:szCs w:val="20"/>
        </w:rPr>
        <w:t xml:space="preserve"> (other than those conditions that by their </w:t>
      </w:r>
      <w:r>
        <w:rPr>
          <w:sz w:val="20"/>
          <w:szCs w:val="20"/>
        </w:rPr>
        <w:t>nature are to be satisfied at the Closing, but each of which was at the time of termination capable of being satisfied as if such time were the Closing) have been satisfied or waived; (ii) the Company has irrevocably confirmed in writing to Parent that (A)</w:t>
      </w:r>
      <w:r>
        <w:rPr>
          <w:sz w:val="20"/>
          <w:szCs w:val="20"/>
        </w:rPr>
        <w:t xml:space="preserve"> all the conditions set forth in </w:t>
      </w:r>
      <w:r>
        <w:rPr>
          <w:sz w:val="20"/>
          <w:szCs w:val="20"/>
          <w:u w:val="single"/>
        </w:rPr>
        <w:t>Section 8.3</w:t>
      </w:r>
      <w:r>
        <w:rPr>
          <w:sz w:val="20"/>
          <w:szCs w:val="20"/>
        </w:rPr>
        <w:t xml:space="preserve"> have been satisfied (other than those conditions that by their nature are to be satisfied at the Closing) or that the Company is willing to waive any unsatisfied conditions in </w:t>
      </w:r>
      <w:r>
        <w:rPr>
          <w:sz w:val="20"/>
          <w:szCs w:val="20"/>
          <w:u w:val="single"/>
        </w:rPr>
        <w:t>Section 8.3</w:t>
      </w:r>
      <w:r>
        <w:rPr>
          <w:sz w:val="20"/>
          <w:szCs w:val="20"/>
        </w:rPr>
        <w:t>; and (B) the Company is</w:t>
      </w:r>
      <w:r>
        <w:rPr>
          <w:sz w:val="20"/>
          <w:szCs w:val="20"/>
        </w:rPr>
        <w:t xml:space="preserve"> ready, willing and able to consummate the Closing; and (iii) Parent and Merger Sub fail to consummate the Closing within ten (10) Business Days following the date on which the Closing should have occurred pursuant to </w:t>
      </w:r>
      <w:r>
        <w:rPr>
          <w:sz w:val="20"/>
          <w:szCs w:val="20"/>
          <w:u w:val="single"/>
        </w:rPr>
        <w:t>Section 2.2</w:t>
      </w:r>
      <w:r>
        <w:rPr>
          <w:sz w:val="20"/>
          <w:szCs w:val="20"/>
        </w:rPr>
        <w:t>.</w:t>
      </w:r>
    </w:p>
    <w:p w14:paraId="21708F7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63C996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(d) by Parent,</w:t>
      </w:r>
    </w:p>
    <w:p w14:paraId="0DD4ED37"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3C9D1BD7"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(1) if</w:t>
      </w:r>
      <w:r>
        <w:rPr>
          <w:sz w:val="20"/>
          <w:szCs w:val="20"/>
        </w:rPr>
        <w:t xml:space="preserve"> a breach or failure of any representation, warranty or covenant of the Company set forth in this Agreement shall have occurred, which breach or failure has given rise to or would reasonably be expected to give rise to the failure of a condition set forth </w:t>
      </w:r>
      <w:r>
        <w:rPr>
          <w:sz w:val="20"/>
          <w:szCs w:val="20"/>
        </w:rPr>
        <w:t xml:space="preserve">in </w:t>
      </w:r>
      <w:r>
        <w:rPr>
          <w:sz w:val="20"/>
          <w:szCs w:val="20"/>
          <w:u w:val="single"/>
        </w:rPr>
        <w:t>Section 8.1</w:t>
      </w:r>
      <w:r>
        <w:rPr>
          <w:sz w:val="20"/>
          <w:szCs w:val="20"/>
        </w:rPr>
        <w:t xml:space="preserve"> or </w:t>
      </w:r>
      <w:r>
        <w:rPr>
          <w:sz w:val="20"/>
          <w:szCs w:val="20"/>
          <w:u w:val="single"/>
        </w:rPr>
        <w:t>Section 8.2</w:t>
      </w:r>
      <w:r>
        <w:rPr>
          <w:sz w:val="20"/>
          <w:szCs w:val="20"/>
        </w:rPr>
        <w:t xml:space="preserve"> and such breach or failure would not be </w:t>
      </w:r>
      <w:r>
        <w:rPr>
          <w:sz w:val="20"/>
          <w:szCs w:val="20"/>
        </w:rPr>
        <w:lastRenderedPageBreak/>
        <w:t>capable of being cured prior to the Termination Date, or if capable of being cured, shall not have been cured within thirty (30) Business Days following the receipt by the Company of wri</w:t>
      </w:r>
      <w:r>
        <w:rPr>
          <w:sz w:val="20"/>
          <w:szCs w:val="20"/>
        </w:rPr>
        <w:t xml:space="preserve">tten notice from Parent of such breach or failure of condition stating Parent’s intention to terminate this Agreement pursuant to this </w:t>
      </w:r>
      <w:r>
        <w:rPr>
          <w:sz w:val="20"/>
          <w:szCs w:val="20"/>
          <w:u w:val="single"/>
        </w:rPr>
        <w:t>Section 9.1(d)(1)</w:t>
      </w:r>
      <w:r>
        <w:rPr>
          <w:sz w:val="20"/>
          <w:szCs w:val="20"/>
        </w:rPr>
        <w:t xml:space="preserve"> (or such shorter period of the time that remains between the date Parent provides written notice of suc</w:t>
      </w:r>
      <w:r>
        <w:rPr>
          <w:sz w:val="20"/>
          <w:szCs w:val="20"/>
        </w:rPr>
        <w:t xml:space="preserve">h breach or failure and the Termination Date); </w:t>
      </w:r>
      <w:r>
        <w:rPr>
          <w:sz w:val="20"/>
          <w:szCs w:val="20"/>
          <w:u w:val="single"/>
        </w:rPr>
        <w:t>provided</w:t>
      </w:r>
      <w:r>
        <w:rPr>
          <w:sz w:val="20"/>
          <w:szCs w:val="20"/>
        </w:rPr>
        <w:t xml:space="preserve">, that Parent shall not have the right to terminate this Agreement pursuant to this </w:t>
      </w:r>
      <w:r>
        <w:rPr>
          <w:sz w:val="20"/>
          <w:szCs w:val="20"/>
          <w:u w:val="single"/>
        </w:rPr>
        <w:t>Section 9.1(d)(1)</w:t>
      </w:r>
      <w:r>
        <w:rPr>
          <w:sz w:val="20"/>
          <w:szCs w:val="20"/>
        </w:rPr>
        <w:t xml:space="preserve"> if either Parent or Merger Sub is in material breach of this Agreement and such breach would result</w:t>
      </w:r>
      <w:r>
        <w:rPr>
          <w:sz w:val="20"/>
          <w:szCs w:val="20"/>
        </w:rPr>
        <w:t xml:space="preserve"> in any conditions to Closing set forth in </w:t>
      </w:r>
      <w:r>
        <w:rPr>
          <w:sz w:val="20"/>
          <w:szCs w:val="20"/>
          <w:u w:val="single"/>
        </w:rPr>
        <w:t>Section 8.1</w:t>
      </w:r>
      <w:r>
        <w:rPr>
          <w:sz w:val="20"/>
          <w:szCs w:val="20"/>
        </w:rPr>
        <w:t xml:space="preserve"> or </w:t>
      </w:r>
      <w:r>
        <w:rPr>
          <w:sz w:val="20"/>
          <w:szCs w:val="20"/>
          <w:u w:val="single"/>
        </w:rPr>
        <w:t>Section 8.3</w:t>
      </w:r>
      <w:r>
        <w:rPr>
          <w:sz w:val="20"/>
          <w:szCs w:val="20"/>
        </w:rPr>
        <w:t xml:space="preserve"> not being satisfied; or</w:t>
      </w:r>
    </w:p>
    <w:p w14:paraId="7241DE2B"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63F51A5E"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xml:space="preserve">(2) if the Board or the Special Committee (in accordance with </w:t>
      </w:r>
      <w:r>
        <w:rPr>
          <w:sz w:val="20"/>
          <w:szCs w:val="20"/>
          <w:u w:val="single"/>
        </w:rPr>
        <w:t>Section 10.16</w:t>
      </w:r>
      <w:r>
        <w:rPr>
          <w:sz w:val="20"/>
          <w:szCs w:val="20"/>
        </w:rPr>
        <w:t>) shall have effected a Change in Company Recommendation.</w:t>
      </w:r>
    </w:p>
    <w:p w14:paraId="4D018700" w14:textId="77777777" w:rsidR="00000000" w:rsidRDefault="002F725F">
      <w:pPr>
        <w:pStyle w:val="NormalWeb"/>
        <w:spacing w:before="0" w:beforeAutospacing="0" w:after="0" w:afterAutospacing="0"/>
        <w:ind w:firstLine="2160"/>
        <w:jc w:val="both"/>
        <w:divId w:val="415980837"/>
        <w:rPr>
          <w:sz w:val="20"/>
          <w:szCs w:val="20"/>
        </w:rPr>
      </w:pPr>
      <w:r>
        <w:rPr>
          <w:sz w:val="20"/>
          <w:szCs w:val="20"/>
        </w:rPr>
        <w:t> </w:t>
      </w:r>
    </w:p>
    <w:p w14:paraId="4EA4F8B2" w14:textId="77777777" w:rsidR="00000000" w:rsidRDefault="002F725F">
      <w:pPr>
        <w:pStyle w:val="NormalWeb"/>
        <w:spacing w:before="0" w:beforeAutospacing="0" w:after="0" w:afterAutospacing="0"/>
        <w:jc w:val="center"/>
        <w:divId w:val="1475171815"/>
        <w:rPr>
          <w:sz w:val="20"/>
          <w:szCs w:val="20"/>
        </w:rPr>
      </w:pPr>
      <w:r>
        <w:rPr>
          <w:sz w:val="20"/>
          <w:szCs w:val="20"/>
        </w:rPr>
        <w:t>A</w:t>
      </w:r>
      <w:r>
        <w:rPr>
          <w:sz w:val="20"/>
          <w:szCs w:val="20"/>
        </w:rPr>
        <w:t>-</w:t>
      </w:r>
      <w:r>
        <w:rPr>
          <w:sz w:val="20"/>
          <w:szCs w:val="20"/>
        </w:rPr>
        <w:t>4</w:t>
      </w:r>
      <w:r>
        <w:rPr>
          <w:sz w:val="20"/>
          <w:szCs w:val="20"/>
        </w:rPr>
        <w:t>7</w:t>
      </w:r>
    </w:p>
    <w:p w14:paraId="29E59B82" w14:textId="77777777" w:rsidR="00000000" w:rsidRDefault="002F725F">
      <w:pPr>
        <w:pStyle w:val="NormalWeb"/>
        <w:spacing w:before="0" w:beforeAutospacing="0" w:after="0" w:afterAutospacing="0"/>
        <w:divId w:val="686058098"/>
        <w:rPr>
          <w:sz w:val="20"/>
          <w:szCs w:val="20"/>
        </w:rPr>
      </w:pPr>
      <w:r>
        <w:rPr>
          <w:sz w:val="20"/>
          <w:szCs w:val="20"/>
        </w:rPr>
        <w:t> </w:t>
      </w:r>
    </w:p>
    <w:p w14:paraId="688B91B5"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D61B188"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9.2 </w:t>
      </w:r>
      <w:r>
        <w:rPr>
          <w:sz w:val="20"/>
          <w:szCs w:val="20"/>
          <w:u w:val="single"/>
        </w:rPr>
        <w:t>Effe</w:t>
      </w:r>
      <w:r>
        <w:rPr>
          <w:sz w:val="20"/>
          <w:szCs w:val="20"/>
          <w:u w:val="single"/>
        </w:rPr>
        <w:t>ct of Termination</w:t>
      </w:r>
      <w:r>
        <w:rPr>
          <w:sz w:val="20"/>
          <w:szCs w:val="20"/>
        </w:rPr>
        <w:t xml:space="preserve">. (a)The Party terminating this Agreement pursuant to </w:t>
      </w:r>
      <w:r>
        <w:rPr>
          <w:sz w:val="20"/>
          <w:szCs w:val="20"/>
          <w:u w:val="single"/>
        </w:rPr>
        <w:t>Section 9.1(b)</w:t>
      </w:r>
      <w:r>
        <w:rPr>
          <w:sz w:val="20"/>
          <w:szCs w:val="20"/>
        </w:rPr>
        <w:t xml:space="preserve">, </w:t>
      </w:r>
      <w:r>
        <w:rPr>
          <w:sz w:val="20"/>
          <w:szCs w:val="20"/>
          <w:u w:val="single"/>
        </w:rPr>
        <w:t>Section 9.1(c)</w:t>
      </w:r>
      <w:r>
        <w:rPr>
          <w:sz w:val="20"/>
          <w:szCs w:val="20"/>
        </w:rPr>
        <w:t xml:space="preserve"> or </w:t>
      </w:r>
      <w:r>
        <w:rPr>
          <w:sz w:val="20"/>
          <w:szCs w:val="20"/>
          <w:u w:val="single"/>
        </w:rPr>
        <w:t>Section 9.1(d)</w:t>
      </w:r>
      <w:r>
        <w:rPr>
          <w:sz w:val="20"/>
          <w:szCs w:val="20"/>
        </w:rPr>
        <w:t>, as the case may be, shall give written notice of such termination to the other Party in accordance with this Agreement specifying the p</w:t>
      </w:r>
      <w:r>
        <w:rPr>
          <w:sz w:val="20"/>
          <w:szCs w:val="20"/>
        </w:rPr>
        <w:t xml:space="preserve">rovision or provisions hereof pursuant to which such termination is being effected. In the event of the termination of this Agreement pursuant to </w:t>
      </w:r>
      <w:r>
        <w:rPr>
          <w:sz w:val="20"/>
          <w:szCs w:val="20"/>
          <w:u w:val="single"/>
        </w:rPr>
        <w:t>Section 9.1</w:t>
      </w:r>
      <w:r>
        <w:rPr>
          <w:sz w:val="20"/>
          <w:szCs w:val="20"/>
        </w:rPr>
        <w:t xml:space="preserve">, this Agreement shall forthwith become void, and there shall be no liability under this Agreement </w:t>
      </w:r>
      <w:r>
        <w:rPr>
          <w:sz w:val="20"/>
          <w:szCs w:val="20"/>
        </w:rPr>
        <w:t xml:space="preserve">on the part of any Party hereto; </w:t>
      </w:r>
      <w:r>
        <w:rPr>
          <w:sz w:val="20"/>
          <w:szCs w:val="20"/>
          <w:u w:val="single"/>
        </w:rPr>
        <w:t>provided</w:t>
      </w:r>
      <w:r>
        <w:rPr>
          <w:sz w:val="20"/>
          <w:szCs w:val="20"/>
        </w:rPr>
        <w:t xml:space="preserve">, that (a) the terms of </w:t>
      </w:r>
      <w:r>
        <w:rPr>
          <w:sz w:val="20"/>
          <w:szCs w:val="20"/>
          <w:u w:val="single"/>
        </w:rPr>
        <w:t>Article IX</w:t>
      </w:r>
      <w:r>
        <w:rPr>
          <w:sz w:val="20"/>
          <w:szCs w:val="20"/>
        </w:rPr>
        <w:t xml:space="preserve"> and </w:t>
      </w:r>
      <w:r>
        <w:rPr>
          <w:sz w:val="20"/>
          <w:szCs w:val="20"/>
          <w:u w:val="single"/>
        </w:rPr>
        <w:t>Article X</w:t>
      </w:r>
      <w:r>
        <w:rPr>
          <w:sz w:val="20"/>
          <w:szCs w:val="20"/>
        </w:rPr>
        <w:t xml:space="preserve"> shall survive any termination of this Agreement; and (b) subject to </w:t>
      </w:r>
      <w:r>
        <w:rPr>
          <w:sz w:val="20"/>
          <w:szCs w:val="20"/>
          <w:u w:val="single"/>
        </w:rPr>
        <w:t>Section 9.3(d)</w:t>
      </w:r>
      <w:r>
        <w:rPr>
          <w:sz w:val="20"/>
          <w:szCs w:val="20"/>
        </w:rPr>
        <w:t>, no Party shall be relieved or released from any liabilities or damages arising out</w:t>
      </w:r>
      <w:r>
        <w:rPr>
          <w:sz w:val="20"/>
          <w:szCs w:val="20"/>
        </w:rPr>
        <w:t xml:space="preserve"> of its fraud or willful and material breach of any provision of this Agreement prior to such termination or fraud.</w:t>
      </w:r>
    </w:p>
    <w:p w14:paraId="37E4940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70EF641"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9.3 </w:t>
      </w:r>
      <w:r>
        <w:rPr>
          <w:sz w:val="20"/>
          <w:szCs w:val="20"/>
          <w:u w:val="single"/>
        </w:rPr>
        <w:t>Fees Following Termination</w:t>
      </w:r>
      <w:r>
        <w:rPr>
          <w:sz w:val="20"/>
          <w:szCs w:val="20"/>
        </w:rPr>
        <w:t>.</w:t>
      </w:r>
    </w:p>
    <w:p w14:paraId="7409FA2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DCF4CA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The Company shall pay, or cause to be paid, to Parent or one or more of its designees an amo</w:t>
      </w:r>
      <w:r>
        <w:rPr>
          <w:sz w:val="20"/>
          <w:szCs w:val="20"/>
        </w:rPr>
        <w:t>unt in cash equal to US$550,000 (the “</w:t>
      </w:r>
      <w:r>
        <w:rPr>
          <w:sz w:val="20"/>
          <w:szCs w:val="20"/>
          <w:u w:val="single"/>
        </w:rPr>
        <w:t>Company Termination Fee</w:t>
      </w:r>
      <w:r>
        <w:rPr>
          <w:sz w:val="20"/>
          <w:szCs w:val="20"/>
        </w:rPr>
        <w:t xml:space="preserve">”) as directed by Parent by wire transfer of same day funds if this Agreement is terminated by (i) Parent pursuant to </w:t>
      </w:r>
      <w:r>
        <w:rPr>
          <w:sz w:val="20"/>
          <w:szCs w:val="20"/>
          <w:u w:val="single"/>
        </w:rPr>
        <w:t>Section 9.1(d)(1)</w:t>
      </w:r>
      <w:r>
        <w:rPr>
          <w:sz w:val="20"/>
          <w:szCs w:val="20"/>
        </w:rPr>
        <w:t xml:space="preserve"> or </w:t>
      </w:r>
      <w:r>
        <w:rPr>
          <w:sz w:val="20"/>
          <w:szCs w:val="20"/>
          <w:u w:val="single"/>
        </w:rPr>
        <w:t>Section 9.1(d)(2)</w:t>
      </w:r>
      <w:r>
        <w:rPr>
          <w:sz w:val="20"/>
          <w:szCs w:val="20"/>
        </w:rPr>
        <w:t xml:space="preserve">; (ii) the Company pursuant to </w:t>
      </w:r>
      <w:r>
        <w:rPr>
          <w:sz w:val="20"/>
          <w:szCs w:val="20"/>
          <w:u w:val="single"/>
        </w:rPr>
        <w:t xml:space="preserve">Section </w:t>
      </w:r>
      <w:r>
        <w:rPr>
          <w:sz w:val="20"/>
          <w:szCs w:val="20"/>
          <w:u w:val="single"/>
        </w:rPr>
        <w:t>9.1(c)(2)</w:t>
      </w:r>
      <w:r>
        <w:rPr>
          <w:sz w:val="20"/>
          <w:szCs w:val="20"/>
        </w:rPr>
        <w:t xml:space="preserve">; or (iii) the Company or Parent pursuant to </w:t>
      </w:r>
      <w:r>
        <w:rPr>
          <w:sz w:val="20"/>
          <w:szCs w:val="20"/>
          <w:u w:val="single"/>
        </w:rPr>
        <w:t>Section 9.1(b)(2)</w:t>
      </w:r>
      <w:r>
        <w:rPr>
          <w:sz w:val="20"/>
          <w:szCs w:val="20"/>
        </w:rPr>
        <w:t xml:space="preserve"> or </w:t>
      </w:r>
      <w:r>
        <w:rPr>
          <w:sz w:val="20"/>
          <w:szCs w:val="20"/>
          <w:u w:val="single"/>
        </w:rPr>
        <w:t>Section 9.1(b)(3)</w:t>
      </w:r>
      <w:r>
        <w:rPr>
          <w:sz w:val="20"/>
          <w:szCs w:val="20"/>
        </w:rPr>
        <w:t>; if in the case of this sub-clause (iii), at the time of such termination, a Competing Proposal shall have been made known to the Company, or shall have been publi</w:t>
      </w:r>
      <w:r>
        <w:rPr>
          <w:sz w:val="20"/>
          <w:szCs w:val="20"/>
        </w:rPr>
        <w:t>cly announced or publicly made known, and not publicly and unconditionally withdrawn prior to the earlier of the termination of this Agreement or the Shareholders’ Meeting, and within twelve (12) months after such termination the Company or any of its Subs</w:t>
      </w:r>
      <w:r>
        <w:rPr>
          <w:sz w:val="20"/>
          <w:szCs w:val="20"/>
        </w:rPr>
        <w:t xml:space="preserve">idiaries enters into a definitive agreement in connection with the same Competing Proposal referred to above that was later consummated or consummates such Competing Proposal, </w:t>
      </w:r>
      <w:r>
        <w:rPr>
          <w:sz w:val="20"/>
          <w:szCs w:val="20"/>
          <w:u w:val="single"/>
        </w:rPr>
        <w:t>provided</w:t>
      </w:r>
      <w:r>
        <w:rPr>
          <w:sz w:val="20"/>
          <w:szCs w:val="20"/>
        </w:rPr>
        <w:t xml:space="preserve"> that, for purposes of this </w:t>
      </w:r>
      <w:r>
        <w:rPr>
          <w:sz w:val="20"/>
          <w:szCs w:val="20"/>
          <w:u w:val="single"/>
        </w:rPr>
        <w:t>Section 9.3(a)</w:t>
      </w:r>
      <w:r>
        <w:rPr>
          <w:sz w:val="20"/>
          <w:szCs w:val="20"/>
        </w:rPr>
        <w:t>, all references to “20%” in t</w:t>
      </w:r>
      <w:r>
        <w:rPr>
          <w:sz w:val="20"/>
          <w:szCs w:val="20"/>
        </w:rPr>
        <w:t xml:space="preserve">he definition of “Competing Transaction” shall be deemed to be references to 50%. Such payment shall be made: (A) in the case of termination pursuant to sub-clauses (i) or (ii) above, as promptly as possible following such termination; and (B) in the case </w:t>
      </w:r>
      <w:r>
        <w:rPr>
          <w:sz w:val="20"/>
          <w:szCs w:val="20"/>
        </w:rPr>
        <w:t>of termination pursuant to sub-clause (iii) above, as promptly as possible following the consummation of the Competing Transaction mentioned in sub-clause (iii) above; it being agreed that in no event shall the Company be required to pay the Company Termin</w:t>
      </w:r>
      <w:r>
        <w:rPr>
          <w:sz w:val="20"/>
          <w:szCs w:val="20"/>
        </w:rPr>
        <w:t>ation Fee more than once.</w:t>
      </w:r>
    </w:p>
    <w:p w14:paraId="54BCF823"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0884382"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Parent shall pay, or cause to be paid, to the Company or one or more of its designees an amount in cash equal to US$1,100,000 (the “</w:t>
      </w:r>
      <w:r>
        <w:rPr>
          <w:sz w:val="20"/>
          <w:szCs w:val="20"/>
          <w:u w:val="single"/>
        </w:rPr>
        <w:t>Parent Termination Fee</w:t>
      </w:r>
      <w:r>
        <w:rPr>
          <w:sz w:val="20"/>
          <w:szCs w:val="20"/>
        </w:rPr>
        <w:t xml:space="preserve">”) if this Agreement is terminated by the Company pursuant to </w:t>
      </w:r>
      <w:r>
        <w:rPr>
          <w:sz w:val="20"/>
          <w:szCs w:val="20"/>
          <w:u w:val="single"/>
        </w:rPr>
        <w:t xml:space="preserve">Section </w:t>
      </w:r>
      <w:r>
        <w:rPr>
          <w:sz w:val="20"/>
          <w:szCs w:val="20"/>
          <w:u w:val="single"/>
        </w:rPr>
        <w:t>9.1(c)(1)</w:t>
      </w:r>
      <w:r>
        <w:rPr>
          <w:sz w:val="20"/>
          <w:szCs w:val="20"/>
        </w:rPr>
        <w:t xml:space="preserve"> or </w:t>
      </w:r>
      <w:r>
        <w:rPr>
          <w:sz w:val="20"/>
          <w:szCs w:val="20"/>
          <w:u w:val="single"/>
        </w:rPr>
        <w:t>Section 9.1(c)(3)</w:t>
      </w:r>
      <w:r>
        <w:rPr>
          <w:sz w:val="20"/>
          <w:szCs w:val="20"/>
        </w:rPr>
        <w:t>, such payment to be made by wire transfer of same day funds as promptly as possible following such termination; it being agreed that in no event shall the Parent be required to pay the Parent Termination Fee more than once.</w:t>
      </w:r>
    </w:p>
    <w:p w14:paraId="3692C88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82428C8"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(c) The Company, Parent and Merger Sub acknowledge that (i) the agreements contained in this </w:t>
      </w:r>
      <w:r>
        <w:rPr>
          <w:sz w:val="20"/>
          <w:szCs w:val="20"/>
          <w:u w:val="single"/>
        </w:rPr>
        <w:t>Section 9.3</w:t>
      </w:r>
      <w:r>
        <w:rPr>
          <w:sz w:val="20"/>
          <w:szCs w:val="20"/>
        </w:rPr>
        <w:t xml:space="preserve"> are an integral part of the Transactions and that, without these agreements, the Parties would not enter into this Agreement; and (ii) the damages res</w:t>
      </w:r>
      <w:r>
        <w:rPr>
          <w:sz w:val="20"/>
          <w:szCs w:val="20"/>
        </w:rPr>
        <w:t xml:space="preserve">ulting from termination of this Agreement under circumstances where a Company Termination Fee or Parent Termination Fee is payable are uncertain and incapable of accurate calculation and therefore, the amounts payable pursuant to </w:t>
      </w:r>
      <w:r>
        <w:rPr>
          <w:sz w:val="20"/>
          <w:szCs w:val="20"/>
          <w:u w:val="single"/>
        </w:rPr>
        <w:t>Section 9.3(a)</w:t>
      </w:r>
      <w:r>
        <w:rPr>
          <w:sz w:val="20"/>
          <w:szCs w:val="20"/>
        </w:rPr>
        <w:t xml:space="preserve"> or </w:t>
      </w:r>
      <w:r>
        <w:rPr>
          <w:sz w:val="20"/>
          <w:szCs w:val="20"/>
          <w:u w:val="single"/>
        </w:rPr>
        <w:t xml:space="preserve">Section </w:t>
      </w:r>
      <w:r>
        <w:rPr>
          <w:sz w:val="20"/>
          <w:szCs w:val="20"/>
          <w:u w:val="single"/>
        </w:rPr>
        <w:t>9.3(b)</w:t>
      </w:r>
      <w:r>
        <w:rPr>
          <w:sz w:val="20"/>
          <w:szCs w:val="20"/>
        </w:rPr>
        <w:t xml:space="preserve"> are not a penalty but rather constitute amounts akin to liquidated damages in a reasonable amount that will compensate Parent or the Company, as the case </w:t>
      </w:r>
      <w:r>
        <w:rPr>
          <w:sz w:val="20"/>
          <w:szCs w:val="20"/>
        </w:rPr>
        <w:lastRenderedPageBreak/>
        <w:t>may be, for the efforts and resources expended and opportunities foregone while negotiating thi</w:t>
      </w:r>
      <w:r>
        <w:rPr>
          <w:sz w:val="20"/>
          <w:szCs w:val="20"/>
        </w:rPr>
        <w:t xml:space="preserve">s Agreement and in reliance on this Agreement and on the expectation of the consummation of the Transactions. In the event that the Company shall fail to pay the Company Termination Fee or that Parent shall fail to pay the Parent Termination Fee, when due </w:t>
      </w:r>
      <w:r>
        <w:rPr>
          <w:sz w:val="20"/>
          <w:szCs w:val="20"/>
        </w:rPr>
        <w:t>and in accordance with this Agreement, and, in order to obtain such payment, the Company or Parent, as the case may be, shall reimburse the other Party for all reasonable costs and expenses actually incurred or accrued by the other Party (including, withou</w:t>
      </w:r>
      <w:r>
        <w:rPr>
          <w:sz w:val="20"/>
          <w:szCs w:val="20"/>
        </w:rPr>
        <w:t>t limitation, fees and expenses of counsel) in connection with the collection under and enforcement of this </w:t>
      </w:r>
      <w:r>
        <w:rPr>
          <w:sz w:val="20"/>
          <w:szCs w:val="20"/>
          <w:u w:val="single"/>
        </w:rPr>
        <w:t>Section 9.3</w:t>
      </w:r>
      <w:r>
        <w:rPr>
          <w:sz w:val="20"/>
          <w:szCs w:val="20"/>
        </w:rPr>
        <w:t>, together with interest on such unpaid Company Termination Fee or Parent Termination Fee, as the case may be, commencing on the date tha</w:t>
      </w:r>
      <w:r>
        <w:rPr>
          <w:sz w:val="20"/>
          <w:szCs w:val="20"/>
        </w:rPr>
        <w:t>t such overdue amount was originally required to be paid and ending on the date that such overdue amount is actually paid in full, at a rate per annum equal to the prime lending rate published in The Wall Street Journal in effect on the date such payment w</w:t>
      </w:r>
      <w:r>
        <w:rPr>
          <w:sz w:val="20"/>
          <w:szCs w:val="20"/>
        </w:rPr>
        <w:t>as required to be made. Such collection expenses shall not otherwise diminish in any way the payment obligations hereunder.</w:t>
      </w:r>
    </w:p>
    <w:p w14:paraId="5E3D418B"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F0856DF" w14:textId="77777777" w:rsidR="00000000" w:rsidRDefault="002F725F">
      <w:pPr>
        <w:pStyle w:val="NormalWeb"/>
        <w:spacing w:before="0" w:beforeAutospacing="0" w:after="0" w:afterAutospacing="0"/>
        <w:jc w:val="center"/>
        <w:divId w:val="1265263698"/>
        <w:rPr>
          <w:sz w:val="20"/>
          <w:szCs w:val="20"/>
        </w:rPr>
      </w:pPr>
      <w:r>
        <w:rPr>
          <w:sz w:val="20"/>
          <w:szCs w:val="20"/>
        </w:rPr>
        <w:t>A</w:t>
      </w:r>
      <w:r>
        <w:rPr>
          <w:sz w:val="20"/>
          <w:szCs w:val="20"/>
        </w:rPr>
        <w:t>-</w:t>
      </w:r>
      <w:r>
        <w:rPr>
          <w:sz w:val="20"/>
          <w:szCs w:val="20"/>
        </w:rPr>
        <w:t>4</w:t>
      </w:r>
      <w:r>
        <w:rPr>
          <w:sz w:val="20"/>
          <w:szCs w:val="20"/>
        </w:rPr>
        <w:t>8</w:t>
      </w:r>
    </w:p>
    <w:p w14:paraId="2DF9A000" w14:textId="77777777" w:rsidR="00000000" w:rsidRDefault="002F725F">
      <w:pPr>
        <w:pStyle w:val="NormalWeb"/>
        <w:spacing w:before="0" w:beforeAutospacing="0" w:after="0" w:afterAutospacing="0"/>
        <w:divId w:val="1125345170"/>
        <w:rPr>
          <w:sz w:val="20"/>
          <w:szCs w:val="20"/>
        </w:rPr>
      </w:pPr>
      <w:r>
        <w:rPr>
          <w:sz w:val="20"/>
          <w:szCs w:val="20"/>
        </w:rPr>
        <w:t> </w:t>
      </w:r>
    </w:p>
    <w:p w14:paraId="5C7BE48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7FC2382"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(d) </w:t>
      </w:r>
      <w:r>
        <w:rPr>
          <w:sz w:val="20"/>
          <w:szCs w:val="20"/>
        </w:rPr>
        <w:t xml:space="preserve">Notwithstanding anything to the contrary in this Agreement, Parent’s right to (i) terminate this Agreement and receive the Company Termination Fee pursuant to </w:t>
      </w:r>
      <w:r>
        <w:rPr>
          <w:sz w:val="20"/>
          <w:szCs w:val="20"/>
          <w:u w:val="single"/>
        </w:rPr>
        <w:t>Section 9.3(a)</w:t>
      </w:r>
      <w:r>
        <w:rPr>
          <w:sz w:val="20"/>
          <w:szCs w:val="20"/>
        </w:rPr>
        <w:t xml:space="preserve">, and (ii) receive reimbursement and interest pursuant to </w:t>
      </w:r>
      <w:r>
        <w:rPr>
          <w:sz w:val="20"/>
          <w:szCs w:val="20"/>
          <w:u w:val="single"/>
        </w:rPr>
        <w:t>Section 9.3(c)</w:t>
      </w:r>
      <w:r>
        <w:rPr>
          <w:sz w:val="20"/>
          <w:szCs w:val="20"/>
        </w:rPr>
        <w:t xml:space="preserve">, shall be </w:t>
      </w:r>
      <w:r>
        <w:rPr>
          <w:sz w:val="20"/>
          <w:szCs w:val="20"/>
        </w:rPr>
        <w:t xml:space="preserve">the sole and exclusive remedy (whether at law, in equity, in contract, in tort or otherwise) of any member of the Parent Group, other than an order of specific performance pursuant to </w:t>
      </w:r>
      <w:r>
        <w:rPr>
          <w:sz w:val="20"/>
          <w:szCs w:val="20"/>
          <w:u w:val="single"/>
        </w:rPr>
        <w:t>Section 10.10</w:t>
      </w:r>
      <w:r>
        <w:rPr>
          <w:sz w:val="20"/>
          <w:szCs w:val="20"/>
        </w:rPr>
        <w:t>, against any member of the Company Related Parties for any</w:t>
      </w:r>
      <w:r>
        <w:rPr>
          <w:sz w:val="20"/>
          <w:szCs w:val="20"/>
        </w:rPr>
        <w:t xml:space="preserve"> loss or damage suffered as a result of any breach of any representation, warranty, covenant or agreement or failure to perform hereunder or other failure of the Transactions to be consummated. For the avoidance of doubt, other than an order of specific pe</w:t>
      </w:r>
      <w:r>
        <w:rPr>
          <w:sz w:val="20"/>
          <w:szCs w:val="20"/>
        </w:rPr>
        <w:t xml:space="preserve">rformance pursuant to </w:t>
      </w:r>
      <w:r>
        <w:rPr>
          <w:sz w:val="20"/>
          <w:szCs w:val="20"/>
          <w:u w:val="single"/>
        </w:rPr>
        <w:t>Section 10.10</w:t>
      </w:r>
      <w:r>
        <w:rPr>
          <w:sz w:val="20"/>
          <w:szCs w:val="20"/>
        </w:rPr>
        <w:t>, neither the Company nor any member of the Group Companies shall have any liability for monetary damages of any kind or nature or arising in any circumstance in connection with this Agreement or any of the Transactions o</w:t>
      </w:r>
      <w:r>
        <w:rPr>
          <w:sz w:val="20"/>
          <w:szCs w:val="20"/>
        </w:rPr>
        <w:t xml:space="preserve">ther than the payment of the Company Termination Fee pursuant to </w:t>
      </w:r>
      <w:r>
        <w:rPr>
          <w:sz w:val="20"/>
          <w:szCs w:val="20"/>
          <w:u w:val="single"/>
        </w:rPr>
        <w:t>Section 9.3(a)</w:t>
      </w:r>
      <w:r>
        <w:rPr>
          <w:sz w:val="20"/>
          <w:szCs w:val="20"/>
        </w:rPr>
        <w:t xml:space="preserve"> and reimbursement and interest pursuant to </w:t>
      </w:r>
      <w:r>
        <w:rPr>
          <w:sz w:val="20"/>
          <w:szCs w:val="20"/>
          <w:u w:val="single"/>
        </w:rPr>
        <w:t>Section 9.3(c)</w:t>
      </w:r>
      <w:r>
        <w:rPr>
          <w:sz w:val="20"/>
          <w:szCs w:val="20"/>
        </w:rPr>
        <w:t>, and in no event shall any member of the Parent Group seek, or permit to be sought, on behalf of any of them, any mone</w:t>
      </w:r>
      <w:r>
        <w:rPr>
          <w:sz w:val="20"/>
          <w:szCs w:val="20"/>
        </w:rPr>
        <w:t xml:space="preserve">tary damages from an Group Companies in connection with this Agreement or any of the Transactions, other than from the Company to the extent provided in </w:t>
      </w:r>
      <w:r>
        <w:rPr>
          <w:sz w:val="20"/>
          <w:szCs w:val="20"/>
          <w:u w:val="single"/>
        </w:rPr>
        <w:t>Section 9.3(a)</w:t>
      </w:r>
      <w:r>
        <w:rPr>
          <w:sz w:val="20"/>
          <w:szCs w:val="20"/>
        </w:rPr>
        <w:t xml:space="preserve"> and </w:t>
      </w:r>
      <w:r>
        <w:rPr>
          <w:sz w:val="20"/>
          <w:szCs w:val="20"/>
          <w:u w:val="single"/>
        </w:rPr>
        <w:t>Section 9.3(c)</w:t>
      </w:r>
      <w:r>
        <w:rPr>
          <w:sz w:val="20"/>
          <w:szCs w:val="20"/>
        </w:rPr>
        <w:t xml:space="preserve">. This provision was specifically bargained for and is intended to be </w:t>
      </w:r>
      <w:r>
        <w:rPr>
          <w:sz w:val="20"/>
          <w:szCs w:val="20"/>
        </w:rPr>
        <w:t>for the benefit of, and shall be enforceable by, each member of the Group Companies.</w:t>
      </w:r>
    </w:p>
    <w:p w14:paraId="3EEAF8BC"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57551B36"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(e) Notwithstanding anything to the contrary in this Agreement, the Company’s right to (i) terminate this Agreement and receive the Parent Termination Fee pursuant to </w:t>
      </w:r>
      <w:r>
        <w:rPr>
          <w:sz w:val="20"/>
          <w:szCs w:val="20"/>
          <w:u w:val="single"/>
        </w:rPr>
        <w:t>Se</w:t>
      </w:r>
      <w:r>
        <w:rPr>
          <w:sz w:val="20"/>
          <w:szCs w:val="20"/>
          <w:u w:val="single"/>
        </w:rPr>
        <w:t>ction 9.3(b)</w:t>
      </w:r>
      <w:r>
        <w:rPr>
          <w:sz w:val="20"/>
          <w:szCs w:val="20"/>
        </w:rPr>
        <w:t xml:space="preserve">, and the guarantee of such obligations pursuant to the Limited Guarantee (subject to their terms, conditions and limitations), and (ii) receive reimbursement and interest pursuant to </w:t>
      </w:r>
      <w:r>
        <w:rPr>
          <w:sz w:val="20"/>
          <w:szCs w:val="20"/>
          <w:u w:val="single"/>
        </w:rPr>
        <w:t>Section 9.3(c)</w:t>
      </w:r>
      <w:r>
        <w:rPr>
          <w:sz w:val="20"/>
          <w:szCs w:val="20"/>
        </w:rPr>
        <w:t xml:space="preserve">, shall be </w:t>
      </w:r>
      <w:r>
        <w:rPr>
          <w:sz w:val="20"/>
          <w:szCs w:val="20"/>
        </w:rPr>
        <w:t xml:space="preserve">the sole and exclusive remedy (whether at law, in equity, in contract, in tort or otherwise) of any member of the Company Related Parties, other than an order of specific performance pursuant to </w:t>
      </w:r>
      <w:r>
        <w:rPr>
          <w:sz w:val="20"/>
          <w:szCs w:val="20"/>
          <w:u w:val="single"/>
        </w:rPr>
        <w:t>Section 10.10</w:t>
      </w:r>
      <w:r>
        <w:rPr>
          <w:sz w:val="20"/>
          <w:szCs w:val="20"/>
        </w:rPr>
        <w:t>, against any member of the Parent Group, for an</w:t>
      </w:r>
      <w:r>
        <w:rPr>
          <w:sz w:val="20"/>
          <w:szCs w:val="20"/>
        </w:rPr>
        <w:t>y loss or damage suffered as a result of any breach of any representation, warranty, covenant or agreement or failure to perform hereunder or other failure of the Transactions to be consummated. For the avoidance of doubt, other than an order of specific p</w:t>
      </w:r>
      <w:r>
        <w:rPr>
          <w:sz w:val="20"/>
          <w:szCs w:val="20"/>
        </w:rPr>
        <w:t xml:space="preserve">erformance pursuant to </w:t>
      </w:r>
      <w:r>
        <w:rPr>
          <w:sz w:val="20"/>
          <w:szCs w:val="20"/>
          <w:u w:val="single"/>
        </w:rPr>
        <w:t>Section 10.10</w:t>
      </w:r>
      <w:r>
        <w:rPr>
          <w:sz w:val="20"/>
          <w:szCs w:val="20"/>
        </w:rPr>
        <w:t>, neither the Parent nor any member of the Parent Group shall have any liability for monetary damages of any kind or nature or arising in any circumstance in connection with this Agreement or any of the Transactions, oth</w:t>
      </w:r>
      <w:r>
        <w:rPr>
          <w:sz w:val="20"/>
          <w:szCs w:val="20"/>
        </w:rPr>
        <w:t xml:space="preserve">er than the payment of the Parent Termination Fee pursuant to </w:t>
      </w:r>
      <w:r>
        <w:rPr>
          <w:sz w:val="20"/>
          <w:szCs w:val="20"/>
          <w:u w:val="single"/>
        </w:rPr>
        <w:t>Section 9.3(b)</w:t>
      </w:r>
      <w:r>
        <w:rPr>
          <w:sz w:val="20"/>
          <w:szCs w:val="20"/>
        </w:rPr>
        <w:t xml:space="preserve"> and reimbursement and interest pursuant to </w:t>
      </w:r>
      <w:r>
        <w:rPr>
          <w:sz w:val="20"/>
          <w:szCs w:val="20"/>
          <w:u w:val="single"/>
        </w:rPr>
        <w:t>Section 9.3(c)</w:t>
      </w:r>
      <w:r>
        <w:rPr>
          <w:sz w:val="20"/>
          <w:szCs w:val="20"/>
        </w:rPr>
        <w:t xml:space="preserve">, and in no event shall any member of the Company Related Parties seek, or permit to be sought, on behalf of any of them, </w:t>
      </w:r>
      <w:r>
        <w:rPr>
          <w:sz w:val="20"/>
          <w:szCs w:val="20"/>
        </w:rPr>
        <w:t xml:space="preserve">any monetary damages from any member of the Parent Group in connection with this Agreement or any of the Transactions, other than from Parent to the extent provided in </w:t>
      </w:r>
      <w:r>
        <w:rPr>
          <w:sz w:val="20"/>
          <w:szCs w:val="20"/>
          <w:u w:val="single"/>
        </w:rPr>
        <w:t>Section 9.3(b)</w:t>
      </w:r>
      <w:r>
        <w:rPr>
          <w:sz w:val="20"/>
          <w:szCs w:val="20"/>
        </w:rPr>
        <w:t xml:space="preserve"> and </w:t>
      </w:r>
      <w:r>
        <w:rPr>
          <w:sz w:val="20"/>
          <w:szCs w:val="20"/>
          <w:u w:val="single"/>
        </w:rPr>
        <w:t>Section 9.3(c)</w:t>
      </w:r>
      <w:r>
        <w:rPr>
          <w:sz w:val="20"/>
          <w:szCs w:val="20"/>
        </w:rPr>
        <w:t>, or the Rollover Shareholders, the Sponsor or the Guar</w:t>
      </w:r>
      <w:r>
        <w:rPr>
          <w:sz w:val="20"/>
          <w:szCs w:val="20"/>
        </w:rPr>
        <w:t>antor to the extent provided in the Buyer Group Contracts. This provision was specifically bargained for and is intended to be for the benefit of, and shall be enforceable by, each member of the Parent Group.</w:t>
      </w:r>
    </w:p>
    <w:p w14:paraId="7701DB6D"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1D4BEB9F" w14:textId="77777777" w:rsidR="00000000" w:rsidRDefault="002F725F">
      <w:pPr>
        <w:pStyle w:val="NormalWeb"/>
        <w:spacing w:before="0" w:beforeAutospacing="0" w:after="0" w:afterAutospacing="0"/>
        <w:jc w:val="center"/>
        <w:divId w:val="1949970086"/>
        <w:rPr>
          <w:sz w:val="20"/>
          <w:szCs w:val="20"/>
        </w:rPr>
      </w:pPr>
      <w:r>
        <w:rPr>
          <w:sz w:val="20"/>
          <w:szCs w:val="20"/>
        </w:rPr>
        <w:t>A</w:t>
      </w:r>
      <w:r>
        <w:rPr>
          <w:sz w:val="20"/>
          <w:szCs w:val="20"/>
        </w:rPr>
        <w:t>-</w:t>
      </w:r>
      <w:r>
        <w:rPr>
          <w:sz w:val="20"/>
          <w:szCs w:val="20"/>
        </w:rPr>
        <w:t>4</w:t>
      </w:r>
      <w:r>
        <w:rPr>
          <w:sz w:val="20"/>
          <w:szCs w:val="20"/>
        </w:rPr>
        <w:t>9</w:t>
      </w:r>
    </w:p>
    <w:p w14:paraId="049AF288" w14:textId="77777777" w:rsidR="00000000" w:rsidRDefault="002F725F">
      <w:pPr>
        <w:pStyle w:val="NormalWeb"/>
        <w:spacing w:before="0" w:beforeAutospacing="0" w:after="0" w:afterAutospacing="0"/>
        <w:divId w:val="926117401"/>
        <w:rPr>
          <w:sz w:val="20"/>
          <w:szCs w:val="20"/>
        </w:rPr>
      </w:pPr>
      <w:r>
        <w:rPr>
          <w:sz w:val="20"/>
          <w:szCs w:val="20"/>
        </w:rPr>
        <w:t> </w:t>
      </w:r>
    </w:p>
    <w:p w14:paraId="4756EE9F"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lastRenderedPageBreak/>
        <w:t> </w:t>
      </w:r>
    </w:p>
    <w:p w14:paraId="6D0D31D6"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Article X</w:t>
      </w:r>
      <w:r>
        <w:rPr>
          <w:b/>
          <w:bCs/>
          <w:caps/>
          <w:sz w:val="20"/>
          <w:szCs w:val="20"/>
        </w:rPr>
        <w:br/>
        <w:t>MISCELLANEOUS</w:t>
      </w:r>
    </w:p>
    <w:p w14:paraId="2E3DC40C"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1296CA04" w14:textId="77777777" w:rsidR="00000000" w:rsidRDefault="002F725F">
      <w:pPr>
        <w:pStyle w:val="NormalWeb"/>
        <w:spacing w:before="0" w:beforeAutospacing="0" w:after="0" w:afterAutospacing="0"/>
        <w:jc w:val="both"/>
        <w:divId w:val="415980837"/>
        <w:rPr>
          <w:sz w:val="20"/>
          <w:szCs w:val="20"/>
        </w:rPr>
      </w:pPr>
      <w:r>
        <w:rPr>
          <w:sz w:val="20"/>
          <w:szCs w:val="20"/>
        </w:rPr>
        <w:t>Section 10</w:t>
      </w:r>
      <w:r>
        <w:rPr>
          <w:sz w:val="20"/>
          <w:szCs w:val="20"/>
        </w:rPr>
        <w:t xml:space="preserve">.1 </w:t>
      </w:r>
      <w:r>
        <w:rPr>
          <w:sz w:val="20"/>
          <w:szCs w:val="20"/>
          <w:u w:val="single"/>
        </w:rPr>
        <w:t>Amendment and Modification</w:t>
      </w:r>
      <w:r>
        <w:rPr>
          <w:sz w:val="20"/>
          <w:szCs w:val="20"/>
        </w:rPr>
        <w:t xml:space="preserve">. Subject to applicable Laws, this Agreement may be amended, modified and supplemented by written agreement of the Parties, by action taken by or on behalf of their respective board of directors (or individuals holding similar </w:t>
      </w:r>
      <w:r>
        <w:rPr>
          <w:sz w:val="20"/>
          <w:szCs w:val="20"/>
        </w:rPr>
        <w:t xml:space="preserve">positions) with the Company acting solely through the Special Committee; </w:t>
      </w:r>
      <w:r>
        <w:rPr>
          <w:sz w:val="20"/>
          <w:szCs w:val="20"/>
          <w:u w:val="single"/>
        </w:rPr>
        <w:t>provided</w:t>
      </w:r>
      <w:r>
        <w:rPr>
          <w:sz w:val="20"/>
          <w:szCs w:val="20"/>
        </w:rPr>
        <w:t>, that following receipt of the Company Shareholder Approval, no amendment may be made that would reduce the amount or change the type of consideration into which each Share s</w:t>
      </w:r>
      <w:r>
        <w:rPr>
          <w:sz w:val="20"/>
          <w:szCs w:val="20"/>
        </w:rPr>
        <w:t>hall be converted upon consummation of the Merger or that by Laws otherwise would require further approval or authorization by the shareholders of the Company without such further approval or authorization.</w:t>
      </w:r>
    </w:p>
    <w:p w14:paraId="3DD0C422"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D012D89"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10.2 </w:t>
      </w:r>
      <w:r>
        <w:rPr>
          <w:sz w:val="20"/>
          <w:szCs w:val="20"/>
          <w:u w:val="single"/>
        </w:rPr>
        <w:t>Notices</w:t>
      </w:r>
      <w:r>
        <w:rPr>
          <w:sz w:val="20"/>
          <w:szCs w:val="20"/>
        </w:rPr>
        <w:t>. All notices and other com</w:t>
      </w:r>
      <w:r>
        <w:rPr>
          <w:sz w:val="20"/>
          <w:szCs w:val="20"/>
        </w:rPr>
        <w:t>munications hereunder shall be in writing and shall be deemed duly given (a) on the date of delivery if delivered personally, or if by e-mail, upon written confirmation of receipt by e-mail; (b) on the first (1st) Business Day following the date of dispatc</w:t>
      </w:r>
      <w:r>
        <w:rPr>
          <w:sz w:val="20"/>
          <w:szCs w:val="20"/>
        </w:rPr>
        <w:t xml:space="preserve">h if delivered utilizing a next-day service by a recognized next-day courier; or (c) on the earlier of confirmed receipt or the second (2nd) Business Day following the date of mailing if delivered by registered or certified mail, return receipt requested, </w:t>
      </w:r>
      <w:r>
        <w:rPr>
          <w:sz w:val="20"/>
          <w:szCs w:val="20"/>
        </w:rPr>
        <w:t xml:space="preserve">postage prepaid. All notices hereunder shall be delivered to the addresses set forth below (or at such other address for a Party as shall be specified in a notice given in accordance with this </w:t>
      </w:r>
      <w:r>
        <w:rPr>
          <w:sz w:val="20"/>
          <w:szCs w:val="20"/>
          <w:u w:val="single"/>
        </w:rPr>
        <w:t>Section 10.2</w:t>
      </w:r>
      <w:r>
        <w:rPr>
          <w:sz w:val="20"/>
          <w:szCs w:val="20"/>
        </w:rPr>
        <w:t>):</w:t>
      </w:r>
    </w:p>
    <w:p w14:paraId="013CAACE"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440"/>
        <w:gridCol w:w="720"/>
        <w:gridCol w:w="7200"/>
      </w:tblGrid>
      <w:tr w:rsidR="00000000" w14:paraId="5EA52559" w14:textId="77777777">
        <w:trPr>
          <w:divId w:val="415980837"/>
          <w:tblCellSpacing w:w="0" w:type="dxa"/>
        </w:trPr>
        <w:tc>
          <w:tcPr>
            <w:tcW w:w="1440" w:type="dxa"/>
            <w:hideMark/>
          </w:tcPr>
          <w:p w14:paraId="0F713FA2" w14:textId="77777777" w:rsidR="00000000" w:rsidRDefault="002F725F">
            <w:pPr>
              <w:jc w:val="right"/>
              <w:rPr>
                <w:rFonts w:eastAsia="Times New Roman"/>
                <w:sz w:val="20"/>
                <w:szCs w:val="20"/>
              </w:rPr>
            </w:pPr>
            <w:r>
              <w:rPr>
                <w:rFonts w:eastAsia="Times New Roman"/>
                <w:sz w:val="20"/>
                <w:szCs w:val="20"/>
              </w:rPr>
              <w:t>(a)</w:t>
            </w:r>
          </w:p>
        </w:tc>
        <w:tc>
          <w:tcPr>
            <w:tcW w:w="720" w:type="dxa"/>
            <w:hideMark/>
          </w:tcPr>
          <w:p w14:paraId="06A2F66F" w14:textId="77777777" w:rsidR="00000000" w:rsidRDefault="002F725F">
            <w:pPr>
              <w:jc w:val="right"/>
              <w:rPr>
                <w:rFonts w:eastAsia="Times New Roman"/>
                <w:sz w:val="20"/>
                <w:szCs w:val="20"/>
              </w:rPr>
            </w:pPr>
          </w:p>
        </w:tc>
        <w:tc>
          <w:tcPr>
            <w:tcW w:w="0" w:type="auto"/>
            <w:hideMark/>
          </w:tcPr>
          <w:p w14:paraId="34D4B15E" w14:textId="77777777" w:rsidR="00000000" w:rsidRDefault="002F725F">
            <w:pPr>
              <w:jc w:val="both"/>
              <w:rPr>
                <w:rFonts w:eastAsia="Times New Roman"/>
                <w:sz w:val="20"/>
                <w:szCs w:val="20"/>
              </w:rPr>
            </w:pPr>
            <w:r>
              <w:rPr>
                <w:rFonts w:eastAsia="Times New Roman"/>
                <w:sz w:val="20"/>
                <w:szCs w:val="20"/>
              </w:rPr>
              <w:t>if to Parent or Merger Sub:</w:t>
            </w:r>
          </w:p>
        </w:tc>
      </w:tr>
    </w:tbl>
    <w:p w14:paraId="0096A063" w14:textId="77777777" w:rsidR="00000000" w:rsidRDefault="002F725F">
      <w:pPr>
        <w:pStyle w:val="NormalWeb"/>
        <w:spacing w:before="0" w:beforeAutospacing="0" w:after="0" w:afterAutospacing="0"/>
        <w:ind w:left="2160"/>
        <w:divId w:val="415980837"/>
        <w:rPr>
          <w:sz w:val="20"/>
          <w:szCs w:val="20"/>
        </w:rPr>
      </w:pPr>
      <w:r>
        <w:rPr>
          <w:sz w:val="20"/>
          <w:szCs w:val="20"/>
        </w:rPr>
        <w:t> </w:t>
      </w:r>
    </w:p>
    <w:p w14:paraId="2D93B80E" w14:textId="77777777" w:rsidR="00000000" w:rsidRDefault="002F725F">
      <w:pPr>
        <w:pStyle w:val="NormalWeb"/>
        <w:spacing w:before="0" w:beforeAutospacing="0" w:after="0" w:afterAutospacing="0"/>
        <w:ind w:left="2160"/>
        <w:divId w:val="415980837"/>
        <w:rPr>
          <w:sz w:val="20"/>
          <w:szCs w:val="20"/>
        </w:rPr>
      </w:pPr>
      <w:r>
        <w:rPr>
          <w:sz w:val="20"/>
          <w:szCs w:val="20"/>
        </w:rPr>
        <w:t>Oceanpine Skyline Inc.</w:t>
      </w:r>
      <w:r>
        <w:rPr>
          <w:sz w:val="20"/>
          <w:szCs w:val="20"/>
        </w:rPr>
        <w:br/>
        <w:t>Address: 21F, China Century Tower</w:t>
      </w:r>
      <w:r>
        <w:rPr>
          <w:sz w:val="20"/>
          <w:szCs w:val="20"/>
        </w:rPr>
        <w:br/>
        <w:t>No. 9 Xiaoyunli South St</w:t>
      </w:r>
      <w:r>
        <w:rPr>
          <w:sz w:val="20"/>
          <w:szCs w:val="20"/>
        </w:rPr>
        <w:br/>
        <w:t>Beijing 100026, China</w:t>
      </w:r>
      <w:r>
        <w:rPr>
          <w:sz w:val="20"/>
          <w:szCs w:val="20"/>
        </w:rPr>
        <w:br/>
        <w:t>E-mail: nansd@oceanpine.com</w:t>
      </w:r>
      <w:r>
        <w:rPr>
          <w:sz w:val="20"/>
          <w:szCs w:val="20"/>
        </w:rPr>
        <w:br/>
        <w:t>Attention: Nan Shaodeng</w:t>
      </w:r>
    </w:p>
    <w:p w14:paraId="1708AC82" w14:textId="77777777" w:rsidR="00000000" w:rsidRDefault="002F725F">
      <w:pPr>
        <w:pStyle w:val="NormalWeb"/>
        <w:spacing w:before="0" w:beforeAutospacing="0" w:after="0" w:afterAutospacing="0"/>
        <w:ind w:left="2160"/>
        <w:divId w:val="415980837"/>
        <w:rPr>
          <w:sz w:val="20"/>
          <w:szCs w:val="20"/>
        </w:rPr>
      </w:pPr>
      <w:r>
        <w:rPr>
          <w:sz w:val="20"/>
          <w:szCs w:val="20"/>
        </w:rPr>
        <w:t> </w:t>
      </w:r>
    </w:p>
    <w:p w14:paraId="42CEB7C7" w14:textId="77777777" w:rsidR="00000000" w:rsidRDefault="002F725F">
      <w:pPr>
        <w:pStyle w:val="NormalWeb"/>
        <w:spacing w:before="0" w:beforeAutospacing="0" w:after="0" w:afterAutospacing="0"/>
        <w:ind w:left="2160"/>
        <w:divId w:val="415980837"/>
        <w:rPr>
          <w:sz w:val="20"/>
          <w:szCs w:val="20"/>
        </w:rPr>
      </w:pPr>
      <w:r>
        <w:rPr>
          <w:sz w:val="20"/>
          <w:szCs w:val="20"/>
        </w:rPr>
        <w:t>with a copy (which shall not constitute notice) to:</w:t>
      </w:r>
      <w:r>
        <w:rPr>
          <w:sz w:val="20"/>
          <w:szCs w:val="20"/>
        </w:rPr>
        <w:br/>
        <w:t>White &amp; Case LLP</w:t>
      </w:r>
      <w:r>
        <w:rPr>
          <w:sz w:val="20"/>
          <w:szCs w:val="20"/>
        </w:rPr>
        <w:br/>
        <w:t xml:space="preserve">19th Floor, Tower 1 of China </w:t>
      </w:r>
      <w:r>
        <w:rPr>
          <w:sz w:val="20"/>
          <w:szCs w:val="20"/>
        </w:rPr>
        <w:t>Central Place</w:t>
      </w:r>
      <w:r>
        <w:rPr>
          <w:sz w:val="20"/>
          <w:szCs w:val="20"/>
        </w:rPr>
        <w:br/>
        <w:t>81 Jianguo Lu</w:t>
      </w:r>
      <w:r>
        <w:rPr>
          <w:sz w:val="20"/>
          <w:szCs w:val="20"/>
        </w:rPr>
        <w:br/>
        <w:t>Chao Yang District</w:t>
      </w:r>
      <w:r>
        <w:rPr>
          <w:sz w:val="20"/>
          <w:szCs w:val="20"/>
        </w:rPr>
        <w:br/>
        <w:t>Beijing 100025</w:t>
      </w:r>
      <w:r>
        <w:rPr>
          <w:sz w:val="20"/>
          <w:szCs w:val="20"/>
        </w:rPr>
        <w:br/>
        <w:t>People’s Republic of China</w:t>
      </w:r>
      <w:r>
        <w:rPr>
          <w:sz w:val="20"/>
          <w:szCs w:val="20"/>
        </w:rPr>
        <w:br/>
        <w:t>Attention: Alan Bao, Esq.</w:t>
      </w:r>
      <w:r>
        <w:rPr>
          <w:sz w:val="20"/>
          <w:szCs w:val="20"/>
        </w:rPr>
        <w:br/>
        <w:t>Email: alan.bao@whitecase.com</w:t>
      </w:r>
    </w:p>
    <w:p w14:paraId="0F6D268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440"/>
        <w:gridCol w:w="720"/>
        <w:gridCol w:w="7200"/>
      </w:tblGrid>
      <w:tr w:rsidR="00000000" w14:paraId="51BEF0EB" w14:textId="77777777">
        <w:trPr>
          <w:divId w:val="415980837"/>
          <w:tblCellSpacing w:w="0" w:type="dxa"/>
        </w:trPr>
        <w:tc>
          <w:tcPr>
            <w:tcW w:w="1440" w:type="dxa"/>
            <w:hideMark/>
          </w:tcPr>
          <w:p w14:paraId="696AA628" w14:textId="77777777" w:rsidR="00000000" w:rsidRDefault="002F725F">
            <w:pPr>
              <w:jc w:val="right"/>
              <w:rPr>
                <w:rFonts w:eastAsia="Times New Roman"/>
                <w:sz w:val="20"/>
                <w:szCs w:val="20"/>
              </w:rPr>
            </w:pPr>
            <w:r>
              <w:rPr>
                <w:rFonts w:eastAsia="Times New Roman"/>
                <w:sz w:val="20"/>
                <w:szCs w:val="20"/>
              </w:rPr>
              <w:t>(b)</w:t>
            </w:r>
          </w:p>
        </w:tc>
        <w:tc>
          <w:tcPr>
            <w:tcW w:w="720" w:type="dxa"/>
            <w:hideMark/>
          </w:tcPr>
          <w:p w14:paraId="3B754C6F" w14:textId="77777777" w:rsidR="00000000" w:rsidRDefault="002F725F">
            <w:pPr>
              <w:jc w:val="right"/>
              <w:rPr>
                <w:rFonts w:eastAsia="Times New Roman"/>
                <w:sz w:val="20"/>
                <w:szCs w:val="20"/>
              </w:rPr>
            </w:pPr>
          </w:p>
        </w:tc>
        <w:tc>
          <w:tcPr>
            <w:tcW w:w="0" w:type="auto"/>
            <w:hideMark/>
          </w:tcPr>
          <w:p w14:paraId="1E021A7D" w14:textId="77777777" w:rsidR="00000000" w:rsidRDefault="002F725F">
            <w:pPr>
              <w:jc w:val="both"/>
              <w:rPr>
                <w:rFonts w:eastAsia="Times New Roman"/>
                <w:sz w:val="20"/>
                <w:szCs w:val="20"/>
              </w:rPr>
            </w:pPr>
            <w:r>
              <w:rPr>
                <w:rFonts w:eastAsia="Times New Roman"/>
                <w:sz w:val="20"/>
                <w:szCs w:val="20"/>
              </w:rPr>
              <w:t>if to the Company, to:</w:t>
            </w:r>
          </w:p>
        </w:tc>
      </w:tr>
    </w:tbl>
    <w:p w14:paraId="252D5A77" w14:textId="77777777" w:rsidR="00000000" w:rsidRDefault="002F725F">
      <w:pPr>
        <w:pStyle w:val="NormalWeb"/>
        <w:spacing w:before="0" w:beforeAutospacing="0" w:after="0" w:afterAutospacing="0"/>
        <w:ind w:left="2160"/>
        <w:divId w:val="415980837"/>
        <w:rPr>
          <w:sz w:val="20"/>
          <w:szCs w:val="20"/>
        </w:rPr>
      </w:pPr>
      <w:r>
        <w:rPr>
          <w:sz w:val="20"/>
          <w:szCs w:val="20"/>
        </w:rPr>
        <w:t> </w:t>
      </w:r>
    </w:p>
    <w:p w14:paraId="57F43AB4" w14:textId="77777777" w:rsidR="00000000" w:rsidRDefault="002F725F">
      <w:pPr>
        <w:pStyle w:val="NormalWeb"/>
        <w:spacing w:before="0" w:beforeAutospacing="0" w:after="0" w:afterAutospacing="0"/>
        <w:ind w:left="2160"/>
        <w:divId w:val="415980837"/>
        <w:rPr>
          <w:sz w:val="20"/>
          <w:szCs w:val="20"/>
        </w:rPr>
      </w:pPr>
      <w:r>
        <w:rPr>
          <w:sz w:val="20"/>
          <w:szCs w:val="20"/>
        </w:rPr>
        <w:t>LakeShore Biopharma Co., Ltd</w:t>
      </w:r>
      <w:r>
        <w:rPr>
          <w:sz w:val="20"/>
          <w:szCs w:val="20"/>
        </w:rPr>
        <w:br/>
        <w:t>Room 401, 4th Floor, Building 2</w:t>
      </w:r>
      <w:r>
        <w:rPr>
          <w:sz w:val="20"/>
          <w:szCs w:val="20"/>
        </w:rPr>
        <w:br/>
        <w:t>No. 38 Yongda Roa</w:t>
      </w:r>
      <w:r>
        <w:rPr>
          <w:sz w:val="20"/>
          <w:szCs w:val="20"/>
        </w:rPr>
        <w:t>d, Daxing Biomedical Industrial Base</w:t>
      </w:r>
      <w:r>
        <w:rPr>
          <w:sz w:val="20"/>
          <w:szCs w:val="20"/>
        </w:rPr>
        <w:br/>
        <w:t>Zhongguancun Science Park, Daxing District</w:t>
      </w:r>
    </w:p>
    <w:p w14:paraId="4F7D036D" w14:textId="77777777" w:rsidR="00000000" w:rsidRDefault="002F725F">
      <w:pPr>
        <w:pStyle w:val="NormalWeb"/>
        <w:spacing w:before="0" w:beforeAutospacing="0" w:after="0" w:afterAutospacing="0"/>
        <w:ind w:left="2160"/>
        <w:divId w:val="415980837"/>
        <w:rPr>
          <w:sz w:val="20"/>
          <w:szCs w:val="20"/>
        </w:rPr>
      </w:pPr>
      <w:r>
        <w:rPr>
          <w:sz w:val="20"/>
          <w:szCs w:val="20"/>
        </w:rPr>
        <w:t>Beijing, China</w:t>
      </w:r>
      <w:r>
        <w:rPr>
          <w:sz w:val="20"/>
          <w:szCs w:val="20"/>
        </w:rPr>
        <w:br/>
        <w:t>Attention: Qiuzhu (Kira) Tang</w:t>
      </w:r>
      <w:r>
        <w:rPr>
          <w:sz w:val="20"/>
          <w:szCs w:val="20"/>
        </w:rPr>
        <w:br/>
        <w:t>Email: qiuzhu.tang@lakeshorebio.com</w:t>
      </w:r>
    </w:p>
    <w:p w14:paraId="09F945FE" w14:textId="77777777" w:rsidR="00000000" w:rsidRDefault="002F725F">
      <w:pPr>
        <w:pStyle w:val="NormalWeb"/>
        <w:spacing w:before="0" w:beforeAutospacing="0" w:after="0" w:afterAutospacing="0"/>
        <w:ind w:left="2160"/>
        <w:divId w:val="415980837"/>
        <w:rPr>
          <w:sz w:val="20"/>
          <w:szCs w:val="20"/>
        </w:rPr>
      </w:pPr>
      <w:r>
        <w:rPr>
          <w:sz w:val="20"/>
          <w:szCs w:val="20"/>
        </w:rPr>
        <w:t> </w:t>
      </w:r>
    </w:p>
    <w:p w14:paraId="3AFEC923" w14:textId="77777777" w:rsidR="00000000" w:rsidRDefault="002F725F">
      <w:pPr>
        <w:pStyle w:val="NormalWeb"/>
        <w:spacing w:before="0" w:beforeAutospacing="0" w:after="0" w:afterAutospacing="0"/>
        <w:ind w:left="2160"/>
        <w:divId w:val="415980837"/>
        <w:rPr>
          <w:sz w:val="20"/>
          <w:szCs w:val="20"/>
        </w:rPr>
      </w:pPr>
      <w:r>
        <w:rPr>
          <w:sz w:val="20"/>
          <w:szCs w:val="20"/>
        </w:rPr>
        <w:t>With a copy to (which shall not constitute notice):</w:t>
      </w:r>
      <w:r>
        <w:rPr>
          <w:sz w:val="20"/>
          <w:szCs w:val="20"/>
        </w:rPr>
        <w:br/>
        <w:t>Gibson, Dunn &amp; Crutcher LLP</w:t>
      </w:r>
      <w:r>
        <w:rPr>
          <w:sz w:val="20"/>
          <w:szCs w:val="20"/>
        </w:rPr>
        <w:br/>
        <w:t>Unit 1301, T</w:t>
      </w:r>
      <w:r>
        <w:rPr>
          <w:sz w:val="20"/>
          <w:szCs w:val="20"/>
        </w:rPr>
        <w:t>ower 1, China Central Place</w:t>
      </w:r>
      <w:r>
        <w:rPr>
          <w:sz w:val="20"/>
          <w:szCs w:val="20"/>
        </w:rPr>
        <w:br/>
        <w:t>No. 81 Jianguo Road,</w:t>
      </w:r>
      <w:r>
        <w:rPr>
          <w:sz w:val="20"/>
          <w:szCs w:val="20"/>
        </w:rPr>
        <w:br/>
        <w:t>Chaoyang District, Beijing 100025</w:t>
      </w:r>
      <w:r>
        <w:rPr>
          <w:sz w:val="20"/>
          <w:szCs w:val="20"/>
        </w:rPr>
        <w:br/>
        <w:t>People’s Republic of China</w:t>
      </w:r>
      <w:r>
        <w:rPr>
          <w:sz w:val="20"/>
          <w:szCs w:val="20"/>
        </w:rPr>
        <w:br/>
      </w:r>
      <w:r>
        <w:rPr>
          <w:sz w:val="20"/>
          <w:szCs w:val="20"/>
        </w:rPr>
        <w:lastRenderedPageBreak/>
        <w:t>Attention: Qi Yue, Esq.</w:t>
      </w:r>
      <w:r>
        <w:rPr>
          <w:sz w:val="20"/>
          <w:szCs w:val="20"/>
        </w:rPr>
        <w:br/>
        <w:t>Email: qyue@gibsondunn.com</w:t>
      </w:r>
    </w:p>
    <w:p w14:paraId="5B770F7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1993A93" w14:textId="77777777" w:rsidR="00000000" w:rsidRDefault="002F725F">
      <w:pPr>
        <w:pStyle w:val="NormalWeb"/>
        <w:spacing w:before="0" w:beforeAutospacing="0" w:after="0" w:afterAutospacing="0"/>
        <w:jc w:val="center"/>
        <w:divId w:val="145632695"/>
        <w:rPr>
          <w:sz w:val="20"/>
          <w:szCs w:val="20"/>
        </w:rPr>
      </w:pPr>
      <w:r>
        <w:rPr>
          <w:sz w:val="20"/>
          <w:szCs w:val="20"/>
        </w:rPr>
        <w:t>A</w:t>
      </w:r>
      <w:r>
        <w:rPr>
          <w:sz w:val="20"/>
          <w:szCs w:val="20"/>
        </w:rPr>
        <w:t>-</w:t>
      </w:r>
      <w:r>
        <w:rPr>
          <w:sz w:val="20"/>
          <w:szCs w:val="20"/>
        </w:rPr>
        <w:t>5</w:t>
      </w:r>
      <w:r>
        <w:rPr>
          <w:sz w:val="20"/>
          <w:szCs w:val="20"/>
        </w:rPr>
        <w:t>0</w:t>
      </w:r>
    </w:p>
    <w:p w14:paraId="6E68D3EB" w14:textId="77777777" w:rsidR="00000000" w:rsidRDefault="002F725F">
      <w:pPr>
        <w:pStyle w:val="NormalWeb"/>
        <w:spacing w:before="0" w:beforeAutospacing="0" w:after="0" w:afterAutospacing="0"/>
        <w:divId w:val="1605729550"/>
        <w:rPr>
          <w:sz w:val="20"/>
          <w:szCs w:val="20"/>
        </w:rPr>
      </w:pPr>
      <w:r>
        <w:rPr>
          <w:sz w:val="20"/>
          <w:szCs w:val="20"/>
        </w:rPr>
        <w:t> </w:t>
      </w:r>
    </w:p>
    <w:p w14:paraId="4696D94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1440"/>
        <w:gridCol w:w="720"/>
        <w:gridCol w:w="7200"/>
      </w:tblGrid>
      <w:tr w:rsidR="00000000" w14:paraId="7E39ADCF" w14:textId="77777777">
        <w:trPr>
          <w:divId w:val="415980837"/>
          <w:tblCellSpacing w:w="0" w:type="dxa"/>
        </w:trPr>
        <w:tc>
          <w:tcPr>
            <w:tcW w:w="1440" w:type="dxa"/>
            <w:hideMark/>
          </w:tcPr>
          <w:p w14:paraId="241973CC" w14:textId="77777777" w:rsidR="00000000" w:rsidRDefault="002F725F">
            <w:pPr>
              <w:jc w:val="right"/>
              <w:rPr>
                <w:rFonts w:eastAsia="Times New Roman"/>
                <w:sz w:val="20"/>
                <w:szCs w:val="20"/>
              </w:rPr>
            </w:pPr>
            <w:r>
              <w:rPr>
                <w:rFonts w:eastAsia="Times New Roman"/>
                <w:sz w:val="20"/>
                <w:szCs w:val="20"/>
              </w:rPr>
              <w:t>(c)</w:t>
            </w:r>
          </w:p>
        </w:tc>
        <w:tc>
          <w:tcPr>
            <w:tcW w:w="720" w:type="dxa"/>
            <w:hideMark/>
          </w:tcPr>
          <w:p w14:paraId="7F7C2323" w14:textId="77777777" w:rsidR="00000000" w:rsidRDefault="002F725F">
            <w:pPr>
              <w:jc w:val="right"/>
              <w:rPr>
                <w:rFonts w:eastAsia="Times New Roman"/>
                <w:sz w:val="20"/>
                <w:szCs w:val="20"/>
              </w:rPr>
            </w:pPr>
          </w:p>
        </w:tc>
        <w:tc>
          <w:tcPr>
            <w:tcW w:w="0" w:type="auto"/>
            <w:hideMark/>
          </w:tcPr>
          <w:p w14:paraId="585CE13C" w14:textId="77777777" w:rsidR="00000000" w:rsidRDefault="002F725F">
            <w:pPr>
              <w:jc w:val="both"/>
              <w:rPr>
                <w:rFonts w:eastAsia="Times New Roman"/>
                <w:sz w:val="20"/>
                <w:szCs w:val="20"/>
              </w:rPr>
            </w:pPr>
            <w:r>
              <w:rPr>
                <w:rFonts w:eastAsia="Times New Roman"/>
                <w:sz w:val="20"/>
                <w:szCs w:val="20"/>
              </w:rPr>
              <w:t>if to the Special Committee, addressed to the care of the Company, with a copy (which shall not constitute notice) to:</w:t>
            </w:r>
          </w:p>
        </w:tc>
      </w:tr>
    </w:tbl>
    <w:p w14:paraId="05CDD770" w14:textId="77777777" w:rsidR="00000000" w:rsidRDefault="002F725F">
      <w:pPr>
        <w:pStyle w:val="NormalWeb"/>
        <w:spacing w:before="0" w:beforeAutospacing="0" w:after="0" w:afterAutospacing="0"/>
        <w:ind w:left="2160"/>
        <w:divId w:val="415980837"/>
        <w:rPr>
          <w:sz w:val="20"/>
          <w:szCs w:val="20"/>
        </w:rPr>
      </w:pPr>
      <w:r>
        <w:rPr>
          <w:sz w:val="20"/>
          <w:szCs w:val="20"/>
        </w:rPr>
        <w:t> </w:t>
      </w:r>
    </w:p>
    <w:p w14:paraId="44CE9344" w14:textId="77777777" w:rsidR="00000000" w:rsidRDefault="002F725F">
      <w:pPr>
        <w:pStyle w:val="NormalWeb"/>
        <w:spacing w:before="0" w:beforeAutospacing="0" w:after="0" w:afterAutospacing="0"/>
        <w:ind w:left="2160"/>
        <w:divId w:val="415980837"/>
        <w:rPr>
          <w:sz w:val="20"/>
          <w:szCs w:val="20"/>
        </w:rPr>
      </w:pPr>
      <w:r>
        <w:rPr>
          <w:sz w:val="20"/>
          <w:szCs w:val="20"/>
        </w:rPr>
        <w:t>Gibson, Dunn &amp; Crutcher LLP</w:t>
      </w:r>
      <w:r>
        <w:rPr>
          <w:sz w:val="20"/>
          <w:szCs w:val="20"/>
        </w:rPr>
        <w:br/>
        <w:t>Unit 1301, Tower 1, China Central Place</w:t>
      </w:r>
      <w:r>
        <w:rPr>
          <w:sz w:val="20"/>
          <w:szCs w:val="20"/>
        </w:rPr>
        <w:br/>
        <w:t>No. 81 Jianguo Road,</w:t>
      </w:r>
      <w:r>
        <w:rPr>
          <w:sz w:val="20"/>
          <w:szCs w:val="20"/>
        </w:rPr>
        <w:br/>
        <w:t>Chaoyang District, Beijing 100025</w:t>
      </w:r>
      <w:r>
        <w:rPr>
          <w:sz w:val="20"/>
          <w:szCs w:val="20"/>
        </w:rPr>
        <w:br/>
        <w:t>People’s Re</w:t>
      </w:r>
      <w:r>
        <w:rPr>
          <w:sz w:val="20"/>
          <w:szCs w:val="20"/>
        </w:rPr>
        <w:t>public of China</w:t>
      </w:r>
      <w:r>
        <w:rPr>
          <w:sz w:val="20"/>
          <w:szCs w:val="20"/>
        </w:rPr>
        <w:br/>
        <w:t>Attention: Qi Yue, Esq.</w:t>
      </w:r>
      <w:r>
        <w:rPr>
          <w:sz w:val="20"/>
          <w:szCs w:val="20"/>
        </w:rPr>
        <w:br/>
        <w:t>Email: qyue@gibsondunn.com</w:t>
      </w:r>
    </w:p>
    <w:p w14:paraId="43F47EA8" w14:textId="77777777" w:rsidR="00000000" w:rsidRDefault="002F725F">
      <w:pPr>
        <w:pStyle w:val="NormalWeb"/>
        <w:spacing w:before="0" w:beforeAutospacing="0" w:after="0" w:afterAutospacing="0"/>
        <w:ind w:left="2160"/>
        <w:divId w:val="415980837"/>
        <w:rPr>
          <w:sz w:val="20"/>
          <w:szCs w:val="20"/>
        </w:rPr>
      </w:pPr>
      <w:r>
        <w:rPr>
          <w:sz w:val="20"/>
          <w:szCs w:val="20"/>
        </w:rPr>
        <w:t> </w:t>
      </w:r>
    </w:p>
    <w:p w14:paraId="15ABBC8A"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10.3 </w:t>
      </w:r>
      <w:r>
        <w:rPr>
          <w:sz w:val="20"/>
          <w:szCs w:val="20"/>
          <w:u w:val="single"/>
        </w:rPr>
        <w:t>Interpretation</w:t>
      </w:r>
      <w:r>
        <w:rPr>
          <w:sz w:val="20"/>
          <w:szCs w:val="20"/>
        </w:rPr>
        <w:t>. The Parties have participated jointly in the negotiation and drafting of this Agreement. In the event an ambiguity or question of intent or interpretation ari</w:t>
      </w:r>
      <w:r>
        <w:rPr>
          <w:sz w:val="20"/>
          <w:szCs w:val="20"/>
        </w:rPr>
        <w:t>ses, this Agreement shall be construed as if drafted jointly by the Parties, and no presumption or burden of proof shall arise favoring or disfavoring any Party by virtue of the authorship of any provisions of this Agreement.</w:t>
      </w:r>
    </w:p>
    <w:p w14:paraId="786CB4E0"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D63DECC"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10.4 </w:t>
      </w:r>
      <w:r>
        <w:rPr>
          <w:sz w:val="20"/>
          <w:szCs w:val="20"/>
          <w:u w:val="single"/>
        </w:rPr>
        <w:t>Counterparts</w:t>
      </w:r>
      <w:r>
        <w:rPr>
          <w:sz w:val="20"/>
          <w:szCs w:val="20"/>
        </w:rPr>
        <w:t>. T</w:t>
      </w:r>
      <w:r>
        <w:rPr>
          <w:sz w:val="20"/>
          <w:szCs w:val="20"/>
        </w:rPr>
        <w:t>his Agreement may be executed in multiple counterparts, all of which shall together be considered one and the same agreement. Signatures to this Agreement transmitted by facsimile transmission, by electronic mail in “portable document format” form, or by a</w:t>
      </w:r>
      <w:r>
        <w:rPr>
          <w:sz w:val="20"/>
          <w:szCs w:val="20"/>
        </w:rPr>
        <w:t xml:space="preserve">ny other electronic means intended to preserve the original graphic and pictorial appearance of a document, will have the same effect as physical delivery of the paper document bearing the original signature. The Parties irrevocably and unreservedly agree </w:t>
      </w:r>
      <w:r>
        <w:rPr>
          <w:sz w:val="20"/>
          <w:szCs w:val="20"/>
        </w:rPr>
        <w:t>that this Agreement may be executed by way of electronic signatures and the Parties agree that this Agreement, or any part thereof, shall not be challenged or denied any legal effect, validity and/or enforceability solely on the ground that it is in the fo</w:t>
      </w:r>
      <w:r>
        <w:rPr>
          <w:sz w:val="20"/>
          <w:szCs w:val="20"/>
        </w:rPr>
        <w:t>rm of an electronic record.</w:t>
      </w:r>
    </w:p>
    <w:p w14:paraId="7B6727D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F6FC343"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10.5 </w:t>
      </w:r>
      <w:r>
        <w:rPr>
          <w:sz w:val="20"/>
          <w:szCs w:val="20"/>
          <w:u w:val="single"/>
        </w:rPr>
        <w:t>Entire Agreement</w:t>
      </w:r>
      <w:r>
        <w:rPr>
          <w:sz w:val="20"/>
          <w:szCs w:val="20"/>
        </w:rPr>
        <w:t>. This Agreement, the Confidentiality Agreements and the other Transaction Documents constitute the entire agreement with respect to the subject matter hereof and supersedes all prior agreements an</w:t>
      </w:r>
      <w:r>
        <w:rPr>
          <w:sz w:val="20"/>
          <w:szCs w:val="20"/>
        </w:rPr>
        <w:t>d undertakings, both written and oral, among the Parties, or any of them, with respect to the subject matter hereof.</w:t>
      </w:r>
    </w:p>
    <w:p w14:paraId="3DA2B3B0"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5D43251" w14:textId="77777777" w:rsidR="00000000" w:rsidRDefault="002F725F">
      <w:pPr>
        <w:pStyle w:val="NormalWeb"/>
        <w:spacing w:before="0" w:beforeAutospacing="0" w:after="0" w:afterAutospacing="0"/>
        <w:jc w:val="both"/>
        <w:divId w:val="415980837"/>
        <w:rPr>
          <w:sz w:val="20"/>
          <w:szCs w:val="20"/>
        </w:rPr>
      </w:pPr>
      <w:r>
        <w:rPr>
          <w:sz w:val="20"/>
          <w:szCs w:val="20"/>
        </w:rPr>
        <w:t>Section 10.6 Parties in Interest. This Agreement shall be binding upon and inure solely to the benefit of each Party, and nothing in this</w:t>
      </w:r>
      <w:r>
        <w:rPr>
          <w:sz w:val="20"/>
          <w:szCs w:val="20"/>
        </w:rPr>
        <w:t xml:space="preserve"> Agreement, express or implied, is intended to or shall confer upon any other Person any right, benefit or remedy of any nature whatsoever under or by reason of this Agreement, other than (a) as provided in </w:t>
      </w:r>
      <w:r>
        <w:rPr>
          <w:sz w:val="20"/>
          <w:szCs w:val="20"/>
          <w:u w:val="single"/>
        </w:rPr>
        <w:t>Section 7.5</w:t>
      </w:r>
      <w:r>
        <w:rPr>
          <w:sz w:val="20"/>
          <w:szCs w:val="20"/>
        </w:rPr>
        <w:t xml:space="preserve">, </w:t>
      </w:r>
      <w:r>
        <w:rPr>
          <w:sz w:val="20"/>
          <w:szCs w:val="20"/>
          <w:u w:val="single"/>
        </w:rPr>
        <w:t>Section 9.3(d)</w:t>
      </w:r>
      <w:r>
        <w:rPr>
          <w:sz w:val="20"/>
          <w:szCs w:val="20"/>
        </w:rPr>
        <w:t xml:space="preserve"> or </w:t>
      </w:r>
      <w:r>
        <w:rPr>
          <w:sz w:val="20"/>
          <w:szCs w:val="20"/>
          <w:u w:val="single"/>
        </w:rPr>
        <w:t>Section 9.3(e)</w:t>
      </w:r>
      <w:r>
        <w:rPr>
          <w:sz w:val="20"/>
          <w:szCs w:val="20"/>
        </w:rPr>
        <w:t xml:space="preserve"> (wh</w:t>
      </w:r>
      <w:r>
        <w:rPr>
          <w:sz w:val="20"/>
          <w:szCs w:val="20"/>
        </w:rPr>
        <w:t>ich are intended to be for the benefit of the Persons covered thereby and may be enforced by such Persons); and (b) with respect to the Company’s shareholders and only after the Effective Time, for the provisions setting forth the right of the shareholders</w:t>
      </w:r>
      <w:r>
        <w:rPr>
          <w:sz w:val="20"/>
          <w:szCs w:val="20"/>
        </w:rPr>
        <w:t xml:space="preserve"> to receive the Merger Consideration in Article </w:t>
      </w:r>
      <w:r>
        <w:rPr>
          <w:sz w:val="20"/>
          <w:szCs w:val="20"/>
          <w:u w:val="single"/>
        </w:rPr>
        <w:t>III</w:t>
      </w:r>
      <w:r>
        <w:rPr>
          <w:sz w:val="20"/>
          <w:szCs w:val="20"/>
        </w:rPr>
        <w:t>. Each of Parent, Merger Sub and the Company hereby agrees that its representations, warranties and covenants in this Agreement are for the sole benefit of the other Parties. Persons other than the Parties</w:t>
      </w:r>
      <w:r>
        <w:rPr>
          <w:sz w:val="20"/>
          <w:szCs w:val="20"/>
        </w:rPr>
        <w:t xml:space="preserve"> may not rely on the representations and warranties in this Agreement as characterizations of actual facts or circumstances as of the date hereof or as of any other date.</w:t>
      </w:r>
    </w:p>
    <w:p w14:paraId="589B1CE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1B17F39" w14:textId="77777777" w:rsidR="00000000" w:rsidRDefault="002F725F">
      <w:pPr>
        <w:pStyle w:val="NormalWeb"/>
        <w:spacing w:before="0" w:beforeAutospacing="0" w:after="0" w:afterAutospacing="0"/>
        <w:jc w:val="center"/>
        <w:divId w:val="371197025"/>
        <w:rPr>
          <w:sz w:val="20"/>
          <w:szCs w:val="20"/>
        </w:rPr>
      </w:pPr>
      <w:r>
        <w:rPr>
          <w:sz w:val="20"/>
          <w:szCs w:val="20"/>
        </w:rPr>
        <w:t>A</w:t>
      </w:r>
      <w:r>
        <w:rPr>
          <w:sz w:val="20"/>
          <w:szCs w:val="20"/>
        </w:rPr>
        <w:t>-</w:t>
      </w:r>
      <w:r>
        <w:rPr>
          <w:sz w:val="20"/>
          <w:szCs w:val="20"/>
        </w:rPr>
        <w:t>5</w:t>
      </w:r>
      <w:r>
        <w:rPr>
          <w:sz w:val="20"/>
          <w:szCs w:val="20"/>
        </w:rPr>
        <w:t>1</w:t>
      </w:r>
    </w:p>
    <w:p w14:paraId="216A805B" w14:textId="77777777" w:rsidR="00000000" w:rsidRDefault="002F725F">
      <w:pPr>
        <w:pStyle w:val="NormalWeb"/>
        <w:spacing w:before="0" w:beforeAutospacing="0" w:after="0" w:afterAutospacing="0"/>
        <w:divId w:val="127817152"/>
        <w:rPr>
          <w:sz w:val="20"/>
          <w:szCs w:val="20"/>
        </w:rPr>
      </w:pPr>
      <w:r>
        <w:rPr>
          <w:sz w:val="20"/>
          <w:szCs w:val="20"/>
        </w:rPr>
        <w:t> </w:t>
      </w:r>
    </w:p>
    <w:p w14:paraId="0DCAE3F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B97A04B"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 xml:space="preserve">Section 10.7   </w:t>
      </w:r>
      <w:r>
        <w:rPr>
          <w:sz w:val="20"/>
          <w:szCs w:val="20"/>
          <w:u w:val="single"/>
        </w:rPr>
        <w:t>Severability</w:t>
      </w:r>
      <w:r>
        <w:rPr>
          <w:sz w:val="20"/>
          <w:szCs w:val="20"/>
        </w:rPr>
        <w:t>. If any term, provision, covenant or restriction of this Agreement is held by a court of competent jurisdiction or other authority to be invalid, void, unenforceable or against its regulatory policy, the remainder of the terms, provisions, covenants and r</w:t>
      </w:r>
      <w:r>
        <w:rPr>
          <w:sz w:val="20"/>
          <w:szCs w:val="20"/>
        </w:rPr>
        <w:t>estrictions of this Agreement shall remain in full force and effect and shall in no way be affected, impaired or invalidated so long as the economic and legal substance of the Transactions is not affected in any manner adverse to any Party. Upon such deter</w:t>
      </w:r>
      <w:r>
        <w:rPr>
          <w:sz w:val="20"/>
          <w:szCs w:val="20"/>
        </w:rPr>
        <w:t>mination that any term or other provision is invalid, illegal or incapable of being enforced, the Parties shall negotiate in good faith to modify this Agreement so as to effect the original intent of the Parties as closely as possible in a mutually accepta</w:t>
      </w:r>
      <w:r>
        <w:rPr>
          <w:sz w:val="20"/>
          <w:szCs w:val="20"/>
        </w:rPr>
        <w:t>ble manner in order that the Transactions be consummated as originally contemplated to the fullest extent possible.</w:t>
      </w:r>
    </w:p>
    <w:p w14:paraId="42ED2DD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0058893"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10.8   </w:t>
      </w:r>
      <w:r>
        <w:rPr>
          <w:sz w:val="20"/>
          <w:szCs w:val="20"/>
          <w:u w:val="single"/>
        </w:rPr>
        <w:t>Governing Law</w:t>
      </w:r>
      <w:r>
        <w:rPr>
          <w:sz w:val="20"/>
          <w:szCs w:val="20"/>
        </w:rPr>
        <w:t>. This Agreement shall be governed and construed in accordance with the Laws of the State of New York applicab</w:t>
      </w:r>
      <w:r>
        <w:rPr>
          <w:sz w:val="20"/>
          <w:szCs w:val="20"/>
        </w:rPr>
        <w:t xml:space="preserve">le to contracts to be made and performed entirely therein without giving effect to the principles of conflicts of law thereof or of any other jurisdiction, except that the following matters arising out of or relating to this Agreement shall be exclusively </w:t>
      </w:r>
      <w:r>
        <w:rPr>
          <w:sz w:val="20"/>
          <w:szCs w:val="20"/>
        </w:rPr>
        <w:t>interpreted, construed and governed by and in accordance with the Laws of the Cayman Islands, in respect of which the Parties hereby irrevocably submit to the exclusive jurisdiction of the courts of the Cayman Islands: (a) the Merger; (b) the vesting of th</w:t>
      </w:r>
      <w:r>
        <w:rPr>
          <w:sz w:val="20"/>
          <w:szCs w:val="20"/>
        </w:rPr>
        <w:t>e undertaking, property and liabilities of each of Merger Sub and the Company in the Surviving Company; (c) the cancellation of the Shares and the rights provided for in Section 238 of the Companies Act with respect to any Dissenting Shares; (d) the fiduci</w:t>
      </w:r>
      <w:r>
        <w:rPr>
          <w:sz w:val="20"/>
          <w:szCs w:val="20"/>
        </w:rPr>
        <w:t>ary or other duties of the Board and the directors of Parent and Merger Sub; (e) the general rights of the respective shareholders of the Company, Parent and Merger Sub; and (f) the internal corporate affairs of the Company, Parent and Merger Sub.</w:t>
      </w:r>
    </w:p>
    <w:p w14:paraId="0F552A9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14FF617" w14:textId="77777777" w:rsidR="00000000" w:rsidRDefault="002F725F">
      <w:pPr>
        <w:pStyle w:val="NormalWeb"/>
        <w:spacing w:before="0" w:beforeAutospacing="0" w:after="0" w:afterAutospacing="0"/>
        <w:jc w:val="both"/>
        <w:divId w:val="415980837"/>
        <w:rPr>
          <w:sz w:val="20"/>
          <w:szCs w:val="20"/>
        </w:rPr>
      </w:pPr>
      <w:r>
        <w:rPr>
          <w:sz w:val="20"/>
          <w:szCs w:val="20"/>
        </w:rPr>
        <w:t>Sectio</w:t>
      </w:r>
      <w:r>
        <w:rPr>
          <w:sz w:val="20"/>
          <w:szCs w:val="20"/>
        </w:rPr>
        <w:t xml:space="preserve">n 10.9   </w:t>
      </w:r>
      <w:r>
        <w:rPr>
          <w:sz w:val="20"/>
          <w:szCs w:val="20"/>
          <w:u w:val="single"/>
        </w:rPr>
        <w:t>Disputes</w:t>
      </w:r>
      <w:r>
        <w:rPr>
          <w:sz w:val="20"/>
          <w:szCs w:val="20"/>
        </w:rPr>
        <w:t>.</w:t>
      </w:r>
    </w:p>
    <w:p w14:paraId="03A0A747"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53DF6E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Subject to the exception for matters to be governed by the Laws of the Cayman Islands and subject to the jurisdiction of the courts of the Cayman Islands as set forth in </w:t>
      </w:r>
      <w:r>
        <w:rPr>
          <w:sz w:val="20"/>
          <w:szCs w:val="20"/>
          <w:u w:val="single"/>
        </w:rPr>
        <w:t>Section 10.8</w:t>
      </w:r>
      <w:r>
        <w:rPr>
          <w:sz w:val="20"/>
          <w:szCs w:val="20"/>
        </w:rPr>
        <w:t>, any Legal Proceeding arising out of or in any w</w:t>
      </w:r>
      <w:r>
        <w:rPr>
          <w:sz w:val="20"/>
          <w:szCs w:val="20"/>
        </w:rPr>
        <w:t>ay relating to this Agreement or the subject matter hereunder (including a dispute regarding the existence, validity, formation, effect, interpretation, performance or termination of this Agreement) shall be submitted to the Hong Kong International Arbitra</w:t>
      </w:r>
      <w:r>
        <w:rPr>
          <w:sz w:val="20"/>
          <w:szCs w:val="20"/>
        </w:rPr>
        <w:t>tion Centre (“</w:t>
      </w:r>
      <w:r>
        <w:rPr>
          <w:sz w:val="20"/>
          <w:szCs w:val="20"/>
          <w:u w:val="single"/>
        </w:rPr>
        <w:t>HKIAC</w:t>
      </w:r>
      <w:r>
        <w:rPr>
          <w:sz w:val="20"/>
          <w:szCs w:val="20"/>
        </w:rPr>
        <w:t xml:space="preserve">”) and resolved in accordance with the HKIAC Administered Arbitration Rules in force at the relevant time and as may be amended by this </w:t>
      </w:r>
      <w:r>
        <w:rPr>
          <w:sz w:val="20"/>
          <w:szCs w:val="20"/>
          <w:u w:val="single"/>
        </w:rPr>
        <w:t>Section 10.9</w:t>
      </w:r>
      <w:r>
        <w:rPr>
          <w:sz w:val="20"/>
          <w:szCs w:val="20"/>
        </w:rPr>
        <w:t xml:space="preserve"> (the “</w:t>
      </w:r>
      <w:r>
        <w:rPr>
          <w:sz w:val="20"/>
          <w:szCs w:val="20"/>
          <w:u w:val="single"/>
        </w:rPr>
        <w:t>HKIAC Rules</w:t>
      </w:r>
      <w:r>
        <w:rPr>
          <w:sz w:val="20"/>
          <w:szCs w:val="20"/>
        </w:rPr>
        <w:t xml:space="preserve">”). The place of arbitration shall be Hong Kong. The official language </w:t>
      </w:r>
      <w:r>
        <w:rPr>
          <w:sz w:val="20"/>
          <w:szCs w:val="20"/>
        </w:rPr>
        <w:t>of the arbitration shall be English and the tribunal shall consist of three arbitrators (each, an “</w:t>
      </w:r>
      <w:r>
        <w:rPr>
          <w:sz w:val="20"/>
          <w:szCs w:val="20"/>
          <w:u w:val="single"/>
        </w:rPr>
        <w:t>Arbitrator</w:t>
      </w:r>
      <w:r>
        <w:rPr>
          <w:sz w:val="20"/>
          <w:szCs w:val="20"/>
        </w:rPr>
        <w:t>”). The claimant(s), irrespective of number, shall nominate jointly one Arbitrator; the respondent(s), irrespective of number, shall nominate joint</w:t>
      </w:r>
      <w:r>
        <w:rPr>
          <w:sz w:val="20"/>
          <w:szCs w:val="20"/>
        </w:rPr>
        <w:t>ly one Arbitrator; and a third Arbitrator will be nominated jointly by the first two Arbitrators and shall serve as chairman of the arbitration tribunal. In the event the claimant(s) or respondent(s) or the first two Arbitrators shall fail to nominate or a</w:t>
      </w:r>
      <w:r>
        <w:rPr>
          <w:sz w:val="20"/>
          <w:szCs w:val="20"/>
        </w:rPr>
        <w:t>gree the joint nomination of an Arbitrator or the third Arbitrator within the time limits specified by the HKIAC Rules, such Arbitrator shall be appointed promptly by the HKIAC. The arbitration tribunal shall have no authority to award punitive or other pu</w:t>
      </w:r>
      <w:r>
        <w:rPr>
          <w:sz w:val="20"/>
          <w:szCs w:val="20"/>
        </w:rPr>
        <w:t>nitive-type damages. The award of the arbitration tribunal shall be final and binding upon the disputing parties. Any party to an award may apply to any court of competent jurisdiction for enforcement of such award and, for purposes of the enforcement of s</w:t>
      </w:r>
      <w:r>
        <w:rPr>
          <w:sz w:val="20"/>
          <w:szCs w:val="20"/>
        </w:rPr>
        <w:t>uch award, the Parties irrevocably and unconditionally submit to the jurisdiction of any court of competent jurisdiction and waive any defenses to such enforcement based on lack of personal jurisdiction or inconvenient forum. Notwithstanding the foregoing,</w:t>
      </w:r>
      <w:r>
        <w:rPr>
          <w:sz w:val="20"/>
          <w:szCs w:val="20"/>
        </w:rPr>
        <w:t xml:space="preserve"> the Parties hereby consent to and agree that in addition to any recourse to arbitration as set out in this </w:t>
      </w:r>
      <w:r>
        <w:rPr>
          <w:sz w:val="20"/>
          <w:szCs w:val="20"/>
          <w:u w:val="single"/>
        </w:rPr>
        <w:t>Section 10.9</w:t>
      </w:r>
      <w:r>
        <w:rPr>
          <w:sz w:val="20"/>
          <w:szCs w:val="20"/>
        </w:rPr>
        <w:t>, any Party hereto may, to the extent permitted under the rules and procedures of the HKIAC, seek an interim injunction or other form of</w:t>
      </w:r>
      <w:r>
        <w:rPr>
          <w:sz w:val="20"/>
          <w:szCs w:val="20"/>
        </w:rPr>
        <w:t xml:space="preserve"> relief from the HKIAC as provided for in the HKIAC Rules. Such application shall also be governed by, and construed in accordance with, the Laws of the State of New York.</w:t>
      </w:r>
    </w:p>
    <w:p w14:paraId="7534F66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BDD66AC" w14:textId="77777777" w:rsidR="00000000" w:rsidRDefault="002F725F">
      <w:pPr>
        <w:pStyle w:val="NormalWeb"/>
        <w:spacing w:before="0" w:beforeAutospacing="0" w:after="0" w:afterAutospacing="0"/>
        <w:jc w:val="center"/>
        <w:divId w:val="1140810570"/>
        <w:rPr>
          <w:sz w:val="20"/>
          <w:szCs w:val="20"/>
        </w:rPr>
      </w:pPr>
      <w:r>
        <w:rPr>
          <w:sz w:val="20"/>
          <w:szCs w:val="20"/>
        </w:rPr>
        <w:t>A</w:t>
      </w:r>
      <w:r>
        <w:rPr>
          <w:sz w:val="20"/>
          <w:szCs w:val="20"/>
        </w:rPr>
        <w:t>-</w:t>
      </w:r>
      <w:r>
        <w:rPr>
          <w:sz w:val="20"/>
          <w:szCs w:val="20"/>
        </w:rPr>
        <w:t>5</w:t>
      </w:r>
      <w:r>
        <w:rPr>
          <w:sz w:val="20"/>
          <w:szCs w:val="20"/>
        </w:rPr>
        <w:t>2</w:t>
      </w:r>
    </w:p>
    <w:p w14:paraId="47B89034" w14:textId="77777777" w:rsidR="00000000" w:rsidRDefault="002F725F">
      <w:pPr>
        <w:pStyle w:val="NormalWeb"/>
        <w:spacing w:before="0" w:beforeAutospacing="0" w:after="0" w:afterAutospacing="0"/>
        <w:divId w:val="1148092294"/>
        <w:rPr>
          <w:sz w:val="20"/>
          <w:szCs w:val="20"/>
        </w:rPr>
      </w:pPr>
      <w:r>
        <w:rPr>
          <w:sz w:val="20"/>
          <w:szCs w:val="20"/>
        </w:rPr>
        <w:t> </w:t>
      </w:r>
    </w:p>
    <w:p w14:paraId="0E80EBD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2E36B0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Each Party hereto hereby irrevocably and unconditionally waives any r</w:t>
      </w:r>
      <w:r>
        <w:rPr>
          <w:sz w:val="20"/>
          <w:szCs w:val="20"/>
        </w:rPr>
        <w:t>ight it may have to a trial by jury in respect of any litigation directly or indirectly arising out of or relating to this Agreement and any of the documents delivered in connection herewith or the Merger and other Transactions contemplated hereby or there</w:t>
      </w:r>
      <w:r>
        <w:rPr>
          <w:sz w:val="20"/>
          <w:szCs w:val="20"/>
        </w:rPr>
        <w:t xml:space="preserve">by. Each Party certifies and acknowledges that (a) no Representative of any other Party has represented, expressly or otherwise, that such other Party would not, in the event of litigation, seek to enforce either of such waivers; (b) it </w:t>
      </w:r>
      <w:r>
        <w:rPr>
          <w:sz w:val="20"/>
          <w:szCs w:val="20"/>
        </w:rPr>
        <w:lastRenderedPageBreak/>
        <w:t>understands and has</w:t>
      </w:r>
      <w:r>
        <w:rPr>
          <w:sz w:val="20"/>
          <w:szCs w:val="20"/>
        </w:rPr>
        <w:t xml:space="preserve"> considered the implications of such waivers; (c) it makes such waivers voluntarily; and (d) it has been induced to enter into this Agreement by, among other things, the mutual waivers and certifications in this </w:t>
      </w:r>
      <w:r>
        <w:rPr>
          <w:sz w:val="20"/>
          <w:szCs w:val="20"/>
          <w:u w:val="single"/>
        </w:rPr>
        <w:t>Section 10.9(b)</w:t>
      </w:r>
      <w:r>
        <w:rPr>
          <w:sz w:val="20"/>
          <w:szCs w:val="20"/>
        </w:rPr>
        <w:t>.</w:t>
      </w:r>
    </w:p>
    <w:p w14:paraId="698C89B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F8BD32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(c) Subject to the rights</w:t>
      </w:r>
      <w:r>
        <w:rPr>
          <w:sz w:val="20"/>
          <w:szCs w:val="20"/>
        </w:rPr>
        <w:t xml:space="preserve"> and remedies of the Parties otherwise provided herein in the case of a breach by the other Party, each Party agrees that the prevailing Party shall be entitled to reimbursement of all reasonable and documented costs and expenses, including all reasonable </w:t>
      </w:r>
      <w:r>
        <w:rPr>
          <w:sz w:val="20"/>
          <w:szCs w:val="20"/>
        </w:rPr>
        <w:t>and documented attorney’s fees, in connection with any Legal Proceeding arising out of or relating to a fraud or a willful breach of this Agreement on the part of the other Party; </w:t>
      </w:r>
      <w:r>
        <w:rPr>
          <w:sz w:val="20"/>
          <w:szCs w:val="20"/>
          <w:u w:val="single"/>
        </w:rPr>
        <w:t>provided</w:t>
      </w:r>
      <w:r>
        <w:rPr>
          <w:sz w:val="20"/>
          <w:szCs w:val="20"/>
        </w:rPr>
        <w:t xml:space="preserve">, that </w:t>
      </w:r>
      <w:r>
        <w:rPr>
          <w:sz w:val="20"/>
          <w:szCs w:val="20"/>
          <w:u w:val="single"/>
        </w:rPr>
        <w:t>Section 9.3</w:t>
      </w:r>
      <w:r>
        <w:rPr>
          <w:sz w:val="20"/>
          <w:szCs w:val="20"/>
        </w:rPr>
        <w:t xml:space="preserve"> shall apply in lieu of this </w:t>
      </w:r>
      <w:r>
        <w:rPr>
          <w:sz w:val="20"/>
          <w:szCs w:val="20"/>
          <w:u w:val="single"/>
        </w:rPr>
        <w:t>Section 10.9(c)</w:t>
      </w:r>
      <w:r>
        <w:rPr>
          <w:sz w:val="20"/>
          <w:szCs w:val="20"/>
        </w:rPr>
        <w:t xml:space="preserve"> in an</w:t>
      </w:r>
      <w:r>
        <w:rPr>
          <w:sz w:val="20"/>
          <w:szCs w:val="20"/>
        </w:rPr>
        <w:t>y circumstance where the Company Termination Fee or Parent Termination Fee, as the case may be, is paid or payable.</w:t>
      </w:r>
    </w:p>
    <w:p w14:paraId="422F527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C7B388F"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10.10 </w:t>
      </w:r>
      <w:r>
        <w:rPr>
          <w:sz w:val="20"/>
          <w:szCs w:val="20"/>
          <w:u w:val="single"/>
        </w:rPr>
        <w:t>Specific Performance</w:t>
      </w:r>
      <w:r>
        <w:rPr>
          <w:sz w:val="20"/>
          <w:szCs w:val="20"/>
        </w:rPr>
        <w:t>.</w:t>
      </w:r>
    </w:p>
    <w:p w14:paraId="0E35889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36C4C226"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(a) The Parties agree that irreparable damage for which monetary damages, even if available, would n</w:t>
      </w:r>
      <w:r>
        <w:rPr>
          <w:sz w:val="20"/>
          <w:szCs w:val="20"/>
        </w:rPr>
        <w:t>ot be an adequate remedy, would occur in the event that the Parties do not perform their obligations under the provisions of this Agreement (including failing to take such actions as are required of them hereunder to consummate the Transactions) in accorda</w:t>
      </w:r>
      <w:r>
        <w:rPr>
          <w:sz w:val="20"/>
          <w:szCs w:val="20"/>
        </w:rPr>
        <w:t>nce with its specified terms or otherwise breach such provisions. The Parties acknowledge and agree that the Parties shall be entitled to an injunction, specific performance, or other equitable relief, to prevent breaches of this Agreement and to enforce s</w:t>
      </w:r>
      <w:r>
        <w:rPr>
          <w:sz w:val="20"/>
          <w:szCs w:val="20"/>
        </w:rPr>
        <w:t xml:space="preserve">pecifically the terms and provisions hereof, without proof of damages, prior to the valid termination of this Agreement in accordance with </w:t>
      </w:r>
      <w:r>
        <w:rPr>
          <w:sz w:val="20"/>
          <w:szCs w:val="20"/>
          <w:u w:val="single"/>
        </w:rPr>
        <w:t>Section 9.1</w:t>
      </w:r>
      <w:r>
        <w:rPr>
          <w:sz w:val="20"/>
          <w:szCs w:val="20"/>
        </w:rPr>
        <w:t>, this being in addition to any other remedy to which they are entitled under this Agreement.</w:t>
      </w:r>
    </w:p>
    <w:p w14:paraId="3558EA5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2F240BB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The pr</w:t>
      </w:r>
      <w:r>
        <w:rPr>
          <w:sz w:val="20"/>
          <w:szCs w:val="20"/>
        </w:rPr>
        <w:t xml:space="preserve">ovisions set forth in </w:t>
      </w:r>
      <w:r>
        <w:rPr>
          <w:sz w:val="20"/>
          <w:szCs w:val="20"/>
          <w:u w:val="single"/>
        </w:rPr>
        <w:t>Section 9.3</w:t>
      </w:r>
      <w:r>
        <w:rPr>
          <w:sz w:val="20"/>
          <w:szCs w:val="20"/>
        </w:rPr>
        <w:t xml:space="preserve"> (i) are not intended to and do not adequately compensate for the harm that would result from a breach of this Agreement; and (ii) shall not be construed to diminish or otherwise impair in any respect any Party’s right to s</w:t>
      </w:r>
      <w:r>
        <w:rPr>
          <w:sz w:val="20"/>
          <w:szCs w:val="20"/>
        </w:rPr>
        <w:t>pecific enforcement and the right of specific enforcement is an integral part of the Transactions contemplated by this Agreement and without that right, none of the Company, Parent, or Merger Sub would have entered into this Agreement. Each Party agrees th</w:t>
      </w:r>
      <w:r>
        <w:rPr>
          <w:sz w:val="20"/>
          <w:szCs w:val="20"/>
        </w:rPr>
        <w:t xml:space="preserve">at it will not oppose the granting of specific performance and other equitable relief on the basis that the other Parties have an adequate remedy at Law or that an award of specific performance is not an appropriate remedy for any reason at Law or equity. </w:t>
      </w:r>
      <w:r>
        <w:rPr>
          <w:sz w:val="20"/>
          <w:szCs w:val="20"/>
        </w:rPr>
        <w:t>The Parties acknowledge and agree that any Party seeking an injunction to prevent breaches of this Agreement and to enforce specifically the terms and provisions of this Agreement shall not be required to provide any bond or other security in connection wi</w:t>
      </w:r>
      <w:r>
        <w:rPr>
          <w:sz w:val="20"/>
          <w:szCs w:val="20"/>
        </w:rPr>
        <w:t>th any such injunction. Until such time as the Company pays the Company Termination Fee or Parent pays the Parent Termination Fee, the remedies available to each Party shall be in addition to any other remedy to which they are entitled to at law or in equi</w:t>
      </w:r>
      <w:r>
        <w:rPr>
          <w:sz w:val="20"/>
          <w:szCs w:val="20"/>
        </w:rPr>
        <w:t xml:space="preserve">ty; </w:t>
      </w:r>
      <w:r>
        <w:rPr>
          <w:sz w:val="20"/>
          <w:szCs w:val="20"/>
          <w:u w:val="single"/>
        </w:rPr>
        <w:t>provided</w:t>
      </w:r>
      <w:r>
        <w:rPr>
          <w:sz w:val="20"/>
          <w:szCs w:val="20"/>
        </w:rPr>
        <w:t xml:space="preserve"> that once the Company pays the Company Termination Fee or Parent pays the Parent Termination Fee, as the case may be, plus reimbursement and interest pursuant to </w:t>
      </w:r>
      <w:r>
        <w:rPr>
          <w:sz w:val="20"/>
          <w:szCs w:val="20"/>
          <w:u w:val="single"/>
        </w:rPr>
        <w:t>Section 9.3(c)</w:t>
      </w:r>
      <w:r>
        <w:rPr>
          <w:sz w:val="20"/>
          <w:szCs w:val="20"/>
        </w:rPr>
        <w:t>, if any, any other remedies shall not be available against the Par</w:t>
      </w:r>
      <w:r>
        <w:rPr>
          <w:sz w:val="20"/>
          <w:szCs w:val="20"/>
        </w:rPr>
        <w:t>ty making such payment and, if such Party is the Company, against any other member of the Company Related Parties, or if such Party is Parent or Merger Sub, against any other member of the Parent Group.</w:t>
      </w:r>
    </w:p>
    <w:p w14:paraId="14E13C3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FD03605" w14:textId="77777777" w:rsidR="00000000" w:rsidRDefault="002F725F">
      <w:pPr>
        <w:pStyle w:val="NormalWeb"/>
        <w:spacing w:before="0" w:beforeAutospacing="0" w:after="0" w:afterAutospacing="0"/>
        <w:jc w:val="center"/>
        <w:divId w:val="1689912139"/>
        <w:rPr>
          <w:sz w:val="20"/>
          <w:szCs w:val="20"/>
        </w:rPr>
      </w:pPr>
      <w:r>
        <w:rPr>
          <w:sz w:val="20"/>
          <w:szCs w:val="20"/>
        </w:rPr>
        <w:t>A</w:t>
      </w:r>
      <w:r>
        <w:rPr>
          <w:sz w:val="20"/>
          <w:szCs w:val="20"/>
        </w:rPr>
        <w:t>-</w:t>
      </w:r>
      <w:r>
        <w:rPr>
          <w:sz w:val="20"/>
          <w:szCs w:val="20"/>
        </w:rPr>
        <w:t>5</w:t>
      </w:r>
      <w:r>
        <w:rPr>
          <w:sz w:val="20"/>
          <w:szCs w:val="20"/>
        </w:rPr>
        <w:t>3</w:t>
      </w:r>
    </w:p>
    <w:p w14:paraId="11B51318" w14:textId="77777777" w:rsidR="00000000" w:rsidRDefault="002F725F">
      <w:pPr>
        <w:pStyle w:val="NormalWeb"/>
        <w:spacing w:before="0" w:beforeAutospacing="0" w:after="0" w:afterAutospacing="0"/>
        <w:divId w:val="1759713932"/>
        <w:rPr>
          <w:sz w:val="20"/>
          <w:szCs w:val="20"/>
        </w:rPr>
      </w:pPr>
      <w:r>
        <w:rPr>
          <w:sz w:val="20"/>
          <w:szCs w:val="20"/>
        </w:rPr>
        <w:t> </w:t>
      </w:r>
    </w:p>
    <w:p w14:paraId="6AAA38D0"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F526D24"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10.11 </w:t>
      </w:r>
      <w:r>
        <w:rPr>
          <w:sz w:val="20"/>
          <w:szCs w:val="20"/>
          <w:u w:val="single"/>
        </w:rPr>
        <w:t>Assignment</w:t>
      </w:r>
      <w:r>
        <w:rPr>
          <w:sz w:val="20"/>
          <w:szCs w:val="20"/>
        </w:rPr>
        <w:t xml:space="preserve">. Neither this Agreement nor any of the rights, interests or obligations hereunder shall be assigned or delegated, in whole or in part, by operation of Law or otherwise, by any of the Parities without the prior written consent of the other Parties, except </w:t>
      </w:r>
      <w:r>
        <w:rPr>
          <w:sz w:val="20"/>
          <w:szCs w:val="20"/>
        </w:rPr>
        <w:t xml:space="preserve">that prior to the Effective Time, Parent and Merger Sub may assign all or any of their rights and obligations to any direct wholly owned Subsidiary of Parent; </w:t>
      </w:r>
      <w:r>
        <w:rPr>
          <w:sz w:val="20"/>
          <w:szCs w:val="20"/>
          <w:u w:val="single"/>
        </w:rPr>
        <w:t>provided</w:t>
      </w:r>
      <w:r>
        <w:rPr>
          <w:sz w:val="20"/>
          <w:szCs w:val="20"/>
        </w:rPr>
        <w:t>, that no such assignment shall relieve Parent or Merger Sub of its obligations hereunder</w:t>
      </w:r>
      <w:r>
        <w:rPr>
          <w:sz w:val="20"/>
          <w:szCs w:val="20"/>
        </w:rPr>
        <w:t xml:space="preserve"> if such assignee does not perform such obligations, and any assignment in violation of this sentence shall be null and void. Subject to the preceding sentence, this Agreement will be binding upon, inure to the benefit of and be enforceable by the Parties </w:t>
      </w:r>
      <w:r>
        <w:rPr>
          <w:sz w:val="20"/>
          <w:szCs w:val="20"/>
        </w:rPr>
        <w:t>and their respective permitted successors and assigns.</w:t>
      </w:r>
    </w:p>
    <w:p w14:paraId="3831AEE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510CAC8"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 xml:space="preserve">Section 10.12 </w:t>
      </w:r>
      <w:r>
        <w:rPr>
          <w:sz w:val="20"/>
          <w:szCs w:val="20"/>
          <w:u w:val="single"/>
        </w:rPr>
        <w:t>Confidentiality</w:t>
      </w:r>
      <w:r>
        <w:rPr>
          <w:sz w:val="20"/>
          <w:szCs w:val="20"/>
        </w:rPr>
        <w:t xml:space="preserve">. The confidentiality obligations of the Confidentiality Agreements shall continue in full force and effect until the earlier of the Effective Time or the termination of </w:t>
      </w:r>
      <w:r>
        <w:rPr>
          <w:sz w:val="20"/>
          <w:szCs w:val="20"/>
        </w:rPr>
        <w:t>the Confidentiality Agreements in accordance with their respective terms.</w:t>
      </w:r>
    </w:p>
    <w:p w14:paraId="5040513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E77AC47"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10.13 </w:t>
      </w:r>
      <w:r>
        <w:rPr>
          <w:sz w:val="20"/>
          <w:szCs w:val="20"/>
          <w:u w:val="single"/>
        </w:rPr>
        <w:t>Expenses</w:t>
      </w:r>
      <w:r>
        <w:rPr>
          <w:sz w:val="20"/>
          <w:szCs w:val="20"/>
        </w:rPr>
        <w:t xml:space="preserve">. Subject to </w:t>
      </w:r>
      <w:r>
        <w:rPr>
          <w:sz w:val="20"/>
          <w:szCs w:val="20"/>
          <w:u w:val="single"/>
        </w:rPr>
        <w:t>Section 9.3</w:t>
      </w:r>
      <w:r>
        <w:rPr>
          <w:sz w:val="20"/>
          <w:szCs w:val="20"/>
        </w:rPr>
        <w:t xml:space="preserve">, all costs and expenses incurred in connection with the Transactions, the Transaction </w:t>
      </w:r>
      <w:r>
        <w:rPr>
          <w:sz w:val="20"/>
          <w:szCs w:val="20"/>
        </w:rPr>
        <w:t>Documents and the consummation of the Transactions shall be paid by the Party incurring such costs and expenses, whether or not the Transactions are consummated.</w:t>
      </w:r>
    </w:p>
    <w:p w14:paraId="6018F3B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84A77BE"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10.14 </w:t>
      </w:r>
      <w:r>
        <w:rPr>
          <w:sz w:val="20"/>
          <w:szCs w:val="20"/>
          <w:u w:val="single"/>
        </w:rPr>
        <w:t>Headings</w:t>
      </w:r>
      <w:r>
        <w:rPr>
          <w:sz w:val="20"/>
          <w:szCs w:val="20"/>
        </w:rPr>
        <w:t xml:space="preserve">. Headings of the articles, sections, clauses and sub-clauses of this </w:t>
      </w:r>
      <w:r>
        <w:rPr>
          <w:sz w:val="20"/>
          <w:szCs w:val="20"/>
        </w:rPr>
        <w:t>Agreement and the table of contents, annexes, schedules and/or exhibits are for convenience of the Parties only and shall be given no substantive or interpretative effect whatsoever.</w:t>
      </w:r>
    </w:p>
    <w:p w14:paraId="1BE079B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DA9EBC0"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10.15 </w:t>
      </w:r>
      <w:r>
        <w:rPr>
          <w:sz w:val="20"/>
          <w:szCs w:val="20"/>
          <w:u w:val="single"/>
        </w:rPr>
        <w:t>Waivers</w:t>
      </w:r>
      <w:r>
        <w:rPr>
          <w:sz w:val="20"/>
          <w:szCs w:val="20"/>
        </w:rPr>
        <w:t xml:space="preserve">. Except as otherwise provided in this Agreement, </w:t>
      </w:r>
      <w:r>
        <w:rPr>
          <w:sz w:val="20"/>
          <w:szCs w:val="20"/>
        </w:rPr>
        <w:t>any failure of any of the Parties to comply with any obligation, covenant, agreement or condition herein may be waived by the Party or Parties entitled to the benefits thereof only by a written instrument signed by the Party expressly granting such waiver,</w:t>
      </w:r>
      <w:r>
        <w:rPr>
          <w:sz w:val="20"/>
          <w:szCs w:val="20"/>
        </w:rPr>
        <w:t xml:space="preserve"> but such waiver or failure to insist upon strict compliance with such obligation, covenant, agreement or condition shall not operate as a waiver of, or estoppel with respect to, any subsequent or other failure.</w:t>
      </w:r>
    </w:p>
    <w:p w14:paraId="4AC5D3C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25B6260"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10.16 </w:t>
      </w:r>
      <w:r>
        <w:rPr>
          <w:sz w:val="20"/>
          <w:szCs w:val="20"/>
          <w:u w:val="single"/>
        </w:rPr>
        <w:t>Special Committee Approval</w:t>
      </w:r>
      <w:r>
        <w:rPr>
          <w:sz w:val="20"/>
          <w:szCs w:val="20"/>
        </w:rPr>
        <w:t xml:space="preserve">. </w:t>
      </w:r>
      <w:r>
        <w:rPr>
          <w:sz w:val="20"/>
          <w:szCs w:val="20"/>
        </w:rPr>
        <w:t>Subject to the requirements of applicable Laws, any amendment, consent, waiver or other determination to be made, or action to be taken, by the Company or the Board under or with respect to this Agreement shall be made or taken at the direction and upon th</w:t>
      </w:r>
      <w:r>
        <w:rPr>
          <w:sz w:val="20"/>
          <w:szCs w:val="20"/>
        </w:rPr>
        <w:t>e approval of, and only at the direction and upon the approval of, the Special Committee. The Special Committee, and only the Special Committee, may pursue any action or litigation with respect to breaches of this Agreement on behalf of the Company.</w:t>
      </w:r>
    </w:p>
    <w:p w14:paraId="26D9BCD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A2F48C6" w14:textId="77777777" w:rsidR="00000000" w:rsidRDefault="002F725F">
      <w:pPr>
        <w:pStyle w:val="NormalWeb"/>
        <w:spacing w:before="0" w:beforeAutospacing="0" w:after="0" w:afterAutospacing="0"/>
        <w:jc w:val="center"/>
        <w:divId w:val="415980837"/>
        <w:rPr>
          <w:sz w:val="20"/>
          <w:szCs w:val="20"/>
        </w:rPr>
      </w:pPr>
      <w:r>
        <w:rPr>
          <w:sz w:val="20"/>
          <w:szCs w:val="20"/>
        </w:rPr>
        <w:t>[The</w:t>
      </w:r>
      <w:r>
        <w:rPr>
          <w:sz w:val="20"/>
          <w:szCs w:val="20"/>
        </w:rPr>
        <w:t xml:space="preserve"> remainder of this page is intentionally left blank.]</w:t>
      </w:r>
    </w:p>
    <w:p w14:paraId="53078947" w14:textId="77777777" w:rsidR="00000000" w:rsidRDefault="002F725F">
      <w:pPr>
        <w:pStyle w:val="NormalWeb"/>
        <w:spacing w:before="0" w:beforeAutospacing="0" w:after="0" w:afterAutospacing="0"/>
        <w:divId w:val="415980837"/>
        <w:rPr>
          <w:sz w:val="20"/>
          <w:szCs w:val="20"/>
        </w:rPr>
      </w:pPr>
      <w:r>
        <w:rPr>
          <w:sz w:val="20"/>
          <w:szCs w:val="20"/>
        </w:rPr>
        <w:t> </w:t>
      </w:r>
    </w:p>
    <w:p w14:paraId="632A4F38" w14:textId="77777777" w:rsidR="00000000" w:rsidRDefault="002F725F">
      <w:pPr>
        <w:pStyle w:val="NormalWeb"/>
        <w:spacing w:before="0" w:beforeAutospacing="0" w:after="0" w:afterAutospacing="0"/>
        <w:jc w:val="center"/>
        <w:divId w:val="165023016"/>
        <w:rPr>
          <w:sz w:val="20"/>
          <w:szCs w:val="20"/>
        </w:rPr>
      </w:pPr>
      <w:r>
        <w:rPr>
          <w:sz w:val="20"/>
          <w:szCs w:val="20"/>
        </w:rPr>
        <w:t>A</w:t>
      </w:r>
      <w:r>
        <w:rPr>
          <w:sz w:val="20"/>
          <w:szCs w:val="20"/>
        </w:rPr>
        <w:t>-</w:t>
      </w:r>
      <w:r>
        <w:rPr>
          <w:sz w:val="20"/>
          <w:szCs w:val="20"/>
        </w:rPr>
        <w:t>5</w:t>
      </w:r>
      <w:r>
        <w:rPr>
          <w:sz w:val="20"/>
          <w:szCs w:val="20"/>
        </w:rPr>
        <w:t>4</w:t>
      </w:r>
    </w:p>
    <w:p w14:paraId="692DFCCB" w14:textId="77777777" w:rsidR="00000000" w:rsidRDefault="002F725F">
      <w:pPr>
        <w:pStyle w:val="NormalWeb"/>
        <w:spacing w:before="0" w:beforeAutospacing="0" w:after="0" w:afterAutospacing="0"/>
        <w:divId w:val="881016106"/>
        <w:rPr>
          <w:sz w:val="20"/>
          <w:szCs w:val="20"/>
        </w:rPr>
      </w:pPr>
      <w:r>
        <w:rPr>
          <w:sz w:val="20"/>
          <w:szCs w:val="20"/>
        </w:rPr>
        <w:t> </w:t>
      </w:r>
    </w:p>
    <w:p w14:paraId="2447F5B4" w14:textId="77777777" w:rsidR="00000000" w:rsidRDefault="002F725F">
      <w:pPr>
        <w:pStyle w:val="NormalWeb"/>
        <w:spacing w:before="0" w:beforeAutospacing="0" w:after="0" w:afterAutospacing="0"/>
        <w:divId w:val="415980837"/>
        <w:rPr>
          <w:sz w:val="20"/>
          <w:szCs w:val="20"/>
        </w:rPr>
      </w:pPr>
      <w:r>
        <w:rPr>
          <w:sz w:val="20"/>
          <w:szCs w:val="20"/>
        </w:rPr>
        <w:t> </w:t>
      </w:r>
    </w:p>
    <w:p w14:paraId="77A9BAD3" w14:textId="77777777" w:rsidR="00000000" w:rsidRDefault="002F725F">
      <w:pPr>
        <w:pStyle w:val="NormalWeb"/>
        <w:spacing w:before="0" w:beforeAutospacing="0" w:after="0" w:afterAutospacing="0"/>
        <w:jc w:val="both"/>
        <w:divId w:val="415980837"/>
        <w:rPr>
          <w:sz w:val="20"/>
          <w:szCs w:val="20"/>
        </w:rPr>
      </w:pPr>
      <w:r>
        <w:rPr>
          <w:sz w:val="20"/>
          <w:szCs w:val="20"/>
        </w:rPr>
        <w:t>IN WITNESS WHEREOF, the Company, Parent and Merger Sub have caused this Agreement to be signed by their respective officers or directors thereunto duly authorized as of the date first written</w:t>
      </w:r>
      <w:r>
        <w:rPr>
          <w:sz w:val="20"/>
          <w:szCs w:val="20"/>
        </w:rPr>
        <w:t xml:space="preserve"> above.</w:t>
      </w:r>
    </w:p>
    <w:p w14:paraId="457138F2" w14:textId="77777777" w:rsidR="00000000" w:rsidRDefault="002F725F">
      <w:pPr>
        <w:pStyle w:val="NormalWeb"/>
        <w:spacing w:before="0" w:beforeAutospacing="0" w:after="0" w:afterAutospacing="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5532"/>
        <w:gridCol w:w="289"/>
        <w:gridCol w:w="534"/>
        <w:gridCol w:w="3005"/>
      </w:tblGrid>
      <w:tr w:rsidR="00000000" w14:paraId="7A8787AA" w14:textId="77777777">
        <w:trPr>
          <w:divId w:val="415980837"/>
        </w:trPr>
        <w:tc>
          <w:tcPr>
            <w:tcW w:w="0" w:type="auto"/>
            <w:hideMark/>
          </w:tcPr>
          <w:p w14:paraId="23A28557"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2CE223E3" w14:textId="77777777" w:rsidR="00000000" w:rsidRDefault="002F725F">
            <w:pPr>
              <w:rPr>
                <w:rFonts w:eastAsia="Times New Roman"/>
                <w:sz w:val="20"/>
                <w:szCs w:val="20"/>
              </w:rPr>
            </w:pPr>
            <w:r>
              <w:rPr>
                <w:rFonts w:eastAsia="Times New Roman"/>
                <w:sz w:val="20"/>
                <w:szCs w:val="20"/>
              </w:rPr>
              <w:t>LAKESHORE BIOPHARMA CO., LTD</w:t>
            </w:r>
          </w:p>
        </w:tc>
      </w:tr>
      <w:tr w:rsidR="00000000" w14:paraId="207E7839" w14:textId="77777777">
        <w:trPr>
          <w:divId w:val="415980837"/>
        </w:trPr>
        <w:tc>
          <w:tcPr>
            <w:tcW w:w="0" w:type="auto"/>
            <w:hideMark/>
          </w:tcPr>
          <w:p w14:paraId="3C6C7A8C" w14:textId="77777777" w:rsidR="00000000" w:rsidRDefault="002F725F">
            <w:pPr>
              <w:rPr>
                <w:rFonts w:eastAsia="Times New Roman"/>
                <w:sz w:val="20"/>
                <w:szCs w:val="20"/>
              </w:rPr>
            </w:pPr>
            <w:r>
              <w:rPr>
                <w:rFonts w:eastAsia="Times New Roman"/>
                <w:sz w:val="20"/>
                <w:szCs w:val="20"/>
              </w:rPr>
              <w:t> </w:t>
            </w:r>
          </w:p>
        </w:tc>
        <w:tc>
          <w:tcPr>
            <w:tcW w:w="0" w:type="auto"/>
            <w:hideMark/>
          </w:tcPr>
          <w:p w14:paraId="28A61504" w14:textId="77777777" w:rsidR="00000000" w:rsidRDefault="002F725F">
            <w:pPr>
              <w:rPr>
                <w:rFonts w:eastAsia="Times New Roman"/>
                <w:sz w:val="20"/>
                <w:szCs w:val="20"/>
              </w:rPr>
            </w:pPr>
            <w:r>
              <w:rPr>
                <w:rFonts w:eastAsia="Times New Roman"/>
                <w:sz w:val="20"/>
                <w:szCs w:val="20"/>
              </w:rPr>
              <w:t> </w:t>
            </w:r>
          </w:p>
        </w:tc>
        <w:tc>
          <w:tcPr>
            <w:tcW w:w="0" w:type="auto"/>
            <w:gridSpan w:val="2"/>
            <w:hideMark/>
          </w:tcPr>
          <w:p w14:paraId="06811139" w14:textId="77777777" w:rsidR="00000000" w:rsidRDefault="002F725F">
            <w:pPr>
              <w:rPr>
                <w:rFonts w:eastAsia="Times New Roman"/>
                <w:sz w:val="20"/>
                <w:szCs w:val="20"/>
              </w:rPr>
            </w:pPr>
            <w:r>
              <w:rPr>
                <w:rFonts w:eastAsia="Times New Roman"/>
                <w:sz w:val="20"/>
                <w:szCs w:val="20"/>
              </w:rPr>
              <w:t> </w:t>
            </w:r>
          </w:p>
        </w:tc>
      </w:tr>
      <w:tr w:rsidR="00000000" w14:paraId="6B5C1B46" w14:textId="77777777">
        <w:trPr>
          <w:divId w:val="415980837"/>
        </w:trPr>
        <w:tc>
          <w:tcPr>
            <w:tcW w:w="0" w:type="auto"/>
            <w:hideMark/>
          </w:tcPr>
          <w:p w14:paraId="2ED6E53F" w14:textId="77777777" w:rsidR="00000000" w:rsidRDefault="002F725F">
            <w:pPr>
              <w:rPr>
                <w:rFonts w:eastAsia="Times New Roman"/>
                <w:sz w:val="20"/>
                <w:szCs w:val="20"/>
              </w:rPr>
            </w:pPr>
            <w:r>
              <w:rPr>
                <w:rFonts w:eastAsia="Times New Roman"/>
                <w:sz w:val="20"/>
                <w:szCs w:val="20"/>
              </w:rPr>
              <w:t> </w:t>
            </w:r>
          </w:p>
        </w:tc>
        <w:tc>
          <w:tcPr>
            <w:tcW w:w="0" w:type="auto"/>
            <w:hideMark/>
          </w:tcPr>
          <w:p w14:paraId="052560C1" w14:textId="77777777" w:rsidR="00000000" w:rsidRDefault="002F725F">
            <w:pPr>
              <w:rPr>
                <w:rFonts w:eastAsia="Times New Roman"/>
                <w:sz w:val="20"/>
                <w:szCs w:val="20"/>
              </w:rPr>
            </w:pPr>
            <w:r>
              <w:rPr>
                <w:rFonts w:eastAsia="Times New Roman"/>
                <w:sz w:val="20"/>
                <w:szCs w:val="20"/>
              </w:rPr>
              <w:t>By:</w:t>
            </w:r>
          </w:p>
        </w:tc>
        <w:tc>
          <w:tcPr>
            <w:tcW w:w="0" w:type="auto"/>
            <w:gridSpan w:val="2"/>
            <w:tcBorders>
              <w:bottom w:val="single" w:sz="12" w:space="0" w:color="000000"/>
            </w:tcBorders>
            <w:hideMark/>
          </w:tcPr>
          <w:p w14:paraId="05FD8ECE" w14:textId="77777777" w:rsidR="00000000" w:rsidRDefault="002F725F">
            <w:pPr>
              <w:rPr>
                <w:rFonts w:eastAsia="Times New Roman"/>
                <w:sz w:val="20"/>
                <w:szCs w:val="20"/>
              </w:rPr>
            </w:pPr>
            <w:r>
              <w:rPr>
                <w:rFonts w:eastAsia="Times New Roman"/>
                <w:sz w:val="20"/>
                <w:szCs w:val="20"/>
              </w:rPr>
              <w:t>/s/ Jutao (Adam) Zhao</w:t>
            </w:r>
          </w:p>
        </w:tc>
      </w:tr>
      <w:tr w:rsidR="00000000" w14:paraId="70268D58" w14:textId="77777777">
        <w:trPr>
          <w:divId w:val="415980837"/>
        </w:trPr>
        <w:tc>
          <w:tcPr>
            <w:tcW w:w="3000" w:type="pct"/>
            <w:hideMark/>
          </w:tcPr>
          <w:p w14:paraId="478F2D3D" w14:textId="77777777" w:rsidR="00000000" w:rsidRDefault="002F725F">
            <w:pPr>
              <w:rPr>
                <w:rFonts w:eastAsia="Times New Roman"/>
                <w:sz w:val="20"/>
                <w:szCs w:val="20"/>
              </w:rPr>
            </w:pPr>
            <w:r>
              <w:rPr>
                <w:rFonts w:eastAsia="Times New Roman"/>
                <w:sz w:val="20"/>
                <w:szCs w:val="20"/>
              </w:rPr>
              <w:t> </w:t>
            </w:r>
          </w:p>
        </w:tc>
        <w:tc>
          <w:tcPr>
            <w:tcW w:w="150" w:type="pct"/>
            <w:hideMark/>
          </w:tcPr>
          <w:p w14:paraId="5AC74AB6" w14:textId="77777777" w:rsidR="00000000" w:rsidRDefault="002F725F">
            <w:pPr>
              <w:rPr>
                <w:rFonts w:eastAsia="Times New Roman"/>
                <w:sz w:val="20"/>
                <w:szCs w:val="20"/>
              </w:rPr>
            </w:pPr>
            <w:r>
              <w:rPr>
                <w:rFonts w:eastAsia="Times New Roman"/>
                <w:sz w:val="20"/>
                <w:szCs w:val="20"/>
              </w:rPr>
              <w:t> </w:t>
            </w:r>
          </w:p>
        </w:tc>
        <w:tc>
          <w:tcPr>
            <w:tcW w:w="200" w:type="pct"/>
            <w:hideMark/>
          </w:tcPr>
          <w:p w14:paraId="2A8A01E2" w14:textId="77777777" w:rsidR="00000000" w:rsidRDefault="002F725F">
            <w:pPr>
              <w:rPr>
                <w:rFonts w:eastAsia="Times New Roman"/>
                <w:sz w:val="20"/>
                <w:szCs w:val="20"/>
              </w:rPr>
            </w:pPr>
            <w:r>
              <w:rPr>
                <w:rFonts w:eastAsia="Times New Roman"/>
                <w:sz w:val="20"/>
                <w:szCs w:val="20"/>
              </w:rPr>
              <w:t xml:space="preserve">Name: </w:t>
            </w:r>
          </w:p>
        </w:tc>
        <w:tc>
          <w:tcPr>
            <w:tcW w:w="1650" w:type="pct"/>
            <w:hideMark/>
          </w:tcPr>
          <w:p w14:paraId="0B7705CF" w14:textId="77777777" w:rsidR="00000000" w:rsidRDefault="002F725F">
            <w:pPr>
              <w:rPr>
                <w:rFonts w:eastAsia="Times New Roman"/>
                <w:sz w:val="20"/>
                <w:szCs w:val="20"/>
              </w:rPr>
            </w:pPr>
            <w:r>
              <w:rPr>
                <w:rFonts w:eastAsia="Times New Roman"/>
                <w:sz w:val="20"/>
                <w:szCs w:val="20"/>
              </w:rPr>
              <w:t>Jutao (Adam) Zhao</w:t>
            </w:r>
          </w:p>
        </w:tc>
      </w:tr>
      <w:tr w:rsidR="00000000" w14:paraId="5D9994C8" w14:textId="77777777">
        <w:trPr>
          <w:divId w:val="415980837"/>
        </w:trPr>
        <w:tc>
          <w:tcPr>
            <w:tcW w:w="0" w:type="auto"/>
            <w:hideMark/>
          </w:tcPr>
          <w:p w14:paraId="12095D30" w14:textId="77777777" w:rsidR="00000000" w:rsidRDefault="002F725F">
            <w:pPr>
              <w:rPr>
                <w:rFonts w:eastAsia="Times New Roman"/>
                <w:sz w:val="20"/>
                <w:szCs w:val="20"/>
              </w:rPr>
            </w:pPr>
            <w:r>
              <w:rPr>
                <w:rFonts w:eastAsia="Times New Roman"/>
                <w:sz w:val="20"/>
                <w:szCs w:val="20"/>
              </w:rPr>
              <w:t> </w:t>
            </w:r>
          </w:p>
        </w:tc>
        <w:tc>
          <w:tcPr>
            <w:tcW w:w="0" w:type="auto"/>
            <w:hideMark/>
          </w:tcPr>
          <w:p w14:paraId="0C48A36D" w14:textId="77777777" w:rsidR="00000000" w:rsidRDefault="002F725F">
            <w:pPr>
              <w:rPr>
                <w:rFonts w:eastAsia="Times New Roman"/>
                <w:sz w:val="20"/>
                <w:szCs w:val="20"/>
              </w:rPr>
            </w:pPr>
            <w:r>
              <w:rPr>
                <w:rFonts w:eastAsia="Times New Roman"/>
                <w:sz w:val="20"/>
                <w:szCs w:val="20"/>
              </w:rPr>
              <w:t> </w:t>
            </w:r>
          </w:p>
        </w:tc>
        <w:tc>
          <w:tcPr>
            <w:tcW w:w="0" w:type="auto"/>
            <w:hideMark/>
          </w:tcPr>
          <w:p w14:paraId="59B24DC9" w14:textId="77777777" w:rsidR="00000000" w:rsidRDefault="002F725F">
            <w:pPr>
              <w:rPr>
                <w:rFonts w:eastAsia="Times New Roman"/>
                <w:sz w:val="20"/>
                <w:szCs w:val="20"/>
              </w:rPr>
            </w:pPr>
            <w:r>
              <w:rPr>
                <w:rFonts w:eastAsia="Times New Roman"/>
                <w:sz w:val="20"/>
                <w:szCs w:val="20"/>
              </w:rPr>
              <w:t>Title:</w:t>
            </w:r>
          </w:p>
        </w:tc>
        <w:tc>
          <w:tcPr>
            <w:tcW w:w="0" w:type="auto"/>
            <w:hideMark/>
          </w:tcPr>
          <w:p w14:paraId="285EF2E9" w14:textId="77777777" w:rsidR="00000000" w:rsidRDefault="002F725F">
            <w:pPr>
              <w:rPr>
                <w:rFonts w:eastAsia="Times New Roman"/>
                <w:sz w:val="20"/>
                <w:szCs w:val="20"/>
              </w:rPr>
            </w:pPr>
            <w:r>
              <w:rPr>
                <w:rFonts w:eastAsia="Times New Roman"/>
                <w:sz w:val="20"/>
                <w:szCs w:val="20"/>
              </w:rPr>
              <w:t>Chairperson of the Special</w:t>
            </w:r>
          </w:p>
        </w:tc>
      </w:tr>
      <w:tr w:rsidR="00000000" w14:paraId="7409E8E4" w14:textId="77777777">
        <w:trPr>
          <w:divId w:val="415980837"/>
        </w:trPr>
        <w:tc>
          <w:tcPr>
            <w:tcW w:w="0" w:type="auto"/>
            <w:hideMark/>
          </w:tcPr>
          <w:p w14:paraId="67EDA913" w14:textId="77777777" w:rsidR="00000000" w:rsidRDefault="002F725F">
            <w:pPr>
              <w:rPr>
                <w:rFonts w:eastAsia="Times New Roman"/>
                <w:sz w:val="20"/>
                <w:szCs w:val="20"/>
              </w:rPr>
            </w:pPr>
            <w:r>
              <w:rPr>
                <w:rFonts w:eastAsia="Times New Roman"/>
                <w:sz w:val="20"/>
                <w:szCs w:val="20"/>
              </w:rPr>
              <w:t> </w:t>
            </w:r>
          </w:p>
        </w:tc>
        <w:tc>
          <w:tcPr>
            <w:tcW w:w="0" w:type="auto"/>
            <w:hideMark/>
          </w:tcPr>
          <w:p w14:paraId="237C37BD" w14:textId="77777777" w:rsidR="00000000" w:rsidRDefault="002F725F">
            <w:pPr>
              <w:rPr>
                <w:rFonts w:eastAsia="Times New Roman"/>
                <w:sz w:val="20"/>
                <w:szCs w:val="20"/>
              </w:rPr>
            </w:pPr>
            <w:r>
              <w:rPr>
                <w:rFonts w:eastAsia="Times New Roman"/>
                <w:sz w:val="20"/>
                <w:szCs w:val="20"/>
              </w:rPr>
              <w:t> </w:t>
            </w:r>
          </w:p>
        </w:tc>
        <w:tc>
          <w:tcPr>
            <w:tcW w:w="0" w:type="auto"/>
            <w:hideMark/>
          </w:tcPr>
          <w:p w14:paraId="6F730E78" w14:textId="77777777" w:rsidR="00000000" w:rsidRDefault="002F725F">
            <w:pPr>
              <w:rPr>
                <w:rFonts w:eastAsia="Times New Roman"/>
                <w:sz w:val="20"/>
                <w:szCs w:val="20"/>
              </w:rPr>
            </w:pPr>
            <w:r>
              <w:rPr>
                <w:rFonts w:eastAsia="Times New Roman"/>
                <w:sz w:val="20"/>
                <w:szCs w:val="20"/>
              </w:rPr>
              <w:t> </w:t>
            </w:r>
          </w:p>
        </w:tc>
        <w:tc>
          <w:tcPr>
            <w:tcW w:w="0" w:type="auto"/>
            <w:hideMark/>
          </w:tcPr>
          <w:p w14:paraId="2BFF165E" w14:textId="77777777" w:rsidR="00000000" w:rsidRDefault="002F725F">
            <w:pPr>
              <w:rPr>
                <w:rFonts w:eastAsia="Times New Roman"/>
                <w:sz w:val="20"/>
                <w:szCs w:val="20"/>
              </w:rPr>
            </w:pPr>
            <w:r>
              <w:rPr>
                <w:rFonts w:eastAsia="Times New Roman"/>
                <w:sz w:val="20"/>
                <w:szCs w:val="20"/>
              </w:rPr>
              <w:t>Committee of the Board of Directors</w:t>
            </w:r>
          </w:p>
        </w:tc>
      </w:tr>
    </w:tbl>
    <w:p w14:paraId="3B385D60" w14:textId="77777777" w:rsidR="00000000" w:rsidRDefault="002F725F">
      <w:pPr>
        <w:pStyle w:val="NormalWeb"/>
        <w:spacing w:before="0" w:beforeAutospacing="0" w:after="0" w:afterAutospacing="0"/>
        <w:divId w:val="415980837"/>
        <w:rPr>
          <w:sz w:val="20"/>
          <w:szCs w:val="20"/>
        </w:rPr>
      </w:pPr>
      <w:r>
        <w:rPr>
          <w:sz w:val="20"/>
          <w:szCs w:val="20"/>
        </w:rPr>
        <w:t> </w:t>
      </w:r>
    </w:p>
    <w:p w14:paraId="7C63111A" w14:textId="77777777" w:rsidR="00000000" w:rsidRDefault="002F725F">
      <w:pPr>
        <w:pStyle w:val="NormalWeb"/>
        <w:spacing w:before="0" w:beforeAutospacing="0" w:after="0" w:afterAutospacing="0"/>
        <w:jc w:val="center"/>
        <w:divId w:val="415980837"/>
        <w:rPr>
          <w:sz w:val="20"/>
          <w:szCs w:val="20"/>
        </w:rPr>
      </w:pPr>
      <w:r>
        <w:rPr>
          <w:sz w:val="20"/>
          <w:szCs w:val="20"/>
          <w:shd w:val="clear" w:color="auto" w:fill="FFFFFF"/>
        </w:rPr>
        <w:t xml:space="preserve">[Signature </w:t>
      </w:r>
      <w:r>
        <w:rPr>
          <w:sz w:val="20"/>
          <w:szCs w:val="20"/>
          <w:shd w:val="clear" w:color="auto" w:fill="FFFFFF"/>
        </w:rPr>
        <w:t>Page to Agreement and Plan of Merger]</w:t>
      </w:r>
    </w:p>
    <w:p w14:paraId="7F93FB7E"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B240416" w14:textId="77777777" w:rsidR="00000000" w:rsidRDefault="002F725F">
      <w:pPr>
        <w:pStyle w:val="NormalWeb"/>
        <w:spacing w:before="0" w:beforeAutospacing="0" w:after="0" w:afterAutospacing="0"/>
        <w:jc w:val="center"/>
        <w:divId w:val="543174319"/>
        <w:rPr>
          <w:sz w:val="20"/>
          <w:szCs w:val="20"/>
        </w:rPr>
      </w:pPr>
      <w:r>
        <w:rPr>
          <w:sz w:val="20"/>
          <w:szCs w:val="20"/>
        </w:rPr>
        <w:t>A</w:t>
      </w:r>
      <w:r>
        <w:rPr>
          <w:sz w:val="20"/>
          <w:szCs w:val="20"/>
        </w:rPr>
        <w:t>-</w:t>
      </w:r>
      <w:r>
        <w:rPr>
          <w:sz w:val="20"/>
          <w:szCs w:val="20"/>
        </w:rPr>
        <w:t>5</w:t>
      </w:r>
      <w:r>
        <w:rPr>
          <w:sz w:val="20"/>
          <w:szCs w:val="20"/>
        </w:rPr>
        <w:t>5</w:t>
      </w:r>
    </w:p>
    <w:p w14:paraId="5FBDAECF" w14:textId="77777777" w:rsidR="00000000" w:rsidRDefault="002F725F">
      <w:pPr>
        <w:pStyle w:val="NormalWeb"/>
        <w:spacing w:before="0" w:beforeAutospacing="0" w:after="0" w:afterAutospacing="0"/>
        <w:divId w:val="68813650"/>
        <w:rPr>
          <w:sz w:val="20"/>
          <w:szCs w:val="20"/>
        </w:rPr>
      </w:pPr>
      <w:r>
        <w:rPr>
          <w:sz w:val="20"/>
          <w:szCs w:val="20"/>
        </w:rPr>
        <w:t> </w:t>
      </w:r>
    </w:p>
    <w:p w14:paraId="0AE82DEB" w14:textId="77777777" w:rsidR="00000000" w:rsidRDefault="002F725F">
      <w:pPr>
        <w:pStyle w:val="NormalWeb"/>
        <w:spacing w:before="0" w:beforeAutospacing="0" w:after="0" w:afterAutospacing="0"/>
        <w:divId w:val="415980837"/>
        <w:rPr>
          <w:sz w:val="20"/>
          <w:szCs w:val="20"/>
        </w:rPr>
      </w:pPr>
      <w:r>
        <w:rPr>
          <w:sz w:val="20"/>
          <w:szCs w:val="20"/>
        </w:rPr>
        <w:t> </w:t>
      </w:r>
    </w:p>
    <w:p w14:paraId="0836475F" w14:textId="77777777" w:rsidR="00000000" w:rsidRDefault="002F725F">
      <w:pPr>
        <w:pStyle w:val="NormalWeb"/>
        <w:spacing w:before="0" w:beforeAutospacing="0" w:after="0" w:afterAutospacing="0"/>
        <w:jc w:val="both"/>
        <w:divId w:val="415980837"/>
        <w:rPr>
          <w:sz w:val="20"/>
          <w:szCs w:val="20"/>
        </w:rPr>
      </w:pPr>
      <w:r>
        <w:rPr>
          <w:sz w:val="20"/>
          <w:szCs w:val="20"/>
        </w:rPr>
        <w:t>IN WITNESS WHEREOF, the Company, Parent and Merger Sub have caused this Agreement to be signed by their respective officers or directors thereunto duly authorized as of the date first written above.</w:t>
      </w:r>
    </w:p>
    <w:p w14:paraId="255CC76D" w14:textId="77777777" w:rsidR="00000000" w:rsidRDefault="002F725F">
      <w:pPr>
        <w:pStyle w:val="NormalWeb"/>
        <w:spacing w:before="0" w:beforeAutospacing="0" w:after="0" w:afterAutospacing="0"/>
        <w:ind w:left="432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5485"/>
        <w:gridCol w:w="289"/>
        <w:gridCol w:w="534"/>
        <w:gridCol w:w="3052"/>
      </w:tblGrid>
      <w:tr w:rsidR="00000000" w14:paraId="21158C47" w14:textId="77777777">
        <w:trPr>
          <w:divId w:val="415980837"/>
        </w:trPr>
        <w:tc>
          <w:tcPr>
            <w:tcW w:w="0" w:type="auto"/>
            <w:hideMark/>
          </w:tcPr>
          <w:p w14:paraId="735B781C"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171BD05F" w14:textId="77777777" w:rsidR="00000000" w:rsidRDefault="002F725F">
            <w:pPr>
              <w:rPr>
                <w:rFonts w:eastAsia="Times New Roman"/>
                <w:sz w:val="20"/>
                <w:szCs w:val="20"/>
              </w:rPr>
            </w:pPr>
            <w:r>
              <w:rPr>
                <w:rFonts w:eastAsia="Times New Roman"/>
                <w:sz w:val="20"/>
                <w:szCs w:val="20"/>
              </w:rPr>
              <w:t>Ocea</w:t>
            </w:r>
            <w:r>
              <w:rPr>
                <w:rFonts w:eastAsia="Times New Roman"/>
                <w:sz w:val="20"/>
                <w:szCs w:val="20"/>
              </w:rPr>
              <w:t>npine Skyline Inc.</w:t>
            </w:r>
          </w:p>
        </w:tc>
      </w:tr>
      <w:tr w:rsidR="00000000" w14:paraId="3E8A8FC4" w14:textId="77777777">
        <w:trPr>
          <w:divId w:val="415980837"/>
        </w:trPr>
        <w:tc>
          <w:tcPr>
            <w:tcW w:w="0" w:type="auto"/>
            <w:hideMark/>
          </w:tcPr>
          <w:p w14:paraId="52B3495F" w14:textId="77777777" w:rsidR="00000000" w:rsidRDefault="002F725F">
            <w:pPr>
              <w:rPr>
                <w:rFonts w:eastAsia="Times New Roman"/>
                <w:sz w:val="20"/>
                <w:szCs w:val="20"/>
              </w:rPr>
            </w:pPr>
            <w:r>
              <w:rPr>
                <w:rFonts w:eastAsia="Times New Roman"/>
                <w:sz w:val="20"/>
                <w:szCs w:val="20"/>
              </w:rPr>
              <w:t> </w:t>
            </w:r>
          </w:p>
        </w:tc>
        <w:tc>
          <w:tcPr>
            <w:tcW w:w="0" w:type="auto"/>
            <w:hideMark/>
          </w:tcPr>
          <w:p w14:paraId="4312A996" w14:textId="77777777" w:rsidR="00000000" w:rsidRDefault="002F725F">
            <w:pPr>
              <w:rPr>
                <w:rFonts w:eastAsia="Times New Roman"/>
                <w:sz w:val="20"/>
                <w:szCs w:val="20"/>
              </w:rPr>
            </w:pPr>
            <w:r>
              <w:rPr>
                <w:rFonts w:eastAsia="Times New Roman"/>
                <w:sz w:val="20"/>
                <w:szCs w:val="20"/>
              </w:rPr>
              <w:t> </w:t>
            </w:r>
          </w:p>
        </w:tc>
        <w:tc>
          <w:tcPr>
            <w:tcW w:w="0" w:type="auto"/>
            <w:gridSpan w:val="2"/>
            <w:hideMark/>
          </w:tcPr>
          <w:p w14:paraId="3E00C4CC" w14:textId="77777777" w:rsidR="00000000" w:rsidRDefault="002F725F">
            <w:pPr>
              <w:rPr>
                <w:rFonts w:eastAsia="Times New Roman"/>
                <w:sz w:val="20"/>
                <w:szCs w:val="20"/>
              </w:rPr>
            </w:pPr>
            <w:r>
              <w:rPr>
                <w:rFonts w:eastAsia="Times New Roman"/>
                <w:sz w:val="20"/>
                <w:szCs w:val="20"/>
              </w:rPr>
              <w:t> </w:t>
            </w:r>
          </w:p>
        </w:tc>
      </w:tr>
      <w:tr w:rsidR="00000000" w14:paraId="1E05F162" w14:textId="77777777">
        <w:trPr>
          <w:divId w:val="415980837"/>
        </w:trPr>
        <w:tc>
          <w:tcPr>
            <w:tcW w:w="0" w:type="auto"/>
            <w:hideMark/>
          </w:tcPr>
          <w:p w14:paraId="64BA1AE2" w14:textId="77777777" w:rsidR="00000000" w:rsidRDefault="002F725F">
            <w:pPr>
              <w:rPr>
                <w:rFonts w:eastAsia="Times New Roman"/>
                <w:sz w:val="20"/>
                <w:szCs w:val="20"/>
              </w:rPr>
            </w:pPr>
            <w:r>
              <w:rPr>
                <w:rFonts w:eastAsia="Times New Roman"/>
                <w:sz w:val="20"/>
                <w:szCs w:val="20"/>
              </w:rPr>
              <w:t> </w:t>
            </w:r>
          </w:p>
        </w:tc>
        <w:tc>
          <w:tcPr>
            <w:tcW w:w="0" w:type="auto"/>
            <w:hideMark/>
          </w:tcPr>
          <w:p w14:paraId="52A63148" w14:textId="77777777" w:rsidR="00000000" w:rsidRDefault="002F725F">
            <w:pPr>
              <w:rPr>
                <w:rFonts w:eastAsia="Times New Roman"/>
                <w:sz w:val="20"/>
                <w:szCs w:val="20"/>
              </w:rPr>
            </w:pPr>
            <w:r>
              <w:rPr>
                <w:rFonts w:eastAsia="Times New Roman"/>
                <w:sz w:val="20"/>
                <w:szCs w:val="20"/>
              </w:rPr>
              <w:t>By:</w:t>
            </w:r>
          </w:p>
        </w:tc>
        <w:tc>
          <w:tcPr>
            <w:tcW w:w="0" w:type="auto"/>
            <w:gridSpan w:val="2"/>
            <w:tcBorders>
              <w:bottom w:val="single" w:sz="12" w:space="0" w:color="000000"/>
            </w:tcBorders>
            <w:hideMark/>
          </w:tcPr>
          <w:p w14:paraId="4CBD878C" w14:textId="77777777" w:rsidR="00000000" w:rsidRDefault="002F725F">
            <w:pPr>
              <w:rPr>
                <w:rFonts w:eastAsia="Times New Roman"/>
                <w:sz w:val="20"/>
                <w:szCs w:val="20"/>
              </w:rPr>
            </w:pPr>
            <w:r>
              <w:rPr>
                <w:rFonts w:eastAsia="Times New Roman"/>
                <w:sz w:val="20"/>
                <w:szCs w:val="20"/>
              </w:rPr>
              <w:t>/s/ NAN Shaodeng</w:t>
            </w:r>
          </w:p>
        </w:tc>
      </w:tr>
      <w:tr w:rsidR="00000000" w14:paraId="36032FA4" w14:textId="77777777">
        <w:trPr>
          <w:divId w:val="415980837"/>
        </w:trPr>
        <w:tc>
          <w:tcPr>
            <w:tcW w:w="2950" w:type="pct"/>
            <w:hideMark/>
          </w:tcPr>
          <w:p w14:paraId="650A092D" w14:textId="77777777" w:rsidR="00000000" w:rsidRDefault="002F725F">
            <w:pPr>
              <w:rPr>
                <w:rFonts w:eastAsia="Times New Roman"/>
                <w:sz w:val="20"/>
                <w:szCs w:val="20"/>
              </w:rPr>
            </w:pPr>
            <w:r>
              <w:rPr>
                <w:rFonts w:eastAsia="Times New Roman"/>
                <w:sz w:val="20"/>
                <w:szCs w:val="20"/>
              </w:rPr>
              <w:lastRenderedPageBreak/>
              <w:t> </w:t>
            </w:r>
          </w:p>
        </w:tc>
        <w:tc>
          <w:tcPr>
            <w:tcW w:w="150" w:type="pct"/>
            <w:hideMark/>
          </w:tcPr>
          <w:p w14:paraId="4D0EF59D" w14:textId="77777777" w:rsidR="00000000" w:rsidRDefault="002F725F">
            <w:pPr>
              <w:rPr>
                <w:rFonts w:eastAsia="Times New Roman"/>
                <w:sz w:val="20"/>
                <w:szCs w:val="20"/>
              </w:rPr>
            </w:pPr>
            <w:r>
              <w:rPr>
                <w:rFonts w:eastAsia="Times New Roman"/>
                <w:sz w:val="20"/>
                <w:szCs w:val="20"/>
              </w:rPr>
              <w:t> </w:t>
            </w:r>
          </w:p>
        </w:tc>
        <w:tc>
          <w:tcPr>
            <w:tcW w:w="250" w:type="pct"/>
            <w:hideMark/>
          </w:tcPr>
          <w:p w14:paraId="51F161F3" w14:textId="77777777" w:rsidR="00000000" w:rsidRDefault="002F725F">
            <w:pPr>
              <w:rPr>
                <w:rFonts w:eastAsia="Times New Roman"/>
                <w:sz w:val="20"/>
                <w:szCs w:val="20"/>
              </w:rPr>
            </w:pPr>
            <w:r>
              <w:rPr>
                <w:rFonts w:eastAsia="Times New Roman"/>
                <w:sz w:val="20"/>
                <w:szCs w:val="20"/>
              </w:rPr>
              <w:t>Name:</w:t>
            </w:r>
          </w:p>
        </w:tc>
        <w:tc>
          <w:tcPr>
            <w:tcW w:w="1650" w:type="pct"/>
            <w:hideMark/>
          </w:tcPr>
          <w:p w14:paraId="34477FEB" w14:textId="77777777" w:rsidR="00000000" w:rsidRDefault="002F725F">
            <w:pPr>
              <w:rPr>
                <w:rFonts w:eastAsia="Times New Roman"/>
                <w:sz w:val="20"/>
                <w:szCs w:val="20"/>
              </w:rPr>
            </w:pPr>
            <w:r>
              <w:rPr>
                <w:rFonts w:eastAsia="Times New Roman"/>
                <w:sz w:val="20"/>
                <w:szCs w:val="20"/>
              </w:rPr>
              <w:t>NAN Shaodeng</w:t>
            </w:r>
          </w:p>
        </w:tc>
      </w:tr>
      <w:tr w:rsidR="00000000" w14:paraId="2B0101B5" w14:textId="77777777">
        <w:trPr>
          <w:divId w:val="415980837"/>
        </w:trPr>
        <w:tc>
          <w:tcPr>
            <w:tcW w:w="0" w:type="auto"/>
            <w:hideMark/>
          </w:tcPr>
          <w:p w14:paraId="3347752E" w14:textId="77777777" w:rsidR="00000000" w:rsidRDefault="002F725F">
            <w:pPr>
              <w:rPr>
                <w:rFonts w:eastAsia="Times New Roman"/>
                <w:sz w:val="20"/>
                <w:szCs w:val="20"/>
              </w:rPr>
            </w:pPr>
            <w:r>
              <w:rPr>
                <w:rFonts w:eastAsia="Times New Roman"/>
                <w:sz w:val="20"/>
                <w:szCs w:val="20"/>
              </w:rPr>
              <w:t> </w:t>
            </w:r>
          </w:p>
        </w:tc>
        <w:tc>
          <w:tcPr>
            <w:tcW w:w="0" w:type="auto"/>
            <w:hideMark/>
          </w:tcPr>
          <w:p w14:paraId="57672DF1" w14:textId="77777777" w:rsidR="00000000" w:rsidRDefault="002F725F">
            <w:pPr>
              <w:rPr>
                <w:rFonts w:eastAsia="Times New Roman"/>
                <w:sz w:val="20"/>
                <w:szCs w:val="20"/>
              </w:rPr>
            </w:pPr>
            <w:r>
              <w:rPr>
                <w:rFonts w:eastAsia="Times New Roman"/>
                <w:sz w:val="20"/>
                <w:szCs w:val="20"/>
              </w:rPr>
              <w:t> </w:t>
            </w:r>
          </w:p>
        </w:tc>
        <w:tc>
          <w:tcPr>
            <w:tcW w:w="0" w:type="auto"/>
            <w:hideMark/>
          </w:tcPr>
          <w:p w14:paraId="2C5A544A" w14:textId="77777777" w:rsidR="00000000" w:rsidRDefault="002F725F">
            <w:pPr>
              <w:rPr>
                <w:rFonts w:eastAsia="Times New Roman"/>
                <w:sz w:val="20"/>
                <w:szCs w:val="20"/>
              </w:rPr>
            </w:pPr>
            <w:r>
              <w:rPr>
                <w:rFonts w:eastAsia="Times New Roman"/>
                <w:sz w:val="20"/>
                <w:szCs w:val="20"/>
              </w:rPr>
              <w:t>Title:</w:t>
            </w:r>
          </w:p>
        </w:tc>
        <w:tc>
          <w:tcPr>
            <w:tcW w:w="0" w:type="auto"/>
            <w:hideMark/>
          </w:tcPr>
          <w:p w14:paraId="20605747" w14:textId="77777777" w:rsidR="00000000" w:rsidRDefault="002F725F">
            <w:pPr>
              <w:rPr>
                <w:rFonts w:eastAsia="Times New Roman"/>
                <w:sz w:val="20"/>
                <w:szCs w:val="20"/>
              </w:rPr>
            </w:pPr>
            <w:r>
              <w:rPr>
                <w:rFonts w:eastAsia="Times New Roman"/>
                <w:sz w:val="20"/>
                <w:szCs w:val="20"/>
              </w:rPr>
              <w:t xml:space="preserve">Director </w:t>
            </w:r>
          </w:p>
        </w:tc>
      </w:tr>
      <w:tr w:rsidR="00000000" w14:paraId="5156C1AF" w14:textId="77777777">
        <w:trPr>
          <w:divId w:val="415980837"/>
        </w:trPr>
        <w:tc>
          <w:tcPr>
            <w:tcW w:w="0" w:type="auto"/>
            <w:hideMark/>
          </w:tcPr>
          <w:p w14:paraId="60AB3818" w14:textId="77777777" w:rsidR="00000000" w:rsidRDefault="002F725F">
            <w:pPr>
              <w:rPr>
                <w:rFonts w:eastAsia="Times New Roman"/>
                <w:sz w:val="20"/>
                <w:szCs w:val="20"/>
              </w:rPr>
            </w:pPr>
            <w:r>
              <w:rPr>
                <w:rFonts w:eastAsia="Times New Roman"/>
                <w:sz w:val="20"/>
                <w:szCs w:val="20"/>
              </w:rPr>
              <w:t> </w:t>
            </w:r>
          </w:p>
        </w:tc>
        <w:tc>
          <w:tcPr>
            <w:tcW w:w="0" w:type="auto"/>
            <w:hideMark/>
          </w:tcPr>
          <w:p w14:paraId="2393EB87" w14:textId="77777777" w:rsidR="00000000" w:rsidRDefault="002F725F">
            <w:pPr>
              <w:rPr>
                <w:rFonts w:eastAsia="Times New Roman"/>
                <w:sz w:val="20"/>
                <w:szCs w:val="20"/>
              </w:rPr>
            </w:pPr>
            <w:r>
              <w:rPr>
                <w:rFonts w:eastAsia="Times New Roman"/>
                <w:sz w:val="20"/>
                <w:szCs w:val="20"/>
              </w:rPr>
              <w:t> </w:t>
            </w:r>
          </w:p>
        </w:tc>
        <w:tc>
          <w:tcPr>
            <w:tcW w:w="0" w:type="auto"/>
            <w:hideMark/>
          </w:tcPr>
          <w:p w14:paraId="7CBF68B7" w14:textId="77777777" w:rsidR="00000000" w:rsidRDefault="002F725F">
            <w:pPr>
              <w:rPr>
                <w:rFonts w:eastAsia="Times New Roman"/>
                <w:sz w:val="20"/>
                <w:szCs w:val="20"/>
              </w:rPr>
            </w:pPr>
            <w:r>
              <w:rPr>
                <w:rFonts w:eastAsia="Times New Roman"/>
                <w:sz w:val="20"/>
                <w:szCs w:val="20"/>
              </w:rPr>
              <w:t> </w:t>
            </w:r>
          </w:p>
        </w:tc>
        <w:tc>
          <w:tcPr>
            <w:tcW w:w="0" w:type="auto"/>
            <w:hideMark/>
          </w:tcPr>
          <w:p w14:paraId="56212A0B" w14:textId="77777777" w:rsidR="00000000" w:rsidRDefault="002F725F">
            <w:pPr>
              <w:rPr>
                <w:rFonts w:eastAsia="Times New Roman"/>
                <w:sz w:val="20"/>
                <w:szCs w:val="20"/>
              </w:rPr>
            </w:pPr>
            <w:r>
              <w:rPr>
                <w:rFonts w:eastAsia="Times New Roman"/>
                <w:sz w:val="20"/>
                <w:szCs w:val="20"/>
              </w:rPr>
              <w:t> </w:t>
            </w:r>
          </w:p>
        </w:tc>
      </w:tr>
      <w:tr w:rsidR="00000000" w14:paraId="7917945F" w14:textId="77777777">
        <w:trPr>
          <w:divId w:val="415980837"/>
        </w:trPr>
        <w:tc>
          <w:tcPr>
            <w:tcW w:w="0" w:type="auto"/>
            <w:hideMark/>
          </w:tcPr>
          <w:p w14:paraId="085140AD" w14:textId="77777777" w:rsidR="00000000" w:rsidRDefault="002F725F">
            <w:pPr>
              <w:rPr>
                <w:rFonts w:eastAsia="Times New Roman"/>
                <w:sz w:val="20"/>
                <w:szCs w:val="20"/>
              </w:rPr>
            </w:pPr>
            <w:r>
              <w:rPr>
                <w:rFonts w:eastAsia="Times New Roman"/>
                <w:sz w:val="20"/>
                <w:szCs w:val="20"/>
              </w:rPr>
              <w:t> </w:t>
            </w:r>
          </w:p>
        </w:tc>
        <w:tc>
          <w:tcPr>
            <w:tcW w:w="0" w:type="auto"/>
            <w:gridSpan w:val="3"/>
            <w:hideMark/>
          </w:tcPr>
          <w:p w14:paraId="302AE81E" w14:textId="77777777" w:rsidR="00000000" w:rsidRDefault="002F725F">
            <w:pPr>
              <w:rPr>
                <w:rFonts w:eastAsia="Times New Roman"/>
                <w:sz w:val="20"/>
                <w:szCs w:val="20"/>
              </w:rPr>
            </w:pPr>
            <w:r>
              <w:rPr>
                <w:rFonts w:eastAsia="Times New Roman"/>
                <w:sz w:val="20"/>
                <w:szCs w:val="20"/>
              </w:rPr>
              <w:t>Oceanpine Merger Sub Inc.</w:t>
            </w:r>
          </w:p>
        </w:tc>
      </w:tr>
      <w:tr w:rsidR="00000000" w14:paraId="55062E01" w14:textId="77777777">
        <w:trPr>
          <w:divId w:val="415980837"/>
        </w:trPr>
        <w:tc>
          <w:tcPr>
            <w:tcW w:w="0" w:type="auto"/>
            <w:hideMark/>
          </w:tcPr>
          <w:p w14:paraId="18A3F9AC" w14:textId="77777777" w:rsidR="00000000" w:rsidRDefault="002F725F">
            <w:pPr>
              <w:rPr>
                <w:rFonts w:eastAsia="Times New Roman"/>
                <w:sz w:val="20"/>
                <w:szCs w:val="20"/>
              </w:rPr>
            </w:pPr>
            <w:r>
              <w:rPr>
                <w:rFonts w:eastAsia="Times New Roman"/>
                <w:sz w:val="20"/>
                <w:szCs w:val="20"/>
              </w:rPr>
              <w:t> </w:t>
            </w:r>
          </w:p>
        </w:tc>
        <w:tc>
          <w:tcPr>
            <w:tcW w:w="0" w:type="auto"/>
            <w:hideMark/>
          </w:tcPr>
          <w:p w14:paraId="65AE0A62" w14:textId="77777777" w:rsidR="00000000" w:rsidRDefault="002F725F">
            <w:pPr>
              <w:rPr>
                <w:rFonts w:eastAsia="Times New Roman"/>
                <w:sz w:val="20"/>
                <w:szCs w:val="20"/>
              </w:rPr>
            </w:pPr>
            <w:r>
              <w:rPr>
                <w:rFonts w:eastAsia="Times New Roman"/>
                <w:sz w:val="20"/>
                <w:szCs w:val="20"/>
              </w:rPr>
              <w:t> </w:t>
            </w:r>
          </w:p>
        </w:tc>
        <w:tc>
          <w:tcPr>
            <w:tcW w:w="0" w:type="auto"/>
            <w:gridSpan w:val="2"/>
            <w:hideMark/>
          </w:tcPr>
          <w:p w14:paraId="60D135B4" w14:textId="77777777" w:rsidR="00000000" w:rsidRDefault="002F725F">
            <w:pPr>
              <w:rPr>
                <w:rFonts w:eastAsia="Times New Roman"/>
                <w:sz w:val="20"/>
                <w:szCs w:val="20"/>
              </w:rPr>
            </w:pPr>
            <w:r>
              <w:rPr>
                <w:rFonts w:eastAsia="Times New Roman"/>
                <w:sz w:val="20"/>
                <w:szCs w:val="20"/>
              </w:rPr>
              <w:t> </w:t>
            </w:r>
          </w:p>
        </w:tc>
      </w:tr>
      <w:tr w:rsidR="00000000" w14:paraId="116FF6CE" w14:textId="77777777">
        <w:trPr>
          <w:divId w:val="415980837"/>
        </w:trPr>
        <w:tc>
          <w:tcPr>
            <w:tcW w:w="0" w:type="auto"/>
            <w:hideMark/>
          </w:tcPr>
          <w:p w14:paraId="691FC09D" w14:textId="77777777" w:rsidR="00000000" w:rsidRDefault="002F725F">
            <w:pPr>
              <w:rPr>
                <w:rFonts w:eastAsia="Times New Roman"/>
                <w:sz w:val="20"/>
                <w:szCs w:val="20"/>
              </w:rPr>
            </w:pPr>
            <w:r>
              <w:rPr>
                <w:rFonts w:eastAsia="Times New Roman"/>
                <w:sz w:val="20"/>
                <w:szCs w:val="20"/>
              </w:rPr>
              <w:t> </w:t>
            </w:r>
          </w:p>
        </w:tc>
        <w:tc>
          <w:tcPr>
            <w:tcW w:w="0" w:type="auto"/>
            <w:hideMark/>
          </w:tcPr>
          <w:p w14:paraId="022D4897" w14:textId="77777777" w:rsidR="00000000" w:rsidRDefault="002F725F">
            <w:pPr>
              <w:rPr>
                <w:rFonts w:eastAsia="Times New Roman"/>
                <w:sz w:val="20"/>
                <w:szCs w:val="20"/>
              </w:rPr>
            </w:pPr>
            <w:r>
              <w:rPr>
                <w:rFonts w:eastAsia="Times New Roman"/>
                <w:sz w:val="20"/>
                <w:szCs w:val="20"/>
              </w:rPr>
              <w:t>By:</w:t>
            </w:r>
          </w:p>
        </w:tc>
        <w:tc>
          <w:tcPr>
            <w:tcW w:w="0" w:type="auto"/>
            <w:gridSpan w:val="2"/>
            <w:tcBorders>
              <w:bottom w:val="single" w:sz="12" w:space="0" w:color="000000"/>
            </w:tcBorders>
            <w:hideMark/>
          </w:tcPr>
          <w:p w14:paraId="1E467E82" w14:textId="77777777" w:rsidR="00000000" w:rsidRDefault="002F725F">
            <w:pPr>
              <w:rPr>
                <w:rFonts w:eastAsia="Times New Roman"/>
                <w:sz w:val="20"/>
                <w:szCs w:val="20"/>
              </w:rPr>
            </w:pPr>
            <w:r>
              <w:rPr>
                <w:rFonts w:eastAsia="Times New Roman"/>
                <w:sz w:val="20"/>
                <w:szCs w:val="20"/>
              </w:rPr>
              <w:t>/s/ NAN Shaodeng</w:t>
            </w:r>
          </w:p>
        </w:tc>
      </w:tr>
      <w:tr w:rsidR="00000000" w14:paraId="1E1F474F" w14:textId="77777777">
        <w:trPr>
          <w:divId w:val="415980837"/>
        </w:trPr>
        <w:tc>
          <w:tcPr>
            <w:tcW w:w="0" w:type="auto"/>
            <w:hideMark/>
          </w:tcPr>
          <w:p w14:paraId="0F5C0273" w14:textId="77777777" w:rsidR="00000000" w:rsidRDefault="002F725F">
            <w:pPr>
              <w:rPr>
                <w:rFonts w:eastAsia="Times New Roman"/>
                <w:sz w:val="20"/>
                <w:szCs w:val="20"/>
              </w:rPr>
            </w:pPr>
            <w:r>
              <w:rPr>
                <w:rFonts w:eastAsia="Times New Roman"/>
                <w:sz w:val="20"/>
                <w:szCs w:val="20"/>
              </w:rPr>
              <w:t> </w:t>
            </w:r>
          </w:p>
        </w:tc>
        <w:tc>
          <w:tcPr>
            <w:tcW w:w="0" w:type="auto"/>
            <w:hideMark/>
          </w:tcPr>
          <w:p w14:paraId="57D69F70" w14:textId="77777777" w:rsidR="00000000" w:rsidRDefault="002F725F">
            <w:pPr>
              <w:rPr>
                <w:rFonts w:eastAsia="Times New Roman"/>
                <w:sz w:val="20"/>
                <w:szCs w:val="20"/>
              </w:rPr>
            </w:pPr>
            <w:r>
              <w:rPr>
                <w:rFonts w:eastAsia="Times New Roman"/>
                <w:sz w:val="20"/>
                <w:szCs w:val="20"/>
              </w:rPr>
              <w:t> </w:t>
            </w:r>
          </w:p>
        </w:tc>
        <w:tc>
          <w:tcPr>
            <w:tcW w:w="0" w:type="auto"/>
            <w:hideMark/>
          </w:tcPr>
          <w:p w14:paraId="5FAF653A" w14:textId="77777777" w:rsidR="00000000" w:rsidRDefault="002F725F">
            <w:pPr>
              <w:rPr>
                <w:rFonts w:eastAsia="Times New Roman"/>
                <w:sz w:val="20"/>
                <w:szCs w:val="20"/>
              </w:rPr>
            </w:pPr>
            <w:r>
              <w:rPr>
                <w:rFonts w:eastAsia="Times New Roman"/>
                <w:sz w:val="20"/>
                <w:szCs w:val="20"/>
              </w:rPr>
              <w:t>Name:</w:t>
            </w:r>
          </w:p>
        </w:tc>
        <w:tc>
          <w:tcPr>
            <w:tcW w:w="0" w:type="auto"/>
            <w:hideMark/>
          </w:tcPr>
          <w:p w14:paraId="66CB3E3B" w14:textId="77777777" w:rsidR="00000000" w:rsidRDefault="002F725F">
            <w:pPr>
              <w:rPr>
                <w:rFonts w:eastAsia="Times New Roman"/>
                <w:sz w:val="20"/>
                <w:szCs w:val="20"/>
              </w:rPr>
            </w:pPr>
            <w:r>
              <w:rPr>
                <w:rFonts w:eastAsia="Times New Roman"/>
                <w:sz w:val="20"/>
                <w:szCs w:val="20"/>
              </w:rPr>
              <w:t>NAN Shaodeng</w:t>
            </w:r>
          </w:p>
        </w:tc>
      </w:tr>
      <w:tr w:rsidR="00000000" w14:paraId="09E976CB" w14:textId="77777777">
        <w:trPr>
          <w:divId w:val="415980837"/>
        </w:trPr>
        <w:tc>
          <w:tcPr>
            <w:tcW w:w="0" w:type="auto"/>
            <w:hideMark/>
          </w:tcPr>
          <w:p w14:paraId="30FF6E6D" w14:textId="77777777" w:rsidR="00000000" w:rsidRDefault="002F725F">
            <w:pPr>
              <w:rPr>
                <w:rFonts w:eastAsia="Times New Roman"/>
                <w:sz w:val="20"/>
                <w:szCs w:val="20"/>
              </w:rPr>
            </w:pPr>
            <w:r>
              <w:rPr>
                <w:rFonts w:eastAsia="Times New Roman"/>
                <w:sz w:val="20"/>
                <w:szCs w:val="20"/>
              </w:rPr>
              <w:t> </w:t>
            </w:r>
          </w:p>
        </w:tc>
        <w:tc>
          <w:tcPr>
            <w:tcW w:w="0" w:type="auto"/>
            <w:hideMark/>
          </w:tcPr>
          <w:p w14:paraId="523C2570" w14:textId="77777777" w:rsidR="00000000" w:rsidRDefault="002F725F">
            <w:pPr>
              <w:rPr>
                <w:rFonts w:eastAsia="Times New Roman"/>
                <w:sz w:val="20"/>
                <w:szCs w:val="20"/>
              </w:rPr>
            </w:pPr>
            <w:r>
              <w:rPr>
                <w:rFonts w:eastAsia="Times New Roman"/>
                <w:sz w:val="20"/>
                <w:szCs w:val="20"/>
              </w:rPr>
              <w:t> </w:t>
            </w:r>
          </w:p>
        </w:tc>
        <w:tc>
          <w:tcPr>
            <w:tcW w:w="0" w:type="auto"/>
            <w:hideMark/>
          </w:tcPr>
          <w:p w14:paraId="68750B5B" w14:textId="77777777" w:rsidR="00000000" w:rsidRDefault="002F725F">
            <w:pPr>
              <w:rPr>
                <w:rFonts w:eastAsia="Times New Roman"/>
                <w:sz w:val="20"/>
                <w:szCs w:val="20"/>
              </w:rPr>
            </w:pPr>
            <w:r>
              <w:rPr>
                <w:rFonts w:eastAsia="Times New Roman"/>
                <w:sz w:val="20"/>
                <w:szCs w:val="20"/>
              </w:rPr>
              <w:t>Title:</w:t>
            </w:r>
          </w:p>
        </w:tc>
        <w:tc>
          <w:tcPr>
            <w:tcW w:w="0" w:type="auto"/>
            <w:hideMark/>
          </w:tcPr>
          <w:p w14:paraId="6D41A1CF" w14:textId="77777777" w:rsidR="00000000" w:rsidRDefault="002F725F">
            <w:pPr>
              <w:rPr>
                <w:rFonts w:eastAsia="Times New Roman"/>
                <w:sz w:val="20"/>
                <w:szCs w:val="20"/>
              </w:rPr>
            </w:pPr>
            <w:r>
              <w:rPr>
                <w:rFonts w:eastAsia="Times New Roman"/>
                <w:sz w:val="20"/>
                <w:szCs w:val="20"/>
              </w:rPr>
              <w:t>Director</w:t>
            </w:r>
          </w:p>
        </w:tc>
      </w:tr>
    </w:tbl>
    <w:p w14:paraId="5C7EEF22" w14:textId="77777777" w:rsidR="00000000" w:rsidRDefault="002F725F">
      <w:pPr>
        <w:pStyle w:val="NormalWeb"/>
        <w:spacing w:before="0" w:beforeAutospacing="0" w:after="0" w:afterAutospacing="0"/>
        <w:divId w:val="415980837"/>
        <w:rPr>
          <w:sz w:val="20"/>
          <w:szCs w:val="20"/>
        </w:rPr>
      </w:pPr>
      <w:r>
        <w:rPr>
          <w:sz w:val="20"/>
          <w:szCs w:val="20"/>
        </w:rPr>
        <w:t> </w:t>
      </w:r>
    </w:p>
    <w:p w14:paraId="0CA8DDB2" w14:textId="77777777" w:rsidR="00000000" w:rsidRDefault="002F725F">
      <w:pPr>
        <w:pStyle w:val="NormalWeb"/>
        <w:spacing w:before="0" w:beforeAutospacing="0" w:after="0" w:afterAutospacing="0"/>
        <w:jc w:val="center"/>
        <w:divId w:val="415980837"/>
        <w:rPr>
          <w:sz w:val="20"/>
          <w:szCs w:val="20"/>
        </w:rPr>
      </w:pPr>
      <w:r>
        <w:rPr>
          <w:sz w:val="20"/>
          <w:szCs w:val="20"/>
          <w:shd w:val="clear" w:color="auto" w:fill="FFFFFF"/>
        </w:rPr>
        <w:t xml:space="preserve">[Signature </w:t>
      </w:r>
      <w:r>
        <w:rPr>
          <w:sz w:val="20"/>
          <w:szCs w:val="20"/>
          <w:shd w:val="clear" w:color="auto" w:fill="FFFFFF"/>
        </w:rPr>
        <w:t>Page to Agreement and Plan of Merger]</w:t>
      </w:r>
    </w:p>
    <w:p w14:paraId="454DB02F"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06CCF98" w14:textId="77777777" w:rsidR="00000000" w:rsidRDefault="002F725F">
      <w:pPr>
        <w:pStyle w:val="NormalWeb"/>
        <w:spacing w:before="0" w:beforeAutospacing="0" w:after="0" w:afterAutospacing="0"/>
        <w:jc w:val="center"/>
        <w:divId w:val="1686322704"/>
        <w:rPr>
          <w:sz w:val="20"/>
          <w:szCs w:val="20"/>
        </w:rPr>
      </w:pPr>
      <w:r>
        <w:rPr>
          <w:sz w:val="20"/>
          <w:szCs w:val="20"/>
        </w:rPr>
        <w:t>A</w:t>
      </w:r>
      <w:r>
        <w:rPr>
          <w:sz w:val="20"/>
          <w:szCs w:val="20"/>
        </w:rPr>
        <w:t>-</w:t>
      </w:r>
      <w:r>
        <w:rPr>
          <w:sz w:val="20"/>
          <w:szCs w:val="20"/>
        </w:rPr>
        <w:t>5</w:t>
      </w:r>
      <w:r>
        <w:rPr>
          <w:sz w:val="20"/>
          <w:szCs w:val="20"/>
        </w:rPr>
        <w:t>6</w:t>
      </w:r>
    </w:p>
    <w:p w14:paraId="7964CFDC" w14:textId="77777777" w:rsidR="00000000" w:rsidRDefault="002F725F">
      <w:pPr>
        <w:pStyle w:val="NormalWeb"/>
        <w:spacing w:before="0" w:beforeAutospacing="0" w:after="0" w:afterAutospacing="0"/>
        <w:divId w:val="402917384"/>
        <w:rPr>
          <w:sz w:val="20"/>
          <w:szCs w:val="20"/>
        </w:rPr>
      </w:pPr>
      <w:r>
        <w:rPr>
          <w:sz w:val="20"/>
          <w:szCs w:val="20"/>
        </w:rPr>
        <w:t> </w:t>
      </w:r>
    </w:p>
    <w:p w14:paraId="2B871C5D"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957F5EC" w14:textId="77777777" w:rsidR="00000000" w:rsidRDefault="002F725F">
      <w:pPr>
        <w:pStyle w:val="NormalWeb"/>
        <w:spacing w:before="0" w:beforeAutospacing="0" w:after="0" w:afterAutospacing="0"/>
        <w:jc w:val="center"/>
        <w:divId w:val="415980837"/>
        <w:rPr>
          <w:sz w:val="20"/>
          <w:szCs w:val="20"/>
        </w:rPr>
      </w:pPr>
      <w:r>
        <w:rPr>
          <w:b/>
          <w:bCs/>
          <w:sz w:val="20"/>
          <w:szCs w:val="20"/>
          <w:u w:val="single"/>
        </w:rPr>
        <w:t>Annex A</w:t>
      </w:r>
      <w:r>
        <w:rPr>
          <w:sz w:val="20"/>
          <w:szCs w:val="20"/>
        </w:rPr>
        <w:t> </w:t>
      </w:r>
    </w:p>
    <w:p w14:paraId="3E824C48"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7B52F37" w14:textId="77777777" w:rsidR="00000000" w:rsidRDefault="002F725F">
      <w:pPr>
        <w:pStyle w:val="NormalWeb"/>
        <w:spacing w:before="0" w:beforeAutospacing="0" w:after="0" w:afterAutospacing="0"/>
        <w:jc w:val="center"/>
        <w:divId w:val="415980837"/>
        <w:rPr>
          <w:sz w:val="20"/>
          <w:szCs w:val="20"/>
        </w:rPr>
      </w:pPr>
      <w:r>
        <w:rPr>
          <w:sz w:val="20"/>
          <w:szCs w:val="20"/>
        </w:rPr>
        <w:t>Plan of Merger</w:t>
      </w:r>
    </w:p>
    <w:p w14:paraId="6CE10846"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0076795"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071D863D" w14:textId="77777777" w:rsidR="00000000" w:rsidRDefault="002F725F">
      <w:pPr>
        <w:pStyle w:val="NormalWeb"/>
        <w:spacing w:before="0" w:beforeAutospacing="0" w:after="0" w:afterAutospacing="0"/>
        <w:jc w:val="center"/>
        <w:divId w:val="843401665"/>
        <w:rPr>
          <w:sz w:val="20"/>
          <w:szCs w:val="20"/>
        </w:rPr>
      </w:pPr>
      <w:r>
        <w:rPr>
          <w:sz w:val="20"/>
          <w:szCs w:val="20"/>
        </w:rPr>
        <w:t>A</w:t>
      </w:r>
      <w:r>
        <w:rPr>
          <w:sz w:val="20"/>
          <w:szCs w:val="20"/>
        </w:rPr>
        <w:t>-</w:t>
      </w:r>
      <w:r>
        <w:rPr>
          <w:sz w:val="20"/>
          <w:szCs w:val="20"/>
        </w:rPr>
        <w:t>5</w:t>
      </w:r>
      <w:r>
        <w:rPr>
          <w:sz w:val="20"/>
          <w:szCs w:val="20"/>
        </w:rPr>
        <w:t>7</w:t>
      </w:r>
    </w:p>
    <w:p w14:paraId="12B3941A" w14:textId="77777777" w:rsidR="00000000" w:rsidRDefault="002F725F">
      <w:pPr>
        <w:pStyle w:val="NormalWeb"/>
        <w:spacing w:before="0" w:beforeAutospacing="0" w:after="0" w:afterAutospacing="0"/>
        <w:divId w:val="219639155"/>
        <w:rPr>
          <w:sz w:val="20"/>
          <w:szCs w:val="20"/>
        </w:rPr>
      </w:pPr>
      <w:r>
        <w:rPr>
          <w:sz w:val="20"/>
          <w:szCs w:val="20"/>
        </w:rPr>
        <w:t> </w:t>
      </w:r>
    </w:p>
    <w:p w14:paraId="0E4556EE"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524A5C1"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39F7A6EB" w14:textId="77777777" w:rsidR="00000000" w:rsidRDefault="002F725F">
      <w:pPr>
        <w:pStyle w:val="NormalWeb"/>
        <w:spacing w:before="0" w:beforeAutospacing="0" w:after="0" w:afterAutospacing="0"/>
        <w:jc w:val="center"/>
        <w:divId w:val="415980837"/>
        <w:rPr>
          <w:sz w:val="20"/>
          <w:szCs w:val="20"/>
        </w:rPr>
      </w:pPr>
      <w:r>
        <w:rPr>
          <w:b/>
          <w:bCs/>
          <w:caps/>
          <w:sz w:val="20"/>
          <w:szCs w:val="20"/>
        </w:rPr>
        <w:t>DATED ____________________</w:t>
      </w:r>
    </w:p>
    <w:p w14:paraId="6CCB5BFC"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094D1D9" w14:textId="77777777" w:rsidR="00000000" w:rsidRDefault="002F725F">
      <w:pPr>
        <w:pStyle w:val="NormalWeb"/>
        <w:spacing w:before="0" w:beforeAutospacing="0" w:after="0" w:afterAutospacing="0"/>
        <w:jc w:val="center"/>
        <w:divId w:val="415980837"/>
        <w:rPr>
          <w:sz w:val="20"/>
          <w:szCs w:val="20"/>
        </w:rPr>
      </w:pPr>
      <w:r>
        <w:rPr>
          <w:b/>
          <w:bCs/>
          <w:caps/>
          <w:sz w:val="20"/>
          <w:szCs w:val="20"/>
        </w:rPr>
        <w:t> </w:t>
      </w:r>
    </w:p>
    <w:p w14:paraId="7843630C"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C3BAECE" w14:textId="77777777" w:rsidR="00000000" w:rsidRDefault="002F725F">
      <w:pPr>
        <w:pStyle w:val="NormalWeb"/>
        <w:spacing w:before="0" w:beforeAutospacing="0" w:after="0" w:afterAutospacing="0"/>
        <w:jc w:val="center"/>
        <w:divId w:val="415980837"/>
        <w:rPr>
          <w:sz w:val="20"/>
          <w:szCs w:val="20"/>
        </w:rPr>
      </w:pPr>
      <w:r>
        <w:rPr>
          <w:b/>
          <w:bCs/>
          <w:caps/>
          <w:sz w:val="20"/>
          <w:szCs w:val="20"/>
        </w:rPr>
        <w:t> </w:t>
      </w:r>
    </w:p>
    <w:p w14:paraId="28AE00F6"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366794F7" w14:textId="77777777" w:rsidR="00000000" w:rsidRDefault="002F725F">
      <w:pPr>
        <w:pStyle w:val="NormalWeb"/>
        <w:spacing w:before="0" w:beforeAutospacing="0" w:after="0" w:afterAutospacing="0"/>
        <w:jc w:val="center"/>
        <w:divId w:val="415980837"/>
        <w:rPr>
          <w:sz w:val="20"/>
          <w:szCs w:val="20"/>
        </w:rPr>
      </w:pPr>
      <w:r>
        <w:rPr>
          <w:b/>
          <w:bCs/>
          <w:caps/>
          <w:sz w:val="20"/>
          <w:szCs w:val="20"/>
        </w:rPr>
        <w:t> </w:t>
      </w:r>
    </w:p>
    <w:p w14:paraId="3ECA9907"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D5D7E73" w14:textId="77777777" w:rsidR="00000000" w:rsidRDefault="002F725F">
      <w:pPr>
        <w:pStyle w:val="NormalWeb"/>
        <w:spacing w:before="0" w:beforeAutospacing="0" w:after="0" w:afterAutospacing="0"/>
        <w:jc w:val="center"/>
        <w:divId w:val="415980837"/>
        <w:rPr>
          <w:sz w:val="20"/>
          <w:szCs w:val="20"/>
        </w:rPr>
      </w:pPr>
      <w:r>
        <w:rPr>
          <w:b/>
          <w:bCs/>
          <w:caps/>
          <w:sz w:val="20"/>
          <w:szCs w:val="20"/>
        </w:rPr>
        <w:t> </w:t>
      </w:r>
    </w:p>
    <w:p w14:paraId="06C90AFA"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9B6BC69" w14:textId="77777777" w:rsidR="00000000" w:rsidRDefault="002F725F">
      <w:pPr>
        <w:pStyle w:val="NormalWeb"/>
        <w:spacing w:before="0" w:beforeAutospacing="0" w:after="0" w:afterAutospacing="0"/>
        <w:jc w:val="center"/>
        <w:divId w:val="415980837"/>
        <w:rPr>
          <w:sz w:val="20"/>
          <w:szCs w:val="20"/>
        </w:rPr>
      </w:pPr>
      <w:r>
        <w:rPr>
          <w:b/>
          <w:bCs/>
          <w:caps/>
          <w:sz w:val="20"/>
          <w:szCs w:val="20"/>
        </w:rPr>
        <w:t>lakeshore biopharma co., ltd</w:t>
      </w:r>
    </w:p>
    <w:p w14:paraId="2266ECB3"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1935FB9" w14:textId="77777777" w:rsidR="00000000" w:rsidRDefault="002F725F">
      <w:pPr>
        <w:pStyle w:val="NormalWeb"/>
        <w:spacing w:before="0" w:beforeAutospacing="0" w:after="0" w:afterAutospacing="0"/>
        <w:jc w:val="center"/>
        <w:divId w:val="415980837"/>
        <w:rPr>
          <w:sz w:val="20"/>
          <w:szCs w:val="20"/>
        </w:rPr>
      </w:pPr>
      <w:r>
        <w:rPr>
          <w:b/>
          <w:bCs/>
          <w:caps/>
          <w:sz w:val="20"/>
          <w:szCs w:val="20"/>
        </w:rPr>
        <w:t>and</w:t>
      </w:r>
    </w:p>
    <w:p w14:paraId="6DCC2E18"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D115284" w14:textId="77777777" w:rsidR="00000000" w:rsidRDefault="002F725F">
      <w:pPr>
        <w:pStyle w:val="NormalWeb"/>
        <w:spacing w:before="0" w:beforeAutospacing="0" w:after="0" w:afterAutospacing="0"/>
        <w:jc w:val="center"/>
        <w:divId w:val="415980837"/>
        <w:rPr>
          <w:sz w:val="20"/>
          <w:szCs w:val="20"/>
        </w:rPr>
      </w:pPr>
      <w:r>
        <w:rPr>
          <w:b/>
          <w:bCs/>
          <w:sz w:val="20"/>
          <w:szCs w:val="20"/>
        </w:rPr>
        <w:t>OCEANPINE MERGER SUB INC.</w:t>
      </w:r>
    </w:p>
    <w:p w14:paraId="2C977F46"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AFA7ACB" w14:textId="77777777" w:rsidR="00000000" w:rsidRDefault="002F725F">
      <w:pPr>
        <w:pStyle w:val="NormalWeb"/>
        <w:spacing w:before="0" w:beforeAutospacing="0" w:after="0" w:afterAutospacing="0"/>
        <w:jc w:val="center"/>
        <w:divId w:val="415980837"/>
        <w:rPr>
          <w:sz w:val="20"/>
          <w:szCs w:val="20"/>
        </w:rPr>
      </w:pPr>
      <w:r>
        <w:rPr>
          <w:b/>
          <w:bCs/>
          <w:caps/>
          <w:sz w:val="20"/>
          <w:szCs w:val="20"/>
        </w:rPr>
        <w:t> </w:t>
      </w:r>
    </w:p>
    <w:p w14:paraId="064599D6"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372B6349" w14:textId="77777777" w:rsidR="00000000" w:rsidRDefault="002F725F">
      <w:pPr>
        <w:pStyle w:val="NormalWeb"/>
        <w:spacing w:before="0" w:beforeAutospacing="0" w:after="0" w:afterAutospacing="0"/>
        <w:jc w:val="center"/>
        <w:divId w:val="415980837"/>
        <w:rPr>
          <w:sz w:val="20"/>
          <w:szCs w:val="20"/>
        </w:rPr>
      </w:pPr>
      <w:r>
        <w:rPr>
          <w:b/>
          <w:bCs/>
          <w:caps/>
          <w:sz w:val="20"/>
          <w:szCs w:val="20"/>
        </w:rPr>
        <w:t> </w:t>
      </w:r>
    </w:p>
    <w:p w14:paraId="168CB85F" w14:textId="77777777" w:rsidR="00000000" w:rsidRDefault="002F725F">
      <w:pPr>
        <w:divId w:val="160119204"/>
        <w:rPr>
          <w:rFonts w:eastAsia="Times New Roman"/>
          <w:sz w:val="2"/>
          <w:szCs w:val="2"/>
        </w:rPr>
      </w:pPr>
      <w:r>
        <w:rPr>
          <w:rFonts w:eastAsia="Times New Roman"/>
          <w:sz w:val="2"/>
          <w:szCs w:val="2"/>
        </w:rPr>
        <w:t> </w:t>
      </w:r>
    </w:p>
    <w:p w14:paraId="2F89C79D"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3BBA73A" w14:textId="77777777" w:rsidR="00000000" w:rsidRDefault="002F725F">
      <w:pPr>
        <w:pStyle w:val="NormalWeb"/>
        <w:spacing w:before="0" w:beforeAutospacing="0" w:after="0" w:afterAutospacing="0"/>
        <w:jc w:val="center"/>
        <w:divId w:val="415980837"/>
        <w:rPr>
          <w:sz w:val="20"/>
          <w:szCs w:val="20"/>
        </w:rPr>
      </w:pPr>
      <w:r>
        <w:rPr>
          <w:b/>
          <w:bCs/>
          <w:caps/>
          <w:sz w:val="20"/>
          <w:szCs w:val="20"/>
        </w:rPr>
        <w:t>PLAN OF MERGER</w:t>
      </w:r>
    </w:p>
    <w:p w14:paraId="610B4A10"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09253A88" w14:textId="77777777" w:rsidR="00000000" w:rsidRDefault="002F725F">
      <w:pPr>
        <w:divId w:val="218439782"/>
        <w:rPr>
          <w:rFonts w:eastAsia="Times New Roman"/>
          <w:sz w:val="2"/>
          <w:szCs w:val="2"/>
        </w:rPr>
      </w:pPr>
      <w:r>
        <w:rPr>
          <w:rFonts w:eastAsia="Times New Roman"/>
          <w:sz w:val="2"/>
          <w:szCs w:val="2"/>
        </w:rPr>
        <w:t> </w:t>
      </w:r>
    </w:p>
    <w:p w14:paraId="74432A67"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FBE97B2"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DCE5F41" w14:textId="77777777" w:rsidR="00000000" w:rsidRDefault="002F725F">
      <w:pPr>
        <w:pStyle w:val="NormalWeb"/>
        <w:spacing w:before="0" w:beforeAutospacing="0" w:after="0" w:afterAutospacing="0"/>
        <w:jc w:val="center"/>
        <w:divId w:val="251207603"/>
        <w:rPr>
          <w:sz w:val="20"/>
          <w:szCs w:val="20"/>
        </w:rPr>
      </w:pPr>
      <w:r>
        <w:rPr>
          <w:sz w:val="20"/>
          <w:szCs w:val="20"/>
        </w:rPr>
        <w:t>A</w:t>
      </w:r>
      <w:r>
        <w:rPr>
          <w:sz w:val="20"/>
          <w:szCs w:val="20"/>
        </w:rPr>
        <w:t>-</w:t>
      </w:r>
      <w:r>
        <w:rPr>
          <w:sz w:val="20"/>
          <w:szCs w:val="20"/>
        </w:rPr>
        <w:t>5</w:t>
      </w:r>
      <w:r>
        <w:rPr>
          <w:sz w:val="20"/>
          <w:szCs w:val="20"/>
        </w:rPr>
        <w:t>8</w:t>
      </w:r>
    </w:p>
    <w:p w14:paraId="5129276A" w14:textId="77777777" w:rsidR="00000000" w:rsidRDefault="002F725F">
      <w:pPr>
        <w:pStyle w:val="NormalWeb"/>
        <w:spacing w:before="0" w:beforeAutospacing="0" w:after="0" w:afterAutospacing="0"/>
        <w:divId w:val="664892114"/>
        <w:rPr>
          <w:sz w:val="20"/>
          <w:szCs w:val="20"/>
        </w:rPr>
      </w:pPr>
      <w:r>
        <w:rPr>
          <w:sz w:val="20"/>
          <w:szCs w:val="20"/>
        </w:rPr>
        <w:lastRenderedPageBreak/>
        <w:t> </w:t>
      </w:r>
    </w:p>
    <w:p w14:paraId="32D9EF71" w14:textId="77777777" w:rsidR="00000000" w:rsidRDefault="002F725F">
      <w:pPr>
        <w:pStyle w:val="NormalWeb"/>
        <w:spacing w:before="0" w:beforeAutospacing="0" w:after="0" w:afterAutospacing="0"/>
        <w:divId w:val="415980837"/>
        <w:rPr>
          <w:sz w:val="20"/>
          <w:szCs w:val="20"/>
        </w:rPr>
      </w:pPr>
      <w:r>
        <w:rPr>
          <w:sz w:val="20"/>
          <w:szCs w:val="20"/>
        </w:rPr>
        <w:t> </w:t>
      </w:r>
    </w:p>
    <w:p w14:paraId="6DC38509" w14:textId="77777777" w:rsidR="00000000" w:rsidRDefault="002F725F">
      <w:pPr>
        <w:pStyle w:val="NormalWeb"/>
        <w:spacing w:before="0" w:beforeAutospacing="0" w:after="0" w:afterAutospacing="0"/>
        <w:divId w:val="415980837"/>
        <w:rPr>
          <w:sz w:val="20"/>
          <w:szCs w:val="20"/>
        </w:rPr>
      </w:pPr>
      <w:r>
        <w:rPr>
          <w:b/>
          <w:bCs/>
          <w:sz w:val="20"/>
          <w:szCs w:val="20"/>
        </w:rPr>
        <w:t>THIS PLAN OF MERGER</w:t>
      </w:r>
      <w:r>
        <w:rPr>
          <w:sz w:val="20"/>
          <w:szCs w:val="20"/>
        </w:rPr>
        <w:t xml:space="preserve"> is made on ___________________</w:t>
      </w:r>
    </w:p>
    <w:p w14:paraId="00D392F3" w14:textId="77777777" w:rsidR="00000000" w:rsidRDefault="002F725F">
      <w:pPr>
        <w:pStyle w:val="NormalWeb"/>
        <w:spacing w:before="0" w:beforeAutospacing="0" w:after="0" w:afterAutospacing="0"/>
        <w:divId w:val="415980837"/>
        <w:rPr>
          <w:sz w:val="20"/>
          <w:szCs w:val="20"/>
        </w:rPr>
      </w:pPr>
      <w:r>
        <w:rPr>
          <w:sz w:val="20"/>
          <w:szCs w:val="20"/>
        </w:rPr>
        <w:t> </w:t>
      </w:r>
    </w:p>
    <w:p w14:paraId="4FB91E50" w14:textId="77777777" w:rsidR="00000000" w:rsidRDefault="002F725F">
      <w:pPr>
        <w:pStyle w:val="NormalWeb"/>
        <w:spacing w:before="0" w:beforeAutospacing="0" w:after="0" w:afterAutospacing="0"/>
        <w:divId w:val="415980837"/>
        <w:rPr>
          <w:sz w:val="20"/>
          <w:szCs w:val="20"/>
        </w:rPr>
      </w:pPr>
      <w:r>
        <w:rPr>
          <w:b/>
          <w:bCs/>
          <w:sz w:val="20"/>
          <w:szCs w:val="20"/>
        </w:rPr>
        <w:t>BETWEEN</w:t>
      </w:r>
    </w:p>
    <w:p w14:paraId="0BCCB916" w14:textId="77777777" w:rsidR="00000000" w:rsidRDefault="002F725F">
      <w:pPr>
        <w:pStyle w:val="NormalWeb"/>
        <w:spacing w:before="0" w:beforeAutospacing="0" w:after="0" w:afterAutospacing="0"/>
        <w:divId w:val="415980837"/>
        <w:rPr>
          <w:sz w:val="20"/>
          <w:szCs w:val="20"/>
        </w:rPr>
      </w:pPr>
      <w:r>
        <w:rPr>
          <w:sz w:val="20"/>
          <w:szCs w:val="20"/>
        </w:rPr>
        <w:t> </w:t>
      </w:r>
    </w:p>
    <w:p w14:paraId="47E52DA6" w14:textId="77777777" w:rsidR="00000000" w:rsidRDefault="002F725F">
      <w:pPr>
        <w:pStyle w:val="NormalWeb"/>
        <w:spacing w:before="0" w:beforeAutospacing="0" w:after="0" w:afterAutospacing="0"/>
        <w:jc w:val="both"/>
        <w:divId w:val="415980837"/>
        <w:rPr>
          <w:sz w:val="20"/>
          <w:szCs w:val="20"/>
        </w:rPr>
      </w:pPr>
      <w:r>
        <w:rPr>
          <w:b/>
          <w:bCs/>
          <w:sz w:val="20"/>
          <w:szCs w:val="20"/>
        </w:rPr>
        <w:t>LakeShore Biopharma Co., Ltd</w:t>
      </w:r>
      <w:r>
        <w:rPr>
          <w:sz w:val="20"/>
          <w:szCs w:val="20"/>
        </w:rPr>
        <w:t>, an exempted company with limited liability incorporated under the Laws of the Cayman Islands and formerly known as YishengBio Co., Ltd and YS Biopharma Co., Ltd. h</w:t>
      </w:r>
      <w:r>
        <w:rPr>
          <w:sz w:val="20"/>
          <w:szCs w:val="20"/>
        </w:rPr>
        <w:t>aving its registered office at the offices of Maples Corporate Services Limited, PO Box 309, Ugland House, Grand Cayman, KY1-1104, Cayman Islands (the “</w:t>
      </w:r>
      <w:r>
        <w:rPr>
          <w:b/>
          <w:bCs/>
          <w:sz w:val="20"/>
          <w:szCs w:val="20"/>
        </w:rPr>
        <w:t>Company</w:t>
      </w:r>
      <w:r>
        <w:rPr>
          <w:sz w:val="20"/>
          <w:szCs w:val="20"/>
        </w:rPr>
        <w:t>” or the “</w:t>
      </w:r>
      <w:r>
        <w:rPr>
          <w:b/>
          <w:bCs/>
          <w:sz w:val="20"/>
          <w:szCs w:val="20"/>
        </w:rPr>
        <w:t>Surviving Company</w:t>
      </w:r>
      <w:r>
        <w:rPr>
          <w:sz w:val="20"/>
          <w:szCs w:val="20"/>
        </w:rPr>
        <w:t>”); and</w:t>
      </w:r>
    </w:p>
    <w:p w14:paraId="3E151D09" w14:textId="77777777" w:rsidR="00000000" w:rsidRDefault="002F725F">
      <w:pPr>
        <w:pStyle w:val="NormalWeb"/>
        <w:spacing w:before="0" w:beforeAutospacing="0" w:after="0" w:afterAutospacing="0"/>
        <w:divId w:val="415980837"/>
        <w:rPr>
          <w:sz w:val="20"/>
          <w:szCs w:val="20"/>
        </w:rPr>
      </w:pPr>
      <w:r>
        <w:rPr>
          <w:sz w:val="20"/>
          <w:szCs w:val="20"/>
        </w:rPr>
        <w:t> </w:t>
      </w:r>
    </w:p>
    <w:p w14:paraId="4B07B30B" w14:textId="77777777" w:rsidR="00000000" w:rsidRDefault="002F725F">
      <w:pPr>
        <w:pStyle w:val="NormalWeb"/>
        <w:spacing w:before="0" w:beforeAutospacing="0" w:after="0" w:afterAutospacing="0"/>
        <w:jc w:val="both"/>
        <w:divId w:val="415980837"/>
        <w:rPr>
          <w:sz w:val="20"/>
          <w:szCs w:val="20"/>
        </w:rPr>
      </w:pPr>
      <w:r>
        <w:rPr>
          <w:b/>
          <w:bCs/>
          <w:sz w:val="20"/>
          <w:szCs w:val="20"/>
        </w:rPr>
        <w:t>Oceanpine Merger Sub Inc.</w:t>
      </w:r>
      <w:r>
        <w:rPr>
          <w:sz w:val="20"/>
          <w:szCs w:val="20"/>
        </w:rPr>
        <w:t xml:space="preserve">, an exempted company with limited </w:t>
      </w:r>
      <w:r>
        <w:rPr>
          <w:sz w:val="20"/>
          <w:szCs w:val="20"/>
        </w:rPr>
        <w:t>liability incorporated under the Laws of the Cayman Islands having its registered office at the offices of Vistra (Cayman) Limited, P. O. Box 31119 Grand Pavilion, Hibiscus Way, 802 West Bay Road, Grand Cayman, KY1 - 1205 Cayman Islands (the “</w:t>
      </w:r>
      <w:r>
        <w:rPr>
          <w:b/>
          <w:bCs/>
          <w:sz w:val="20"/>
          <w:szCs w:val="20"/>
        </w:rPr>
        <w:t>Merging Compa</w:t>
      </w:r>
      <w:r>
        <w:rPr>
          <w:b/>
          <w:bCs/>
          <w:sz w:val="20"/>
          <w:szCs w:val="20"/>
        </w:rPr>
        <w:t>ny</w:t>
      </w:r>
      <w:r>
        <w:rPr>
          <w:sz w:val="20"/>
          <w:szCs w:val="20"/>
        </w:rPr>
        <w:t>” and together with the Company, the “</w:t>
      </w:r>
      <w:r>
        <w:rPr>
          <w:b/>
          <w:bCs/>
          <w:sz w:val="20"/>
          <w:szCs w:val="20"/>
        </w:rPr>
        <w:t>Constituent Companies</w:t>
      </w:r>
      <w:r>
        <w:rPr>
          <w:sz w:val="20"/>
          <w:szCs w:val="20"/>
        </w:rPr>
        <w:t>”).</w:t>
      </w:r>
    </w:p>
    <w:p w14:paraId="016C7F7F" w14:textId="77777777" w:rsidR="00000000" w:rsidRDefault="002F725F">
      <w:pPr>
        <w:pStyle w:val="NormalWeb"/>
        <w:spacing w:before="0" w:beforeAutospacing="0" w:after="0" w:afterAutospacing="0"/>
        <w:divId w:val="415980837"/>
        <w:rPr>
          <w:sz w:val="20"/>
          <w:szCs w:val="20"/>
        </w:rPr>
      </w:pPr>
      <w:r>
        <w:rPr>
          <w:sz w:val="20"/>
          <w:szCs w:val="20"/>
        </w:rPr>
        <w:t> </w:t>
      </w:r>
    </w:p>
    <w:p w14:paraId="3A63DE17" w14:textId="77777777" w:rsidR="00000000" w:rsidRDefault="002F725F">
      <w:pPr>
        <w:pStyle w:val="NormalWeb"/>
        <w:spacing w:before="0" w:beforeAutospacing="0" w:after="0" w:afterAutospacing="0"/>
        <w:divId w:val="415980837"/>
        <w:rPr>
          <w:sz w:val="20"/>
          <w:szCs w:val="20"/>
        </w:rPr>
      </w:pPr>
      <w:r>
        <w:rPr>
          <w:b/>
          <w:bCs/>
          <w:sz w:val="20"/>
          <w:szCs w:val="20"/>
        </w:rPr>
        <w:t>WHEREAS</w:t>
      </w:r>
    </w:p>
    <w:p w14:paraId="244BDF9E"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6CD27307" w14:textId="77777777">
        <w:trPr>
          <w:divId w:val="415980837"/>
          <w:tblCellSpacing w:w="0" w:type="dxa"/>
        </w:trPr>
        <w:tc>
          <w:tcPr>
            <w:tcW w:w="0" w:type="pct"/>
            <w:hideMark/>
          </w:tcPr>
          <w:p w14:paraId="0DCE6560" w14:textId="77777777" w:rsidR="00000000" w:rsidRDefault="002F725F">
            <w:pPr>
              <w:rPr>
                <w:sz w:val="20"/>
                <w:szCs w:val="20"/>
              </w:rPr>
            </w:pPr>
          </w:p>
        </w:tc>
        <w:tc>
          <w:tcPr>
            <w:tcW w:w="720" w:type="dxa"/>
            <w:hideMark/>
          </w:tcPr>
          <w:p w14:paraId="4213D776" w14:textId="77777777" w:rsidR="00000000" w:rsidRDefault="002F725F">
            <w:pPr>
              <w:rPr>
                <w:rFonts w:eastAsia="Times New Roman"/>
                <w:sz w:val="20"/>
                <w:szCs w:val="20"/>
              </w:rPr>
            </w:pPr>
            <w:r>
              <w:rPr>
                <w:rFonts w:eastAsia="Times New Roman"/>
                <w:sz w:val="20"/>
                <w:szCs w:val="20"/>
              </w:rPr>
              <w:t>(A)</w:t>
            </w:r>
          </w:p>
        </w:tc>
        <w:tc>
          <w:tcPr>
            <w:tcW w:w="0" w:type="auto"/>
            <w:hideMark/>
          </w:tcPr>
          <w:p w14:paraId="0E3D9D91" w14:textId="77777777" w:rsidR="00000000" w:rsidRDefault="002F725F">
            <w:pPr>
              <w:jc w:val="both"/>
              <w:rPr>
                <w:rFonts w:eastAsia="Times New Roman"/>
                <w:sz w:val="20"/>
                <w:szCs w:val="20"/>
              </w:rPr>
            </w:pPr>
            <w:r>
              <w:rPr>
                <w:rFonts w:eastAsia="Times New Roman"/>
                <w:sz w:val="20"/>
                <w:szCs w:val="20"/>
              </w:rPr>
              <w:t>The respective boards of directors and shareholders of the Company and the Merging Company have approved the merger of the Constituent Companies, with the Company continuing as the surviving company (the “</w:t>
            </w:r>
            <w:r>
              <w:rPr>
                <w:rFonts w:eastAsia="Times New Roman"/>
                <w:b/>
                <w:bCs/>
                <w:sz w:val="20"/>
                <w:szCs w:val="20"/>
              </w:rPr>
              <w:t>Merger</w:t>
            </w:r>
            <w:r>
              <w:rPr>
                <w:rFonts w:eastAsia="Times New Roman"/>
                <w:sz w:val="20"/>
                <w:szCs w:val="20"/>
              </w:rPr>
              <w:t>”), upon the terms and subject to the conditi</w:t>
            </w:r>
            <w:r>
              <w:rPr>
                <w:rFonts w:eastAsia="Times New Roman"/>
                <w:sz w:val="20"/>
                <w:szCs w:val="20"/>
              </w:rPr>
              <w:t>ons of the agreement and plan of merger dated November 4, 2025 among Oceanpine Skyline Inc., an exempted company with limited liability incorporated under the Laws of the Cayman Islands (“</w:t>
            </w:r>
            <w:r>
              <w:rPr>
                <w:rFonts w:eastAsia="Times New Roman"/>
                <w:b/>
                <w:bCs/>
                <w:sz w:val="20"/>
                <w:szCs w:val="20"/>
              </w:rPr>
              <w:t>Parent</w:t>
            </w:r>
            <w:r>
              <w:rPr>
                <w:rFonts w:eastAsia="Times New Roman"/>
                <w:sz w:val="20"/>
                <w:szCs w:val="20"/>
              </w:rPr>
              <w:t>”), the Company and the Merging Company (as may be amended, su</w:t>
            </w:r>
            <w:r>
              <w:rPr>
                <w:rFonts w:eastAsia="Times New Roman"/>
                <w:sz w:val="20"/>
                <w:szCs w:val="20"/>
              </w:rPr>
              <w:t>pplemented or otherwise modified from time to time in accordance with its terms, the “</w:t>
            </w:r>
            <w:r>
              <w:rPr>
                <w:rFonts w:eastAsia="Times New Roman"/>
                <w:b/>
                <w:bCs/>
                <w:sz w:val="20"/>
                <w:szCs w:val="20"/>
              </w:rPr>
              <w:t>Merger Agreement</w:t>
            </w:r>
            <w:r>
              <w:rPr>
                <w:rFonts w:eastAsia="Times New Roman"/>
                <w:sz w:val="20"/>
                <w:szCs w:val="20"/>
              </w:rPr>
              <w:t>”) and this Plan of Merger pursuant to provisions of Part XVI of the Companies Act (As Revised) of the Cayman Islands (the “</w:t>
            </w:r>
            <w:r>
              <w:rPr>
                <w:rFonts w:eastAsia="Times New Roman"/>
                <w:b/>
                <w:bCs/>
                <w:sz w:val="20"/>
                <w:szCs w:val="20"/>
              </w:rPr>
              <w:t>Companies Act</w:t>
            </w:r>
            <w:r>
              <w:rPr>
                <w:rFonts w:eastAsia="Times New Roman"/>
                <w:sz w:val="20"/>
                <w:szCs w:val="20"/>
              </w:rPr>
              <w:t>”).</w:t>
            </w:r>
          </w:p>
        </w:tc>
      </w:tr>
    </w:tbl>
    <w:p w14:paraId="6093CBF3"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048AD876" w14:textId="77777777">
        <w:trPr>
          <w:divId w:val="415980837"/>
          <w:tblCellSpacing w:w="0" w:type="dxa"/>
        </w:trPr>
        <w:tc>
          <w:tcPr>
            <w:tcW w:w="0" w:type="pct"/>
            <w:hideMark/>
          </w:tcPr>
          <w:p w14:paraId="21042596" w14:textId="77777777" w:rsidR="00000000" w:rsidRDefault="002F725F">
            <w:pPr>
              <w:rPr>
                <w:sz w:val="20"/>
                <w:szCs w:val="20"/>
              </w:rPr>
            </w:pPr>
          </w:p>
        </w:tc>
        <w:tc>
          <w:tcPr>
            <w:tcW w:w="720" w:type="dxa"/>
            <w:hideMark/>
          </w:tcPr>
          <w:p w14:paraId="3722AC15" w14:textId="77777777" w:rsidR="00000000" w:rsidRDefault="002F725F">
            <w:pPr>
              <w:rPr>
                <w:rFonts w:eastAsia="Times New Roman"/>
                <w:sz w:val="20"/>
                <w:szCs w:val="20"/>
              </w:rPr>
            </w:pPr>
            <w:r>
              <w:rPr>
                <w:rFonts w:eastAsia="Times New Roman"/>
                <w:sz w:val="20"/>
                <w:szCs w:val="20"/>
              </w:rPr>
              <w:t>(B)</w:t>
            </w:r>
          </w:p>
        </w:tc>
        <w:tc>
          <w:tcPr>
            <w:tcW w:w="0" w:type="auto"/>
            <w:hideMark/>
          </w:tcPr>
          <w:p w14:paraId="48306B22" w14:textId="77777777" w:rsidR="00000000" w:rsidRDefault="002F725F">
            <w:pPr>
              <w:jc w:val="both"/>
              <w:rPr>
                <w:rFonts w:eastAsia="Times New Roman"/>
                <w:sz w:val="20"/>
                <w:szCs w:val="20"/>
              </w:rPr>
            </w:pPr>
            <w:r>
              <w:rPr>
                <w:rFonts w:eastAsia="Times New Roman"/>
                <w:sz w:val="20"/>
                <w:szCs w:val="20"/>
              </w:rPr>
              <w:t>Each of the Company and the Merging Company wishes to enter into this Plan of Merger pursuant to the provisions of Part XVI of the Companies Act.</w:t>
            </w:r>
          </w:p>
        </w:tc>
      </w:tr>
    </w:tbl>
    <w:p w14:paraId="5D9EE9ED" w14:textId="77777777" w:rsidR="00000000" w:rsidRDefault="002F725F">
      <w:pPr>
        <w:pStyle w:val="NormalWeb"/>
        <w:spacing w:before="0" w:beforeAutospacing="0" w:after="0" w:afterAutospacing="0"/>
        <w:divId w:val="415980837"/>
        <w:rPr>
          <w:sz w:val="20"/>
          <w:szCs w:val="20"/>
        </w:rPr>
      </w:pPr>
      <w:r>
        <w:rPr>
          <w:sz w:val="20"/>
          <w:szCs w:val="20"/>
        </w:rPr>
        <w:t> </w:t>
      </w:r>
    </w:p>
    <w:p w14:paraId="348118BE" w14:textId="77777777" w:rsidR="00000000" w:rsidRDefault="002F725F">
      <w:pPr>
        <w:pStyle w:val="NormalWeb"/>
        <w:spacing w:before="0" w:beforeAutospacing="0" w:after="0" w:afterAutospacing="0"/>
        <w:divId w:val="415980837"/>
        <w:rPr>
          <w:sz w:val="20"/>
          <w:szCs w:val="20"/>
        </w:rPr>
      </w:pPr>
      <w:r>
        <w:rPr>
          <w:b/>
          <w:bCs/>
          <w:sz w:val="20"/>
          <w:szCs w:val="20"/>
        </w:rPr>
        <w:t>IT IS AGREED</w:t>
      </w:r>
    </w:p>
    <w:p w14:paraId="579EFD3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7251FAF7" w14:textId="77777777">
        <w:trPr>
          <w:divId w:val="415980837"/>
          <w:tblCellSpacing w:w="0" w:type="dxa"/>
        </w:trPr>
        <w:tc>
          <w:tcPr>
            <w:tcW w:w="0" w:type="pct"/>
            <w:hideMark/>
          </w:tcPr>
          <w:p w14:paraId="0965697F" w14:textId="77777777" w:rsidR="00000000" w:rsidRDefault="002F725F">
            <w:pPr>
              <w:rPr>
                <w:sz w:val="20"/>
                <w:szCs w:val="20"/>
              </w:rPr>
            </w:pPr>
          </w:p>
        </w:tc>
        <w:tc>
          <w:tcPr>
            <w:tcW w:w="720" w:type="dxa"/>
            <w:hideMark/>
          </w:tcPr>
          <w:p w14:paraId="128CF54C" w14:textId="77777777" w:rsidR="00000000" w:rsidRDefault="002F725F">
            <w:pPr>
              <w:rPr>
                <w:rFonts w:eastAsia="Times New Roman"/>
                <w:sz w:val="20"/>
                <w:szCs w:val="20"/>
              </w:rPr>
            </w:pPr>
            <w:r>
              <w:rPr>
                <w:rFonts w:eastAsia="Times New Roman"/>
                <w:b/>
                <w:bCs/>
                <w:caps/>
                <w:sz w:val="20"/>
                <w:szCs w:val="20"/>
              </w:rPr>
              <w:t>1</w:t>
            </w:r>
          </w:p>
        </w:tc>
        <w:tc>
          <w:tcPr>
            <w:tcW w:w="0" w:type="auto"/>
            <w:hideMark/>
          </w:tcPr>
          <w:p w14:paraId="44AB1503" w14:textId="77777777" w:rsidR="00000000" w:rsidRDefault="002F725F">
            <w:pPr>
              <w:jc w:val="both"/>
              <w:rPr>
                <w:rFonts w:eastAsia="Times New Roman"/>
                <w:sz w:val="20"/>
                <w:szCs w:val="20"/>
              </w:rPr>
            </w:pPr>
            <w:r>
              <w:rPr>
                <w:rFonts w:eastAsia="Times New Roman"/>
                <w:b/>
                <w:bCs/>
                <w:caps/>
                <w:sz w:val="20"/>
                <w:szCs w:val="20"/>
              </w:rPr>
              <w:t>Definitions and Interpretation</w:t>
            </w:r>
          </w:p>
        </w:tc>
      </w:tr>
    </w:tbl>
    <w:p w14:paraId="4E15BEA1"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39357C10" w14:textId="77777777">
        <w:trPr>
          <w:divId w:val="415980837"/>
          <w:tblCellSpacing w:w="0" w:type="dxa"/>
        </w:trPr>
        <w:tc>
          <w:tcPr>
            <w:tcW w:w="0" w:type="pct"/>
            <w:hideMark/>
          </w:tcPr>
          <w:p w14:paraId="333F0BB8" w14:textId="77777777" w:rsidR="00000000" w:rsidRDefault="002F725F">
            <w:pPr>
              <w:rPr>
                <w:sz w:val="20"/>
                <w:szCs w:val="20"/>
              </w:rPr>
            </w:pPr>
          </w:p>
        </w:tc>
        <w:tc>
          <w:tcPr>
            <w:tcW w:w="720" w:type="dxa"/>
            <w:hideMark/>
          </w:tcPr>
          <w:p w14:paraId="14B15488" w14:textId="77777777" w:rsidR="00000000" w:rsidRDefault="002F725F">
            <w:pPr>
              <w:rPr>
                <w:rFonts w:eastAsia="Times New Roman"/>
                <w:sz w:val="20"/>
                <w:szCs w:val="20"/>
              </w:rPr>
            </w:pPr>
            <w:r>
              <w:rPr>
                <w:rFonts w:eastAsia="Times New Roman"/>
                <w:b/>
                <w:bCs/>
                <w:sz w:val="20"/>
                <w:szCs w:val="20"/>
              </w:rPr>
              <w:t>1.1</w:t>
            </w:r>
          </w:p>
        </w:tc>
        <w:tc>
          <w:tcPr>
            <w:tcW w:w="0" w:type="auto"/>
            <w:hideMark/>
          </w:tcPr>
          <w:p w14:paraId="7204B234" w14:textId="77777777" w:rsidR="00000000" w:rsidRDefault="002F725F">
            <w:pPr>
              <w:jc w:val="both"/>
              <w:rPr>
                <w:rFonts w:eastAsia="Times New Roman"/>
                <w:sz w:val="20"/>
                <w:szCs w:val="20"/>
              </w:rPr>
            </w:pPr>
            <w:r>
              <w:rPr>
                <w:rFonts w:eastAsia="Times New Roman"/>
                <w:sz w:val="20"/>
                <w:szCs w:val="20"/>
              </w:rPr>
              <w:t>Terms used in this Plan of Merger and not otherwis</w:t>
            </w:r>
            <w:r>
              <w:rPr>
                <w:rFonts w:eastAsia="Times New Roman"/>
                <w:sz w:val="20"/>
                <w:szCs w:val="20"/>
              </w:rPr>
              <w:t xml:space="preserve">e defined in this Plan of Merger shall have the meanings given to them in the Merger Agreement, a copy of which is annexed at </w:t>
            </w:r>
            <w:r>
              <w:rPr>
                <w:rFonts w:eastAsia="Times New Roman"/>
                <w:sz w:val="20"/>
                <w:szCs w:val="20"/>
                <w:u w:val="single"/>
              </w:rPr>
              <w:t>Annex 1</w:t>
            </w:r>
            <w:r>
              <w:rPr>
                <w:rFonts w:eastAsia="Times New Roman"/>
                <w:sz w:val="20"/>
                <w:szCs w:val="20"/>
              </w:rPr>
              <w:t xml:space="preserve"> hereto.</w:t>
            </w:r>
          </w:p>
        </w:tc>
      </w:tr>
    </w:tbl>
    <w:p w14:paraId="53E53F5D"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114D4A87" w14:textId="77777777">
        <w:trPr>
          <w:divId w:val="415980837"/>
          <w:tblCellSpacing w:w="0" w:type="dxa"/>
        </w:trPr>
        <w:tc>
          <w:tcPr>
            <w:tcW w:w="0" w:type="pct"/>
            <w:hideMark/>
          </w:tcPr>
          <w:p w14:paraId="1CBCAC8D" w14:textId="77777777" w:rsidR="00000000" w:rsidRDefault="002F725F">
            <w:pPr>
              <w:rPr>
                <w:sz w:val="20"/>
                <w:szCs w:val="20"/>
              </w:rPr>
            </w:pPr>
          </w:p>
        </w:tc>
        <w:tc>
          <w:tcPr>
            <w:tcW w:w="720" w:type="dxa"/>
            <w:hideMark/>
          </w:tcPr>
          <w:p w14:paraId="0D3467EE" w14:textId="77777777" w:rsidR="00000000" w:rsidRDefault="002F725F">
            <w:pPr>
              <w:rPr>
                <w:rFonts w:eastAsia="Times New Roman"/>
                <w:sz w:val="20"/>
                <w:szCs w:val="20"/>
              </w:rPr>
            </w:pPr>
            <w:r>
              <w:rPr>
                <w:rFonts w:eastAsia="Times New Roman"/>
                <w:b/>
                <w:bCs/>
                <w:caps/>
                <w:sz w:val="20"/>
                <w:szCs w:val="20"/>
              </w:rPr>
              <w:t>2</w:t>
            </w:r>
          </w:p>
        </w:tc>
        <w:tc>
          <w:tcPr>
            <w:tcW w:w="0" w:type="auto"/>
            <w:hideMark/>
          </w:tcPr>
          <w:p w14:paraId="2E83CC9C" w14:textId="77777777" w:rsidR="00000000" w:rsidRDefault="002F725F">
            <w:pPr>
              <w:rPr>
                <w:rFonts w:eastAsia="Times New Roman"/>
                <w:sz w:val="20"/>
                <w:szCs w:val="20"/>
              </w:rPr>
            </w:pPr>
            <w:r>
              <w:rPr>
                <w:rFonts w:eastAsia="Times New Roman"/>
                <w:b/>
                <w:bCs/>
                <w:caps/>
                <w:sz w:val="20"/>
                <w:szCs w:val="20"/>
              </w:rPr>
              <w:t>Plan of Merger</w:t>
            </w:r>
          </w:p>
        </w:tc>
      </w:tr>
    </w:tbl>
    <w:p w14:paraId="5D30C5F4"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7D9D6F53" w14:textId="77777777">
        <w:trPr>
          <w:divId w:val="415980837"/>
          <w:tblCellSpacing w:w="0" w:type="dxa"/>
        </w:trPr>
        <w:tc>
          <w:tcPr>
            <w:tcW w:w="0" w:type="pct"/>
            <w:hideMark/>
          </w:tcPr>
          <w:p w14:paraId="33270239" w14:textId="77777777" w:rsidR="00000000" w:rsidRDefault="002F725F">
            <w:pPr>
              <w:rPr>
                <w:sz w:val="20"/>
                <w:szCs w:val="20"/>
              </w:rPr>
            </w:pPr>
          </w:p>
        </w:tc>
        <w:tc>
          <w:tcPr>
            <w:tcW w:w="720" w:type="dxa"/>
            <w:hideMark/>
          </w:tcPr>
          <w:p w14:paraId="7A8D23B6" w14:textId="77777777" w:rsidR="00000000" w:rsidRDefault="002F725F">
            <w:pPr>
              <w:rPr>
                <w:rFonts w:eastAsia="Times New Roman"/>
                <w:sz w:val="20"/>
                <w:szCs w:val="20"/>
              </w:rPr>
            </w:pPr>
            <w:r>
              <w:rPr>
                <w:rFonts w:eastAsia="Times New Roman"/>
                <w:b/>
                <w:bCs/>
                <w:sz w:val="20"/>
                <w:szCs w:val="20"/>
              </w:rPr>
              <w:t>2.1</w:t>
            </w:r>
          </w:p>
        </w:tc>
        <w:tc>
          <w:tcPr>
            <w:tcW w:w="0" w:type="auto"/>
            <w:hideMark/>
          </w:tcPr>
          <w:p w14:paraId="13A0099C" w14:textId="77777777" w:rsidR="00000000" w:rsidRDefault="002F725F">
            <w:pPr>
              <w:rPr>
                <w:rFonts w:eastAsia="Times New Roman"/>
                <w:sz w:val="20"/>
                <w:szCs w:val="20"/>
              </w:rPr>
            </w:pPr>
            <w:r>
              <w:rPr>
                <w:rFonts w:eastAsia="Times New Roman"/>
                <w:b/>
                <w:bCs/>
                <w:sz w:val="20"/>
                <w:szCs w:val="20"/>
              </w:rPr>
              <w:t>Constituent Company Details</w:t>
            </w:r>
          </w:p>
        </w:tc>
      </w:tr>
    </w:tbl>
    <w:p w14:paraId="1BC4B233"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302961E6" w14:textId="77777777">
        <w:trPr>
          <w:divId w:val="415980837"/>
          <w:tblCellSpacing w:w="0" w:type="dxa"/>
        </w:trPr>
        <w:tc>
          <w:tcPr>
            <w:tcW w:w="720" w:type="dxa"/>
            <w:hideMark/>
          </w:tcPr>
          <w:p w14:paraId="63F5097E" w14:textId="77777777" w:rsidR="00000000" w:rsidRDefault="002F725F">
            <w:pPr>
              <w:rPr>
                <w:sz w:val="20"/>
                <w:szCs w:val="20"/>
              </w:rPr>
            </w:pPr>
          </w:p>
        </w:tc>
        <w:tc>
          <w:tcPr>
            <w:tcW w:w="720" w:type="dxa"/>
            <w:hideMark/>
          </w:tcPr>
          <w:p w14:paraId="4A7A251A" w14:textId="77777777" w:rsidR="00000000" w:rsidRDefault="002F725F">
            <w:pPr>
              <w:rPr>
                <w:rFonts w:eastAsia="Times New Roman"/>
                <w:sz w:val="20"/>
                <w:szCs w:val="20"/>
              </w:rPr>
            </w:pPr>
            <w:r>
              <w:rPr>
                <w:rFonts w:eastAsia="Times New Roman"/>
                <w:sz w:val="20"/>
                <w:szCs w:val="20"/>
              </w:rPr>
              <w:t>(a)</w:t>
            </w:r>
          </w:p>
        </w:tc>
        <w:tc>
          <w:tcPr>
            <w:tcW w:w="0" w:type="auto"/>
            <w:hideMark/>
          </w:tcPr>
          <w:p w14:paraId="4AEE39BA" w14:textId="77777777" w:rsidR="00000000" w:rsidRDefault="002F725F">
            <w:pPr>
              <w:jc w:val="both"/>
              <w:rPr>
                <w:rFonts w:eastAsia="Times New Roman"/>
                <w:sz w:val="20"/>
                <w:szCs w:val="20"/>
              </w:rPr>
            </w:pPr>
            <w:r>
              <w:rPr>
                <w:rFonts w:eastAsia="Times New Roman"/>
                <w:sz w:val="20"/>
                <w:szCs w:val="20"/>
              </w:rPr>
              <w:t>The constituent companies (as defined in the Companies Act) to the Merger are the Company and the Merging Company.</w:t>
            </w:r>
          </w:p>
        </w:tc>
      </w:tr>
    </w:tbl>
    <w:p w14:paraId="3E9D796A"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5A74A2D6" w14:textId="77777777">
        <w:trPr>
          <w:divId w:val="415980837"/>
          <w:tblCellSpacing w:w="0" w:type="dxa"/>
        </w:trPr>
        <w:tc>
          <w:tcPr>
            <w:tcW w:w="720" w:type="dxa"/>
            <w:hideMark/>
          </w:tcPr>
          <w:p w14:paraId="3A47AE93" w14:textId="77777777" w:rsidR="00000000" w:rsidRDefault="002F725F">
            <w:pPr>
              <w:rPr>
                <w:sz w:val="20"/>
                <w:szCs w:val="20"/>
              </w:rPr>
            </w:pPr>
          </w:p>
        </w:tc>
        <w:tc>
          <w:tcPr>
            <w:tcW w:w="720" w:type="dxa"/>
            <w:hideMark/>
          </w:tcPr>
          <w:p w14:paraId="6B0119C9" w14:textId="77777777" w:rsidR="00000000" w:rsidRDefault="002F725F">
            <w:pPr>
              <w:rPr>
                <w:rFonts w:eastAsia="Times New Roman"/>
                <w:sz w:val="20"/>
                <w:szCs w:val="20"/>
              </w:rPr>
            </w:pPr>
            <w:r>
              <w:rPr>
                <w:rFonts w:eastAsia="Times New Roman"/>
                <w:sz w:val="20"/>
                <w:szCs w:val="20"/>
              </w:rPr>
              <w:t>(b)</w:t>
            </w:r>
          </w:p>
        </w:tc>
        <w:tc>
          <w:tcPr>
            <w:tcW w:w="0" w:type="auto"/>
            <w:hideMark/>
          </w:tcPr>
          <w:p w14:paraId="244732CD" w14:textId="77777777" w:rsidR="00000000" w:rsidRDefault="002F725F">
            <w:pPr>
              <w:jc w:val="both"/>
              <w:rPr>
                <w:rFonts w:eastAsia="Times New Roman"/>
                <w:sz w:val="20"/>
                <w:szCs w:val="20"/>
              </w:rPr>
            </w:pPr>
            <w:r>
              <w:rPr>
                <w:rFonts w:eastAsia="Times New Roman"/>
                <w:sz w:val="20"/>
                <w:szCs w:val="20"/>
              </w:rPr>
              <w:t xml:space="preserve">The surviving company (as defined in the Companies Act) is the Company, which shall continue to be named </w:t>
            </w:r>
            <w:r>
              <w:rPr>
                <w:rFonts w:eastAsia="Times New Roman"/>
                <w:b/>
                <w:bCs/>
                <w:sz w:val="20"/>
                <w:szCs w:val="20"/>
              </w:rPr>
              <w:t>LakeShore Biopharma Co., Ltd</w:t>
            </w:r>
            <w:r>
              <w:rPr>
                <w:rFonts w:eastAsia="Times New Roman"/>
                <w:sz w:val="20"/>
                <w:szCs w:val="20"/>
              </w:rPr>
              <w:t>.</w:t>
            </w:r>
          </w:p>
        </w:tc>
      </w:tr>
    </w:tbl>
    <w:p w14:paraId="4797C6B4"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7C482EE0" w14:textId="77777777">
        <w:trPr>
          <w:divId w:val="415980837"/>
          <w:tblCellSpacing w:w="0" w:type="dxa"/>
        </w:trPr>
        <w:tc>
          <w:tcPr>
            <w:tcW w:w="720" w:type="dxa"/>
            <w:hideMark/>
          </w:tcPr>
          <w:p w14:paraId="24AED4DD" w14:textId="77777777" w:rsidR="00000000" w:rsidRDefault="002F725F">
            <w:pPr>
              <w:rPr>
                <w:sz w:val="20"/>
                <w:szCs w:val="20"/>
              </w:rPr>
            </w:pPr>
          </w:p>
        </w:tc>
        <w:tc>
          <w:tcPr>
            <w:tcW w:w="720" w:type="dxa"/>
            <w:hideMark/>
          </w:tcPr>
          <w:p w14:paraId="6228E438" w14:textId="77777777" w:rsidR="00000000" w:rsidRDefault="002F725F">
            <w:pPr>
              <w:rPr>
                <w:rFonts w:eastAsia="Times New Roman"/>
                <w:sz w:val="20"/>
                <w:szCs w:val="20"/>
              </w:rPr>
            </w:pPr>
            <w:r>
              <w:rPr>
                <w:rFonts w:eastAsia="Times New Roman"/>
                <w:sz w:val="20"/>
                <w:szCs w:val="20"/>
              </w:rPr>
              <w:t>(c)</w:t>
            </w:r>
          </w:p>
        </w:tc>
        <w:tc>
          <w:tcPr>
            <w:tcW w:w="0" w:type="auto"/>
            <w:hideMark/>
          </w:tcPr>
          <w:p w14:paraId="55C8328D" w14:textId="77777777" w:rsidR="00000000" w:rsidRDefault="002F725F">
            <w:pPr>
              <w:jc w:val="both"/>
              <w:rPr>
                <w:rFonts w:eastAsia="Times New Roman"/>
                <w:sz w:val="20"/>
                <w:szCs w:val="20"/>
              </w:rPr>
            </w:pPr>
            <w:r>
              <w:rPr>
                <w:rFonts w:eastAsia="Times New Roman"/>
                <w:sz w:val="20"/>
                <w:szCs w:val="20"/>
              </w:rPr>
              <w:t>The registered office of the Company is at the offices of Maples Corporate Services Limited, PO Box 309, Ugland House, Grand Cayman KY1-1104, Cayman Islands. The registered office of the Merging Company is at the offices of Vistra (Cayman) Limited, P. O. B</w:t>
            </w:r>
            <w:r>
              <w:rPr>
                <w:rFonts w:eastAsia="Times New Roman"/>
                <w:sz w:val="20"/>
                <w:szCs w:val="20"/>
              </w:rPr>
              <w:t xml:space="preserve">ox 31119 Grand Pavilion, Hibiscus Way, 802 West Bay Road, Grand Cayman, KY1 - 1205 Cayman Islands. Following the Effective Time (as defined below), the registered office of the Surviving Company will be at the offices of Maples Corporate Services Limited, </w:t>
            </w:r>
            <w:r>
              <w:rPr>
                <w:rFonts w:eastAsia="Times New Roman"/>
                <w:sz w:val="20"/>
                <w:szCs w:val="20"/>
              </w:rPr>
              <w:t>PO Box 309, Ugland House, Grand Cayman KY1-1104, Cayman Islands.</w:t>
            </w:r>
          </w:p>
        </w:tc>
      </w:tr>
    </w:tbl>
    <w:p w14:paraId="783B378A"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2624FBA8" w14:textId="77777777">
        <w:trPr>
          <w:divId w:val="415980837"/>
          <w:tblCellSpacing w:w="0" w:type="dxa"/>
        </w:trPr>
        <w:tc>
          <w:tcPr>
            <w:tcW w:w="720" w:type="dxa"/>
            <w:hideMark/>
          </w:tcPr>
          <w:p w14:paraId="12CEA631" w14:textId="77777777" w:rsidR="00000000" w:rsidRDefault="002F725F">
            <w:pPr>
              <w:rPr>
                <w:sz w:val="20"/>
                <w:szCs w:val="20"/>
              </w:rPr>
            </w:pPr>
          </w:p>
        </w:tc>
        <w:tc>
          <w:tcPr>
            <w:tcW w:w="720" w:type="dxa"/>
            <w:hideMark/>
          </w:tcPr>
          <w:p w14:paraId="1CCA5F6C" w14:textId="77777777" w:rsidR="00000000" w:rsidRDefault="002F725F">
            <w:pPr>
              <w:rPr>
                <w:rFonts w:eastAsia="Times New Roman"/>
                <w:sz w:val="20"/>
                <w:szCs w:val="20"/>
              </w:rPr>
            </w:pPr>
            <w:r>
              <w:rPr>
                <w:rFonts w:eastAsia="Times New Roman"/>
                <w:sz w:val="20"/>
                <w:szCs w:val="20"/>
              </w:rPr>
              <w:t>(d)</w:t>
            </w:r>
          </w:p>
        </w:tc>
        <w:tc>
          <w:tcPr>
            <w:tcW w:w="0" w:type="auto"/>
            <w:hideMark/>
          </w:tcPr>
          <w:p w14:paraId="1ABB7FDD" w14:textId="77777777" w:rsidR="00000000" w:rsidRDefault="002F725F">
            <w:pPr>
              <w:jc w:val="both"/>
              <w:rPr>
                <w:rFonts w:eastAsia="Times New Roman"/>
                <w:sz w:val="20"/>
                <w:szCs w:val="20"/>
              </w:rPr>
            </w:pPr>
            <w:r>
              <w:rPr>
                <w:rFonts w:eastAsia="Times New Roman"/>
                <w:sz w:val="20"/>
                <w:szCs w:val="20"/>
              </w:rPr>
              <w:t>Immediately prior to the Effective Time (as defined below), the authorised share capital of the Company is US$50,000 divided into 250,000,000 ordinary shares of a par value of US$0.00</w:t>
            </w:r>
            <w:r>
              <w:rPr>
                <w:rFonts w:eastAsia="Times New Roman"/>
                <w:sz w:val="20"/>
                <w:szCs w:val="20"/>
              </w:rPr>
              <w:t>02 each.</w:t>
            </w:r>
          </w:p>
        </w:tc>
      </w:tr>
    </w:tbl>
    <w:p w14:paraId="73D7229C"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23E236D1" w14:textId="77777777">
        <w:trPr>
          <w:divId w:val="415980837"/>
          <w:tblCellSpacing w:w="0" w:type="dxa"/>
        </w:trPr>
        <w:tc>
          <w:tcPr>
            <w:tcW w:w="720" w:type="dxa"/>
            <w:hideMark/>
          </w:tcPr>
          <w:p w14:paraId="1F57BEEC" w14:textId="77777777" w:rsidR="00000000" w:rsidRDefault="002F725F">
            <w:pPr>
              <w:rPr>
                <w:sz w:val="20"/>
                <w:szCs w:val="20"/>
              </w:rPr>
            </w:pPr>
          </w:p>
        </w:tc>
        <w:tc>
          <w:tcPr>
            <w:tcW w:w="720" w:type="dxa"/>
            <w:hideMark/>
          </w:tcPr>
          <w:p w14:paraId="04442E24" w14:textId="77777777" w:rsidR="00000000" w:rsidRDefault="002F725F">
            <w:pPr>
              <w:rPr>
                <w:rFonts w:eastAsia="Times New Roman"/>
                <w:sz w:val="20"/>
                <w:szCs w:val="20"/>
              </w:rPr>
            </w:pPr>
            <w:r>
              <w:rPr>
                <w:rFonts w:eastAsia="Times New Roman"/>
                <w:sz w:val="20"/>
                <w:szCs w:val="20"/>
              </w:rPr>
              <w:t>(e)</w:t>
            </w:r>
          </w:p>
        </w:tc>
        <w:tc>
          <w:tcPr>
            <w:tcW w:w="0" w:type="auto"/>
            <w:hideMark/>
          </w:tcPr>
          <w:p w14:paraId="46AADCB7" w14:textId="77777777" w:rsidR="00000000" w:rsidRDefault="002F725F">
            <w:pPr>
              <w:jc w:val="both"/>
              <w:rPr>
                <w:rFonts w:eastAsia="Times New Roman"/>
                <w:sz w:val="20"/>
                <w:szCs w:val="20"/>
              </w:rPr>
            </w:pPr>
            <w:r>
              <w:rPr>
                <w:rFonts w:eastAsia="Times New Roman"/>
                <w:sz w:val="20"/>
                <w:szCs w:val="20"/>
              </w:rPr>
              <w:t>Immediately prior to the Effective Time, the authorised share capital of the Merging Company is US$50,000 divided into 500,000,000 shares of a par value of US$0.0001 each.</w:t>
            </w:r>
          </w:p>
        </w:tc>
      </w:tr>
    </w:tbl>
    <w:p w14:paraId="385DBDB4"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306C714E" w14:textId="77777777">
        <w:trPr>
          <w:divId w:val="415980837"/>
          <w:tblCellSpacing w:w="0" w:type="dxa"/>
        </w:trPr>
        <w:tc>
          <w:tcPr>
            <w:tcW w:w="720" w:type="dxa"/>
            <w:hideMark/>
          </w:tcPr>
          <w:p w14:paraId="7F436AB1" w14:textId="77777777" w:rsidR="00000000" w:rsidRDefault="002F725F">
            <w:pPr>
              <w:rPr>
                <w:sz w:val="20"/>
                <w:szCs w:val="20"/>
              </w:rPr>
            </w:pPr>
          </w:p>
        </w:tc>
        <w:tc>
          <w:tcPr>
            <w:tcW w:w="720" w:type="dxa"/>
            <w:hideMark/>
          </w:tcPr>
          <w:p w14:paraId="5861135E" w14:textId="77777777" w:rsidR="00000000" w:rsidRDefault="002F725F">
            <w:pPr>
              <w:rPr>
                <w:rFonts w:eastAsia="Times New Roman"/>
                <w:sz w:val="20"/>
                <w:szCs w:val="20"/>
              </w:rPr>
            </w:pPr>
            <w:r>
              <w:rPr>
                <w:rFonts w:eastAsia="Times New Roman"/>
                <w:sz w:val="20"/>
                <w:szCs w:val="20"/>
              </w:rPr>
              <w:t>(f)</w:t>
            </w:r>
          </w:p>
        </w:tc>
        <w:tc>
          <w:tcPr>
            <w:tcW w:w="0" w:type="auto"/>
            <w:hideMark/>
          </w:tcPr>
          <w:p w14:paraId="1F30DBC9" w14:textId="77777777" w:rsidR="00000000" w:rsidRDefault="002F725F">
            <w:pPr>
              <w:jc w:val="both"/>
              <w:rPr>
                <w:rFonts w:eastAsia="Times New Roman"/>
                <w:sz w:val="20"/>
                <w:szCs w:val="20"/>
              </w:rPr>
            </w:pPr>
            <w:r>
              <w:rPr>
                <w:rFonts w:eastAsia="Times New Roman"/>
                <w:sz w:val="20"/>
                <w:szCs w:val="20"/>
              </w:rPr>
              <w:t xml:space="preserve">At the Effective Time, the authorised share capital of the </w:t>
            </w:r>
            <w:r>
              <w:rPr>
                <w:rFonts w:eastAsia="Times New Roman"/>
                <w:sz w:val="20"/>
                <w:szCs w:val="20"/>
              </w:rPr>
              <w:t>Surviving Company shall be [US$50,000 divided into 500,000,000 shares of a par value of US$0.0001 each].</w:t>
            </w:r>
          </w:p>
        </w:tc>
      </w:tr>
    </w:tbl>
    <w:p w14:paraId="4B439B85" w14:textId="77777777" w:rsidR="00000000" w:rsidRDefault="002F725F">
      <w:pPr>
        <w:pStyle w:val="NormalWeb"/>
        <w:spacing w:before="0" w:beforeAutospacing="0" w:after="0" w:afterAutospacing="0"/>
        <w:divId w:val="415980837"/>
        <w:rPr>
          <w:sz w:val="20"/>
          <w:szCs w:val="20"/>
        </w:rPr>
      </w:pPr>
      <w:r>
        <w:rPr>
          <w:sz w:val="20"/>
          <w:szCs w:val="20"/>
        </w:rPr>
        <w:t> </w:t>
      </w:r>
    </w:p>
    <w:p w14:paraId="7BB22384" w14:textId="77777777" w:rsidR="00000000" w:rsidRDefault="002F725F">
      <w:pPr>
        <w:pStyle w:val="NormalWeb"/>
        <w:spacing w:before="0" w:beforeAutospacing="0" w:after="0" w:afterAutospacing="0"/>
        <w:jc w:val="center"/>
        <w:divId w:val="705495077"/>
        <w:rPr>
          <w:sz w:val="20"/>
          <w:szCs w:val="20"/>
        </w:rPr>
      </w:pPr>
      <w:r>
        <w:rPr>
          <w:sz w:val="20"/>
          <w:szCs w:val="20"/>
        </w:rPr>
        <w:t>A</w:t>
      </w:r>
      <w:r>
        <w:rPr>
          <w:sz w:val="20"/>
          <w:szCs w:val="20"/>
        </w:rPr>
        <w:t>-</w:t>
      </w:r>
      <w:r>
        <w:rPr>
          <w:sz w:val="20"/>
          <w:szCs w:val="20"/>
        </w:rPr>
        <w:t>5</w:t>
      </w:r>
      <w:r>
        <w:rPr>
          <w:sz w:val="20"/>
          <w:szCs w:val="20"/>
        </w:rPr>
        <w:t>9</w:t>
      </w:r>
    </w:p>
    <w:p w14:paraId="7C0975DC" w14:textId="77777777" w:rsidR="00000000" w:rsidRDefault="002F725F">
      <w:pPr>
        <w:pStyle w:val="NormalWeb"/>
        <w:spacing w:before="0" w:beforeAutospacing="0" w:after="0" w:afterAutospacing="0"/>
        <w:divId w:val="386874494"/>
        <w:rPr>
          <w:sz w:val="20"/>
          <w:szCs w:val="20"/>
        </w:rPr>
      </w:pPr>
      <w:r>
        <w:rPr>
          <w:sz w:val="20"/>
          <w:szCs w:val="20"/>
        </w:rPr>
        <w:t> </w:t>
      </w:r>
    </w:p>
    <w:p w14:paraId="11FB8351"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39228BF3" w14:textId="77777777">
        <w:trPr>
          <w:divId w:val="415980837"/>
          <w:tblCellSpacing w:w="0" w:type="dxa"/>
        </w:trPr>
        <w:tc>
          <w:tcPr>
            <w:tcW w:w="0" w:type="pct"/>
            <w:hideMark/>
          </w:tcPr>
          <w:p w14:paraId="78E980C8" w14:textId="77777777" w:rsidR="00000000" w:rsidRDefault="002F725F">
            <w:pPr>
              <w:rPr>
                <w:sz w:val="20"/>
                <w:szCs w:val="20"/>
              </w:rPr>
            </w:pPr>
          </w:p>
        </w:tc>
        <w:tc>
          <w:tcPr>
            <w:tcW w:w="720" w:type="dxa"/>
            <w:hideMark/>
          </w:tcPr>
          <w:p w14:paraId="30FE6800" w14:textId="77777777" w:rsidR="00000000" w:rsidRDefault="002F725F">
            <w:pPr>
              <w:rPr>
                <w:rFonts w:eastAsia="Times New Roman"/>
                <w:sz w:val="20"/>
                <w:szCs w:val="20"/>
              </w:rPr>
            </w:pPr>
            <w:r>
              <w:rPr>
                <w:rFonts w:eastAsia="Times New Roman"/>
                <w:b/>
                <w:bCs/>
                <w:sz w:val="20"/>
                <w:szCs w:val="20"/>
              </w:rPr>
              <w:t>2.2</w:t>
            </w:r>
          </w:p>
        </w:tc>
        <w:tc>
          <w:tcPr>
            <w:tcW w:w="0" w:type="auto"/>
            <w:hideMark/>
          </w:tcPr>
          <w:p w14:paraId="2AE89ED8" w14:textId="77777777" w:rsidR="00000000" w:rsidRDefault="002F725F">
            <w:pPr>
              <w:rPr>
                <w:rFonts w:eastAsia="Times New Roman"/>
                <w:sz w:val="20"/>
                <w:szCs w:val="20"/>
              </w:rPr>
            </w:pPr>
            <w:r>
              <w:rPr>
                <w:rFonts w:eastAsia="Times New Roman"/>
                <w:b/>
                <w:bCs/>
                <w:sz w:val="20"/>
                <w:szCs w:val="20"/>
              </w:rPr>
              <w:t>Effective Time</w:t>
            </w:r>
          </w:p>
        </w:tc>
      </w:tr>
    </w:tbl>
    <w:p w14:paraId="7D5FCE0D" w14:textId="77777777" w:rsidR="00000000" w:rsidRDefault="002F725F">
      <w:pPr>
        <w:pStyle w:val="NormalWeb"/>
        <w:spacing w:before="0" w:beforeAutospacing="0" w:after="0" w:afterAutospacing="0"/>
        <w:divId w:val="415980837"/>
        <w:rPr>
          <w:sz w:val="20"/>
          <w:szCs w:val="20"/>
        </w:rPr>
      </w:pPr>
      <w:r>
        <w:rPr>
          <w:sz w:val="20"/>
          <w:szCs w:val="20"/>
        </w:rPr>
        <w:t> </w:t>
      </w:r>
    </w:p>
    <w:p w14:paraId="5F70D4B0" w14:textId="77777777" w:rsidR="00000000" w:rsidRDefault="002F725F">
      <w:pPr>
        <w:pStyle w:val="NormalWeb"/>
        <w:spacing w:before="0" w:beforeAutospacing="0" w:after="0" w:afterAutospacing="0"/>
        <w:ind w:left="720"/>
        <w:jc w:val="both"/>
        <w:divId w:val="415980837"/>
        <w:rPr>
          <w:sz w:val="20"/>
          <w:szCs w:val="20"/>
        </w:rPr>
      </w:pPr>
      <w:r>
        <w:rPr>
          <w:sz w:val="20"/>
          <w:szCs w:val="20"/>
        </w:rPr>
        <w:t xml:space="preserve">In accordance with section 233(13) </w:t>
      </w:r>
      <w:r>
        <w:rPr>
          <w:sz w:val="20"/>
          <w:szCs w:val="20"/>
        </w:rPr>
        <w:t>of the Companies Act, the Merger shall be effective on the date that this Plan of Merger is registered by the Registrar of Companies of the Cayman Islands (the “</w:t>
      </w:r>
      <w:r>
        <w:rPr>
          <w:b/>
          <w:bCs/>
          <w:sz w:val="20"/>
          <w:szCs w:val="20"/>
        </w:rPr>
        <w:t>Effective Time</w:t>
      </w:r>
      <w:r>
        <w:rPr>
          <w:sz w:val="20"/>
          <w:szCs w:val="20"/>
        </w:rPr>
        <w:t>”).</w:t>
      </w:r>
    </w:p>
    <w:p w14:paraId="069C4978" w14:textId="77777777" w:rsidR="00000000" w:rsidRDefault="002F725F">
      <w:pPr>
        <w:pStyle w:val="NormalWeb"/>
        <w:spacing w:before="0" w:beforeAutospacing="0" w:after="0" w:afterAutospacing="0"/>
        <w:ind w:left="567" w:hanging="1"/>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31210CBA" w14:textId="77777777">
        <w:trPr>
          <w:divId w:val="415980837"/>
          <w:tblCellSpacing w:w="0" w:type="dxa"/>
        </w:trPr>
        <w:tc>
          <w:tcPr>
            <w:tcW w:w="0" w:type="pct"/>
            <w:hideMark/>
          </w:tcPr>
          <w:p w14:paraId="34BB38CA" w14:textId="77777777" w:rsidR="00000000" w:rsidRDefault="002F725F">
            <w:pPr>
              <w:rPr>
                <w:sz w:val="20"/>
                <w:szCs w:val="20"/>
              </w:rPr>
            </w:pPr>
          </w:p>
        </w:tc>
        <w:tc>
          <w:tcPr>
            <w:tcW w:w="720" w:type="dxa"/>
            <w:hideMark/>
          </w:tcPr>
          <w:p w14:paraId="0D7E8011" w14:textId="77777777" w:rsidR="00000000" w:rsidRDefault="002F725F">
            <w:pPr>
              <w:rPr>
                <w:rFonts w:eastAsia="Times New Roman"/>
                <w:sz w:val="20"/>
                <w:szCs w:val="20"/>
              </w:rPr>
            </w:pPr>
            <w:r>
              <w:rPr>
                <w:rFonts w:eastAsia="Times New Roman"/>
                <w:b/>
                <w:bCs/>
                <w:sz w:val="20"/>
                <w:szCs w:val="20"/>
              </w:rPr>
              <w:t>2.3</w:t>
            </w:r>
          </w:p>
        </w:tc>
        <w:tc>
          <w:tcPr>
            <w:tcW w:w="0" w:type="auto"/>
            <w:hideMark/>
          </w:tcPr>
          <w:p w14:paraId="4903C81E" w14:textId="77777777" w:rsidR="00000000" w:rsidRDefault="002F725F">
            <w:pPr>
              <w:rPr>
                <w:rFonts w:eastAsia="Times New Roman"/>
                <w:sz w:val="20"/>
                <w:szCs w:val="20"/>
              </w:rPr>
            </w:pPr>
            <w:r>
              <w:rPr>
                <w:rFonts w:eastAsia="Times New Roman"/>
                <w:b/>
                <w:bCs/>
                <w:sz w:val="20"/>
                <w:szCs w:val="20"/>
              </w:rPr>
              <w:t>Terms and Conditions; Share Rights</w:t>
            </w:r>
          </w:p>
        </w:tc>
      </w:tr>
    </w:tbl>
    <w:p w14:paraId="5BF20FA3"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52D44102" w14:textId="77777777">
        <w:trPr>
          <w:divId w:val="415980837"/>
          <w:tblCellSpacing w:w="0" w:type="dxa"/>
        </w:trPr>
        <w:tc>
          <w:tcPr>
            <w:tcW w:w="720" w:type="dxa"/>
            <w:hideMark/>
          </w:tcPr>
          <w:p w14:paraId="704ED8C6" w14:textId="77777777" w:rsidR="00000000" w:rsidRDefault="002F725F">
            <w:pPr>
              <w:rPr>
                <w:sz w:val="20"/>
                <w:szCs w:val="20"/>
              </w:rPr>
            </w:pPr>
          </w:p>
        </w:tc>
        <w:tc>
          <w:tcPr>
            <w:tcW w:w="720" w:type="dxa"/>
            <w:hideMark/>
          </w:tcPr>
          <w:p w14:paraId="1BDF07BD" w14:textId="77777777" w:rsidR="00000000" w:rsidRDefault="002F725F">
            <w:pPr>
              <w:rPr>
                <w:rFonts w:eastAsia="Times New Roman"/>
                <w:sz w:val="20"/>
                <w:szCs w:val="20"/>
              </w:rPr>
            </w:pPr>
            <w:r>
              <w:rPr>
                <w:rFonts w:eastAsia="Times New Roman"/>
                <w:sz w:val="20"/>
                <w:szCs w:val="20"/>
              </w:rPr>
              <w:t>(a)</w:t>
            </w:r>
          </w:p>
        </w:tc>
        <w:tc>
          <w:tcPr>
            <w:tcW w:w="0" w:type="auto"/>
            <w:hideMark/>
          </w:tcPr>
          <w:p w14:paraId="56388F09" w14:textId="77777777" w:rsidR="00000000" w:rsidRDefault="002F725F">
            <w:pPr>
              <w:jc w:val="both"/>
              <w:rPr>
                <w:rFonts w:eastAsia="Times New Roman"/>
                <w:sz w:val="20"/>
                <w:szCs w:val="20"/>
              </w:rPr>
            </w:pPr>
            <w:r>
              <w:rPr>
                <w:rFonts w:eastAsia="Times New Roman"/>
                <w:sz w:val="20"/>
                <w:szCs w:val="20"/>
              </w:rPr>
              <w:t>The terms and conditions of</w:t>
            </w:r>
            <w:r>
              <w:rPr>
                <w:rFonts w:eastAsia="Times New Roman"/>
                <w:sz w:val="20"/>
                <w:szCs w:val="20"/>
              </w:rPr>
              <w:t xml:space="preserve"> the Merger, including the manner and basis of converting shares in each Constituent Company into shares in the Surviving Company or into other property, are set out in the Merger Agreement.</w:t>
            </w:r>
          </w:p>
        </w:tc>
      </w:tr>
    </w:tbl>
    <w:p w14:paraId="33CEC36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622FA056" w14:textId="77777777">
        <w:trPr>
          <w:divId w:val="415980837"/>
          <w:tblCellSpacing w:w="0" w:type="dxa"/>
        </w:trPr>
        <w:tc>
          <w:tcPr>
            <w:tcW w:w="720" w:type="dxa"/>
            <w:hideMark/>
          </w:tcPr>
          <w:p w14:paraId="1E2BA39C" w14:textId="77777777" w:rsidR="00000000" w:rsidRDefault="002F725F">
            <w:pPr>
              <w:rPr>
                <w:sz w:val="20"/>
                <w:szCs w:val="20"/>
              </w:rPr>
            </w:pPr>
          </w:p>
        </w:tc>
        <w:tc>
          <w:tcPr>
            <w:tcW w:w="720" w:type="dxa"/>
            <w:hideMark/>
          </w:tcPr>
          <w:p w14:paraId="0B3052F2" w14:textId="77777777" w:rsidR="00000000" w:rsidRDefault="002F725F">
            <w:pPr>
              <w:rPr>
                <w:rFonts w:eastAsia="Times New Roman"/>
                <w:sz w:val="20"/>
                <w:szCs w:val="20"/>
              </w:rPr>
            </w:pPr>
            <w:r>
              <w:rPr>
                <w:rFonts w:eastAsia="Times New Roman"/>
                <w:sz w:val="20"/>
                <w:szCs w:val="20"/>
              </w:rPr>
              <w:t>(b)</w:t>
            </w:r>
          </w:p>
        </w:tc>
        <w:tc>
          <w:tcPr>
            <w:tcW w:w="0" w:type="auto"/>
            <w:hideMark/>
          </w:tcPr>
          <w:p w14:paraId="57EAB507" w14:textId="77777777" w:rsidR="00000000" w:rsidRDefault="002F725F">
            <w:pPr>
              <w:jc w:val="both"/>
              <w:rPr>
                <w:rFonts w:eastAsia="Times New Roman"/>
                <w:sz w:val="20"/>
                <w:szCs w:val="20"/>
              </w:rPr>
            </w:pPr>
            <w:r>
              <w:rPr>
                <w:rFonts w:eastAsia="Times New Roman"/>
                <w:sz w:val="20"/>
                <w:szCs w:val="20"/>
              </w:rPr>
              <w:t>The rights and restrictions attaching to the shares in the Surviving Company at and after the Effective Time shall be as set out in the Amended and Restated Memorandum and Articles of Association (as defined below).</w:t>
            </w:r>
          </w:p>
        </w:tc>
      </w:tr>
    </w:tbl>
    <w:p w14:paraId="5826F86E"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53755186" w14:textId="77777777">
        <w:trPr>
          <w:divId w:val="415980837"/>
          <w:tblCellSpacing w:w="0" w:type="dxa"/>
        </w:trPr>
        <w:tc>
          <w:tcPr>
            <w:tcW w:w="720" w:type="dxa"/>
            <w:hideMark/>
          </w:tcPr>
          <w:p w14:paraId="6A157118" w14:textId="77777777" w:rsidR="00000000" w:rsidRDefault="002F725F">
            <w:pPr>
              <w:rPr>
                <w:sz w:val="20"/>
                <w:szCs w:val="20"/>
              </w:rPr>
            </w:pPr>
          </w:p>
        </w:tc>
        <w:tc>
          <w:tcPr>
            <w:tcW w:w="720" w:type="dxa"/>
            <w:hideMark/>
          </w:tcPr>
          <w:p w14:paraId="53A09D74" w14:textId="77777777" w:rsidR="00000000" w:rsidRDefault="002F725F">
            <w:pPr>
              <w:rPr>
                <w:rFonts w:eastAsia="Times New Roman"/>
                <w:sz w:val="20"/>
                <w:szCs w:val="20"/>
              </w:rPr>
            </w:pPr>
            <w:r>
              <w:rPr>
                <w:rFonts w:eastAsia="Times New Roman"/>
                <w:sz w:val="20"/>
                <w:szCs w:val="20"/>
              </w:rPr>
              <w:t>(c)</w:t>
            </w:r>
          </w:p>
        </w:tc>
        <w:tc>
          <w:tcPr>
            <w:tcW w:w="0" w:type="auto"/>
            <w:hideMark/>
          </w:tcPr>
          <w:p w14:paraId="53C54F05" w14:textId="77777777" w:rsidR="00000000" w:rsidRDefault="002F725F">
            <w:pPr>
              <w:jc w:val="both"/>
              <w:rPr>
                <w:rFonts w:eastAsia="Times New Roman"/>
                <w:sz w:val="20"/>
                <w:szCs w:val="20"/>
              </w:rPr>
            </w:pPr>
            <w:r>
              <w:rPr>
                <w:rFonts w:eastAsia="Times New Roman"/>
                <w:sz w:val="20"/>
                <w:szCs w:val="20"/>
              </w:rPr>
              <w:t>At the Effective Time, the memor</w:t>
            </w:r>
            <w:r>
              <w:rPr>
                <w:rFonts w:eastAsia="Times New Roman"/>
                <w:sz w:val="20"/>
                <w:szCs w:val="20"/>
              </w:rPr>
              <w:t xml:space="preserve">andum and articles of association of the Surviving Company shall be amended and restated by their deletion in their entirety and the substitution in their place of the amended and restated memorandum and articles of association in the form annexed at </w:t>
            </w:r>
            <w:r>
              <w:rPr>
                <w:rFonts w:eastAsia="Times New Roman"/>
                <w:sz w:val="20"/>
                <w:szCs w:val="20"/>
                <w:u w:val="single"/>
              </w:rPr>
              <w:t>Annex</w:t>
            </w:r>
            <w:r>
              <w:rPr>
                <w:rFonts w:eastAsia="Times New Roman"/>
                <w:sz w:val="20"/>
                <w:szCs w:val="20"/>
                <w:u w:val="single"/>
              </w:rPr>
              <w:t xml:space="preserve"> 2</w:t>
            </w:r>
            <w:r>
              <w:rPr>
                <w:rFonts w:eastAsia="Times New Roman"/>
                <w:sz w:val="20"/>
                <w:szCs w:val="20"/>
              </w:rPr>
              <w:t xml:space="preserve"> hereto (the “</w:t>
            </w:r>
            <w:r>
              <w:rPr>
                <w:rFonts w:eastAsia="Times New Roman"/>
                <w:b/>
                <w:bCs/>
                <w:sz w:val="20"/>
                <w:szCs w:val="20"/>
              </w:rPr>
              <w:t>Amended and Restated Memorandum and Articles of Association</w:t>
            </w:r>
            <w:r>
              <w:rPr>
                <w:rFonts w:eastAsia="Times New Roman"/>
                <w:sz w:val="20"/>
                <w:szCs w:val="20"/>
              </w:rPr>
              <w:t>”).</w:t>
            </w:r>
          </w:p>
        </w:tc>
      </w:tr>
    </w:tbl>
    <w:p w14:paraId="56C5724C"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69692953" w14:textId="77777777">
        <w:trPr>
          <w:divId w:val="415980837"/>
          <w:tblCellSpacing w:w="0" w:type="dxa"/>
        </w:trPr>
        <w:tc>
          <w:tcPr>
            <w:tcW w:w="0" w:type="pct"/>
            <w:hideMark/>
          </w:tcPr>
          <w:p w14:paraId="6FBEA7AC" w14:textId="77777777" w:rsidR="00000000" w:rsidRDefault="002F725F">
            <w:pPr>
              <w:rPr>
                <w:sz w:val="20"/>
                <w:szCs w:val="20"/>
              </w:rPr>
            </w:pPr>
          </w:p>
        </w:tc>
        <w:tc>
          <w:tcPr>
            <w:tcW w:w="720" w:type="dxa"/>
            <w:hideMark/>
          </w:tcPr>
          <w:p w14:paraId="00335811" w14:textId="77777777" w:rsidR="00000000" w:rsidRDefault="002F725F">
            <w:pPr>
              <w:rPr>
                <w:rFonts w:eastAsia="Times New Roman"/>
                <w:sz w:val="20"/>
                <w:szCs w:val="20"/>
              </w:rPr>
            </w:pPr>
            <w:r>
              <w:rPr>
                <w:rFonts w:eastAsia="Times New Roman"/>
                <w:b/>
                <w:bCs/>
                <w:sz w:val="20"/>
                <w:szCs w:val="20"/>
              </w:rPr>
              <w:t>2.4</w:t>
            </w:r>
          </w:p>
        </w:tc>
        <w:tc>
          <w:tcPr>
            <w:tcW w:w="0" w:type="auto"/>
            <w:hideMark/>
          </w:tcPr>
          <w:p w14:paraId="4CC62AEA" w14:textId="77777777" w:rsidR="00000000" w:rsidRDefault="002F725F">
            <w:pPr>
              <w:rPr>
                <w:rFonts w:eastAsia="Times New Roman"/>
                <w:sz w:val="20"/>
                <w:szCs w:val="20"/>
              </w:rPr>
            </w:pPr>
            <w:r>
              <w:rPr>
                <w:rFonts w:eastAsia="Times New Roman"/>
                <w:b/>
                <w:bCs/>
                <w:sz w:val="20"/>
                <w:szCs w:val="20"/>
              </w:rPr>
              <w:t>Directors’ Interests in the Merger</w:t>
            </w:r>
          </w:p>
        </w:tc>
      </w:tr>
    </w:tbl>
    <w:p w14:paraId="026346F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76758C70" w14:textId="77777777">
        <w:trPr>
          <w:divId w:val="415980837"/>
          <w:tblCellSpacing w:w="0" w:type="dxa"/>
        </w:trPr>
        <w:tc>
          <w:tcPr>
            <w:tcW w:w="720" w:type="dxa"/>
            <w:hideMark/>
          </w:tcPr>
          <w:p w14:paraId="35A66E90" w14:textId="77777777" w:rsidR="00000000" w:rsidRDefault="002F725F">
            <w:pPr>
              <w:rPr>
                <w:sz w:val="20"/>
                <w:szCs w:val="20"/>
              </w:rPr>
            </w:pPr>
          </w:p>
        </w:tc>
        <w:tc>
          <w:tcPr>
            <w:tcW w:w="720" w:type="dxa"/>
            <w:hideMark/>
          </w:tcPr>
          <w:p w14:paraId="4CEC5551" w14:textId="77777777" w:rsidR="00000000" w:rsidRDefault="002F725F">
            <w:pPr>
              <w:rPr>
                <w:rFonts w:eastAsia="Times New Roman"/>
                <w:sz w:val="20"/>
                <w:szCs w:val="20"/>
              </w:rPr>
            </w:pPr>
            <w:r>
              <w:rPr>
                <w:rFonts w:eastAsia="Times New Roman"/>
                <w:sz w:val="20"/>
                <w:szCs w:val="20"/>
              </w:rPr>
              <w:t>(a)</w:t>
            </w:r>
          </w:p>
        </w:tc>
        <w:tc>
          <w:tcPr>
            <w:tcW w:w="0" w:type="auto"/>
            <w:hideMark/>
          </w:tcPr>
          <w:p w14:paraId="2191EE74" w14:textId="77777777" w:rsidR="00000000" w:rsidRDefault="002F725F">
            <w:pPr>
              <w:jc w:val="both"/>
              <w:rPr>
                <w:rFonts w:eastAsia="Times New Roman"/>
                <w:sz w:val="20"/>
                <w:szCs w:val="20"/>
              </w:rPr>
            </w:pPr>
            <w:r>
              <w:rPr>
                <w:rFonts w:eastAsia="Times New Roman"/>
                <w:sz w:val="20"/>
                <w:szCs w:val="20"/>
              </w:rPr>
              <w:t>The names and addresses of each director of the Surviving Company upon the Merger becoming effective are as follows:</w:t>
            </w:r>
          </w:p>
        </w:tc>
      </w:tr>
    </w:tbl>
    <w:p w14:paraId="16999CA7"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3923"/>
        <w:gridCol w:w="5417"/>
      </w:tblGrid>
      <w:tr w:rsidR="00000000" w14:paraId="6B6787A3" w14:textId="77777777">
        <w:trPr>
          <w:divId w:val="415980837"/>
        </w:trPr>
        <w:tc>
          <w:tcPr>
            <w:tcW w:w="2100" w:type="pct"/>
            <w:tcBorders>
              <w:top w:val="single" w:sz="8" w:space="0" w:color="000000"/>
              <w:left w:val="single" w:sz="8" w:space="0" w:color="000000"/>
              <w:bottom w:val="single" w:sz="8" w:space="0" w:color="000000"/>
              <w:right w:val="single" w:sz="8" w:space="0" w:color="000000"/>
            </w:tcBorders>
            <w:tcMar>
              <w:top w:w="0" w:type="dxa"/>
              <w:left w:w="108" w:type="dxa"/>
              <w:bottom w:w="108" w:type="dxa"/>
              <w:right w:w="108" w:type="dxa"/>
            </w:tcMar>
            <w:hideMark/>
          </w:tcPr>
          <w:p w14:paraId="1E1B5ECE" w14:textId="77777777" w:rsidR="00000000" w:rsidRDefault="002F725F">
            <w:pPr>
              <w:rPr>
                <w:rFonts w:eastAsia="Times New Roman"/>
                <w:sz w:val="20"/>
                <w:szCs w:val="20"/>
              </w:rPr>
            </w:pPr>
            <w:r>
              <w:rPr>
                <w:rFonts w:eastAsia="Times New Roman"/>
                <w:b/>
                <w:bCs/>
                <w:sz w:val="20"/>
                <w:szCs w:val="20"/>
              </w:rPr>
              <w:t>NAME</w:t>
            </w:r>
            <w:r>
              <w:rPr>
                <w:rFonts w:eastAsia="Times New Roman"/>
                <w:sz w:val="20"/>
                <w:szCs w:val="20"/>
              </w:rPr>
              <w:t xml:space="preserve">  </w:t>
            </w:r>
          </w:p>
        </w:tc>
        <w:tc>
          <w:tcPr>
            <w:tcW w:w="2900" w:type="pct"/>
            <w:tcBorders>
              <w:top w:val="single" w:sz="8" w:space="0" w:color="000000"/>
              <w:bottom w:val="single" w:sz="8" w:space="0" w:color="000000"/>
              <w:right w:val="single" w:sz="8" w:space="0" w:color="000000"/>
            </w:tcBorders>
            <w:tcMar>
              <w:top w:w="0" w:type="dxa"/>
              <w:left w:w="108" w:type="dxa"/>
              <w:bottom w:w="108" w:type="dxa"/>
              <w:right w:w="108" w:type="dxa"/>
            </w:tcMar>
            <w:hideMark/>
          </w:tcPr>
          <w:p w14:paraId="1B10B7CA" w14:textId="77777777" w:rsidR="00000000" w:rsidRDefault="002F725F">
            <w:pPr>
              <w:rPr>
                <w:rFonts w:eastAsia="Times New Roman"/>
                <w:sz w:val="20"/>
                <w:szCs w:val="20"/>
              </w:rPr>
            </w:pPr>
            <w:r>
              <w:rPr>
                <w:rFonts w:eastAsia="Times New Roman"/>
                <w:b/>
                <w:bCs/>
                <w:sz w:val="20"/>
                <w:szCs w:val="20"/>
              </w:rPr>
              <w:t>ADDRESS</w:t>
            </w:r>
          </w:p>
        </w:tc>
      </w:tr>
      <w:tr w:rsidR="00000000" w14:paraId="76C2D43E" w14:textId="77777777">
        <w:trPr>
          <w:divId w:val="415980837"/>
        </w:trPr>
        <w:tc>
          <w:tcPr>
            <w:tcW w:w="0" w:type="auto"/>
            <w:tcBorders>
              <w:left w:val="single" w:sz="8" w:space="0" w:color="000000"/>
              <w:bottom w:val="single" w:sz="8" w:space="0" w:color="000000"/>
              <w:right w:val="single" w:sz="8" w:space="0" w:color="000000"/>
            </w:tcBorders>
            <w:tcMar>
              <w:top w:w="0" w:type="dxa"/>
              <w:left w:w="108" w:type="dxa"/>
              <w:bottom w:w="108" w:type="dxa"/>
              <w:right w:w="108" w:type="dxa"/>
            </w:tcMar>
            <w:hideMark/>
          </w:tcPr>
          <w:p w14:paraId="7DCB6E73" w14:textId="77777777" w:rsidR="00000000" w:rsidRDefault="002F725F">
            <w:pPr>
              <w:rPr>
                <w:rFonts w:eastAsia="Times New Roman"/>
                <w:sz w:val="20"/>
                <w:szCs w:val="20"/>
              </w:rPr>
            </w:pPr>
            <w:r>
              <w:rPr>
                <w:rFonts w:eastAsia="Times New Roman"/>
                <w:sz w:val="20"/>
                <w:szCs w:val="20"/>
              </w:rPr>
              <w:t>[</w:t>
            </w:r>
            <w:r>
              <w:rPr>
                <w:rFonts w:eastAsia="Times New Roman"/>
                <w:sz w:val="20"/>
                <w:szCs w:val="20"/>
              </w:rPr>
              <w:t>●</w:t>
            </w:r>
            <w:r>
              <w:rPr>
                <w:rFonts w:eastAsia="Times New Roman"/>
                <w:sz w:val="20"/>
                <w:szCs w:val="20"/>
              </w:rPr>
              <w:t>]</w:t>
            </w:r>
          </w:p>
        </w:tc>
        <w:tc>
          <w:tcPr>
            <w:tcW w:w="0" w:type="auto"/>
            <w:tcBorders>
              <w:bottom w:val="single" w:sz="8" w:space="0" w:color="000000"/>
              <w:right w:val="single" w:sz="8" w:space="0" w:color="000000"/>
            </w:tcBorders>
            <w:tcMar>
              <w:top w:w="0" w:type="dxa"/>
              <w:left w:w="108" w:type="dxa"/>
              <w:bottom w:w="108" w:type="dxa"/>
              <w:right w:w="108" w:type="dxa"/>
            </w:tcMar>
            <w:hideMark/>
          </w:tcPr>
          <w:p w14:paraId="005923E6" w14:textId="77777777" w:rsidR="00000000" w:rsidRDefault="002F725F">
            <w:pPr>
              <w:rPr>
                <w:rFonts w:eastAsia="Times New Roman"/>
                <w:sz w:val="20"/>
                <w:szCs w:val="20"/>
              </w:rPr>
            </w:pPr>
            <w:r>
              <w:rPr>
                <w:rFonts w:eastAsia="Times New Roman"/>
                <w:sz w:val="20"/>
                <w:szCs w:val="20"/>
              </w:rPr>
              <w:t>[</w:t>
            </w:r>
            <w:r>
              <w:rPr>
                <w:rFonts w:eastAsia="Times New Roman"/>
                <w:sz w:val="20"/>
                <w:szCs w:val="20"/>
              </w:rPr>
              <w:t>●</w:t>
            </w:r>
            <w:r>
              <w:rPr>
                <w:rFonts w:eastAsia="Times New Roman"/>
                <w:sz w:val="20"/>
                <w:szCs w:val="20"/>
              </w:rPr>
              <w:t>]</w:t>
            </w:r>
          </w:p>
        </w:tc>
      </w:tr>
    </w:tbl>
    <w:p w14:paraId="2B553661"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06F12690" w14:textId="77777777">
        <w:trPr>
          <w:divId w:val="415980837"/>
          <w:tblCellSpacing w:w="0" w:type="dxa"/>
        </w:trPr>
        <w:tc>
          <w:tcPr>
            <w:tcW w:w="720" w:type="dxa"/>
            <w:hideMark/>
          </w:tcPr>
          <w:p w14:paraId="7F13DFA8" w14:textId="77777777" w:rsidR="00000000" w:rsidRDefault="002F725F">
            <w:pPr>
              <w:rPr>
                <w:sz w:val="20"/>
                <w:szCs w:val="20"/>
              </w:rPr>
            </w:pPr>
          </w:p>
        </w:tc>
        <w:tc>
          <w:tcPr>
            <w:tcW w:w="720" w:type="dxa"/>
            <w:hideMark/>
          </w:tcPr>
          <w:p w14:paraId="3878279E" w14:textId="77777777" w:rsidR="00000000" w:rsidRDefault="002F725F">
            <w:pPr>
              <w:rPr>
                <w:rFonts w:eastAsia="Times New Roman"/>
                <w:sz w:val="20"/>
                <w:szCs w:val="20"/>
              </w:rPr>
            </w:pPr>
            <w:r>
              <w:rPr>
                <w:rFonts w:eastAsia="Times New Roman"/>
                <w:sz w:val="20"/>
                <w:szCs w:val="20"/>
              </w:rPr>
              <w:t>(b)</w:t>
            </w:r>
          </w:p>
        </w:tc>
        <w:tc>
          <w:tcPr>
            <w:tcW w:w="0" w:type="auto"/>
            <w:hideMark/>
          </w:tcPr>
          <w:p w14:paraId="7494AE57" w14:textId="77777777" w:rsidR="00000000" w:rsidRDefault="002F725F">
            <w:pPr>
              <w:jc w:val="both"/>
              <w:rPr>
                <w:rFonts w:eastAsia="Times New Roman"/>
                <w:sz w:val="20"/>
                <w:szCs w:val="20"/>
              </w:rPr>
            </w:pPr>
            <w:r>
              <w:rPr>
                <w:rFonts w:eastAsia="Times New Roman"/>
                <w:sz w:val="20"/>
                <w:szCs w:val="20"/>
              </w:rPr>
              <w:t>[There are no amounts or benefits which are or shall be paid or payable to any director of either of the Constituent Companies or the Surviving Company consequent upon the Merger.]</w:t>
            </w:r>
          </w:p>
        </w:tc>
      </w:tr>
    </w:tbl>
    <w:p w14:paraId="6C61059A"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7E727AB0" w14:textId="77777777">
        <w:trPr>
          <w:divId w:val="415980837"/>
          <w:tblCellSpacing w:w="0" w:type="dxa"/>
        </w:trPr>
        <w:tc>
          <w:tcPr>
            <w:tcW w:w="0" w:type="pct"/>
            <w:hideMark/>
          </w:tcPr>
          <w:p w14:paraId="6120D3FD" w14:textId="77777777" w:rsidR="00000000" w:rsidRDefault="002F725F">
            <w:pPr>
              <w:rPr>
                <w:sz w:val="20"/>
                <w:szCs w:val="20"/>
              </w:rPr>
            </w:pPr>
          </w:p>
        </w:tc>
        <w:tc>
          <w:tcPr>
            <w:tcW w:w="720" w:type="dxa"/>
            <w:hideMark/>
          </w:tcPr>
          <w:p w14:paraId="4371723E" w14:textId="77777777" w:rsidR="00000000" w:rsidRDefault="002F725F">
            <w:pPr>
              <w:rPr>
                <w:rFonts w:eastAsia="Times New Roman"/>
                <w:sz w:val="20"/>
                <w:szCs w:val="20"/>
              </w:rPr>
            </w:pPr>
            <w:r>
              <w:rPr>
                <w:rFonts w:eastAsia="Times New Roman"/>
                <w:b/>
                <w:bCs/>
                <w:sz w:val="20"/>
                <w:szCs w:val="20"/>
              </w:rPr>
              <w:t>2.5</w:t>
            </w:r>
          </w:p>
        </w:tc>
        <w:tc>
          <w:tcPr>
            <w:tcW w:w="0" w:type="auto"/>
            <w:hideMark/>
          </w:tcPr>
          <w:p w14:paraId="72388C7D" w14:textId="77777777" w:rsidR="00000000" w:rsidRDefault="002F725F">
            <w:pPr>
              <w:rPr>
                <w:rFonts w:eastAsia="Times New Roman"/>
                <w:sz w:val="20"/>
                <w:szCs w:val="20"/>
              </w:rPr>
            </w:pPr>
            <w:r>
              <w:rPr>
                <w:rFonts w:eastAsia="Times New Roman"/>
                <w:b/>
                <w:bCs/>
                <w:sz w:val="20"/>
                <w:szCs w:val="20"/>
              </w:rPr>
              <w:t>Secured Creditors</w:t>
            </w:r>
          </w:p>
        </w:tc>
      </w:tr>
    </w:tbl>
    <w:p w14:paraId="08D9A5B5"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5E3BE309" w14:textId="77777777">
        <w:trPr>
          <w:divId w:val="415980837"/>
          <w:tblCellSpacing w:w="0" w:type="dxa"/>
        </w:trPr>
        <w:tc>
          <w:tcPr>
            <w:tcW w:w="720" w:type="dxa"/>
            <w:hideMark/>
          </w:tcPr>
          <w:p w14:paraId="20B6B64C" w14:textId="77777777" w:rsidR="00000000" w:rsidRDefault="002F725F">
            <w:pPr>
              <w:rPr>
                <w:sz w:val="20"/>
                <w:szCs w:val="20"/>
              </w:rPr>
            </w:pPr>
          </w:p>
        </w:tc>
        <w:tc>
          <w:tcPr>
            <w:tcW w:w="720" w:type="dxa"/>
            <w:hideMark/>
          </w:tcPr>
          <w:p w14:paraId="1C7C352A" w14:textId="77777777" w:rsidR="00000000" w:rsidRDefault="002F725F">
            <w:pPr>
              <w:rPr>
                <w:rFonts w:eastAsia="Times New Roman"/>
                <w:sz w:val="20"/>
                <w:szCs w:val="20"/>
              </w:rPr>
            </w:pPr>
            <w:r>
              <w:rPr>
                <w:rFonts w:eastAsia="Times New Roman"/>
                <w:sz w:val="20"/>
                <w:szCs w:val="20"/>
              </w:rPr>
              <w:t>(a)</w:t>
            </w:r>
          </w:p>
        </w:tc>
        <w:tc>
          <w:tcPr>
            <w:tcW w:w="0" w:type="auto"/>
            <w:hideMark/>
          </w:tcPr>
          <w:p w14:paraId="64103E88" w14:textId="77777777" w:rsidR="00000000" w:rsidRDefault="002F725F">
            <w:pPr>
              <w:jc w:val="both"/>
              <w:rPr>
                <w:rFonts w:eastAsia="Times New Roman"/>
                <w:sz w:val="20"/>
                <w:szCs w:val="20"/>
              </w:rPr>
            </w:pPr>
            <w:r>
              <w:rPr>
                <w:rFonts w:eastAsia="Times New Roman"/>
                <w:sz w:val="20"/>
                <w:szCs w:val="20"/>
              </w:rPr>
              <w:t>The Company has no secured creditors and has granted no fixed or floating security interests that are outstanding as at the date of this Plan of Merger, or which will be outstanding at the Effective Time.</w:t>
            </w:r>
          </w:p>
        </w:tc>
      </w:tr>
    </w:tbl>
    <w:p w14:paraId="3A81C53C"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6091FF22" w14:textId="77777777">
        <w:trPr>
          <w:divId w:val="415980837"/>
          <w:tblCellSpacing w:w="0" w:type="dxa"/>
        </w:trPr>
        <w:tc>
          <w:tcPr>
            <w:tcW w:w="720" w:type="dxa"/>
            <w:hideMark/>
          </w:tcPr>
          <w:p w14:paraId="1F785708" w14:textId="77777777" w:rsidR="00000000" w:rsidRDefault="002F725F">
            <w:pPr>
              <w:rPr>
                <w:sz w:val="20"/>
                <w:szCs w:val="20"/>
              </w:rPr>
            </w:pPr>
          </w:p>
        </w:tc>
        <w:tc>
          <w:tcPr>
            <w:tcW w:w="720" w:type="dxa"/>
            <w:hideMark/>
          </w:tcPr>
          <w:p w14:paraId="66AF8547" w14:textId="77777777" w:rsidR="00000000" w:rsidRDefault="002F725F">
            <w:pPr>
              <w:rPr>
                <w:rFonts w:eastAsia="Times New Roman"/>
                <w:sz w:val="20"/>
                <w:szCs w:val="20"/>
              </w:rPr>
            </w:pPr>
            <w:r>
              <w:rPr>
                <w:rFonts w:eastAsia="Times New Roman"/>
                <w:sz w:val="20"/>
                <w:szCs w:val="20"/>
              </w:rPr>
              <w:t>(b)</w:t>
            </w:r>
          </w:p>
        </w:tc>
        <w:tc>
          <w:tcPr>
            <w:tcW w:w="0" w:type="auto"/>
            <w:hideMark/>
          </w:tcPr>
          <w:p w14:paraId="7698D78C" w14:textId="77777777" w:rsidR="00000000" w:rsidRDefault="002F725F">
            <w:pPr>
              <w:jc w:val="both"/>
              <w:rPr>
                <w:rFonts w:eastAsia="Times New Roman"/>
                <w:sz w:val="20"/>
                <w:szCs w:val="20"/>
              </w:rPr>
            </w:pPr>
            <w:r>
              <w:rPr>
                <w:rFonts w:eastAsia="Times New Roman"/>
                <w:sz w:val="20"/>
                <w:szCs w:val="20"/>
              </w:rPr>
              <w:t>The Merging Company has no secured creditors and has granted no fixed or floating security interests that are outstanding as at the date of this Plan of Merger, or which will be outstanding at the Effective Time.</w:t>
            </w:r>
          </w:p>
        </w:tc>
      </w:tr>
    </w:tbl>
    <w:p w14:paraId="5BF59D22" w14:textId="77777777" w:rsidR="00000000" w:rsidRDefault="002F725F">
      <w:pPr>
        <w:pStyle w:val="NormalWeb"/>
        <w:spacing w:before="0" w:beforeAutospacing="0" w:after="0" w:afterAutospacing="0"/>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1815DFB0" w14:textId="77777777">
        <w:trPr>
          <w:divId w:val="415980837"/>
          <w:tblCellSpacing w:w="0" w:type="dxa"/>
        </w:trPr>
        <w:tc>
          <w:tcPr>
            <w:tcW w:w="0" w:type="pct"/>
            <w:hideMark/>
          </w:tcPr>
          <w:p w14:paraId="7899FCC3" w14:textId="77777777" w:rsidR="00000000" w:rsidRDefault="002F725F">
            <w:pPr>
              <w:rPr>
                <w:sz w:val="20"/>
                <w:szCs w:val="20"/>
              </w:rPr>
            </w:pPr>
          </w:p>
        </w:tc>
        <w:tc>
          <w:tcPr>
            <w:tcW w:w="720" w:type="dxa"/>
            <w:hideMark/>
          </w:tcPr>
          <w:p w14:paraId="4682B5C2" w14:textId="77777777" w:rsidR="00000000" w:rsidRDefault="002F725F">
            <w:pPr>
              <w:rPr>
                <w:rFonts w:eastAsia="Times New Roman"/>
                <w:sz w:val="20"/>
                <w:szCs w:val="20"/>
              </w:rPr>
            </w:pPr>
            <w:r>
              <w:rPr>
                <w:rFonts w:eastAsia="Times New Roman"/>
                <w:b/>
                <w:bCs/>
                <w:sz w:val="20"/>
                <w:szCs w:val="20"/>
              </w:rPr>
              <w:t>2.6</w:t>
            </w:r>
          </w:p>
        </w:tc>
        <w:tc>
          <w:tcPr>
            <w:tcW w:w="0" w:type="auto"/>
            <w:hideMark/>
          </w:tcPr>
          <w:p w14:paraId="1F83A321" w14:textId="77777777" w:rsidR="00000000" w:rsidRDefault="002F725F">
            <w:pPr>
              <w:rPr>
                <w:rFonts w:eastAsia="Times New Roman"/>
                <w:sz w:val="20"/>
                <w:szCs w:val="20"/>
              </w:rPr>
            </w:pPr>
            <w:r>
              <w:rPr>
                <w:rFonts w:eastAsia="Times New Roman"/>
                <w:b/>
                <w:bCs/>
                <w:sz w:val="20"/>
                <w:szCs w:val="20"/>
              </w:rPr>
              <w:t>Property</w:t>
            </w:r>
          </w:p>
        </w:tc>
      </w:tr>
    </w:tbl>
    <w:p w14:paraId="1A332D58" w14:textId="77777777" w:rsidR="00000000" w:rsidRDefault="002F725F">
      <w:pPr>
        <w:pStyle w:val="NormalWeb"/>
        <w:spacing w:before="0" w:beforeAutospacing="0" w:after="0" w:afterAutospacing="0"/>
        <w:divId w:val="415980837"/>
        <w:rPr>
          <w:sz w:val="20"/>
          <w:szCs w:val="20"/>
        </w:rPr>
      </w:pPr>
      <w:r>
        <w:rPr>
          <w:sz w:val="20"/>
          <w:szCs w:val="20"/>
        </w:rPr>
        <w:t> </w:t>
      </w:r>
    </w:p>
    <w:p w14:paraId="385F4A9B" w14:textId="77777777" w:rsidR="00000000" w:rsidRDefault="002F725F">
      <w:pPr>
        <w:pStyle w:val="NormalWeb"/>
        <w:spacing w:before="0" w:beforeAutospacing="0" w:after="0" w:afterAutospacing="0"/>
        <w:ind w:left="720"/>
        <w:jc w:val="both"/>
        <w:divId w:val="415980837"/>
        <w:rPr>
          <w:sz w:val="20"/>
          <w:szCs w:val="20"/>
        </w:rPr>
      </w:pPr>
      <w:r>
        <w:rPr>
          <w:sz w:val="20"/>
          <w:szCs w:val="20"/>
        </w:rPr>
        <w:t xml:space="preserve">At the Effective Time, </w:t>
      </w:r>
      <w:r>
        <w:rPr>
          <w:sz w:val="20"/>
          <w:szCs w:val="20"/>
        </w:rPr>
        <w:t>the rights, property of every description including choses in action, and the business, undertaking, goodwill, benefits, immunities and privileges of each of the Company and the Merging Company shall immediately vest in the Surviving Company which shall be</w:t>
      </w:r>
      <w:r>
        <w:rPr>
          <w:sz w:val="20"/>
          <w:szCs w:val="20"/>
        </w:rPr>
        <w:t xml:space="preserve"> liable for and subject, in the same manner as each of the Company and the Merging Company, to all mortgages, charges, or security interests and all contracts, obligations, claims, debts and liabilities of each of the Company and the Merging Company.</w:t>
      </w:r>
    </w:p>
    <w:p w14:paraId="3ABDFAA5" w14:textId="77777777" w:rsidR="00000000" w:rsidRDefault="002F725F">
      <w:pPr>
        <w:pStyle w:val="NormalWeb"/>
        <w:spacing w:before="0" w:beforeAutospacing="0" w:after="0" w:afterAutospacing="0"/>
        <w:ind w:left="567"/>
        <w:divId w:val="415980837"/>
        <w:rPr>
          <w:sz w:val="20"/>
          <w:szCs w:val="20"/>
        </w:rPr>
      </w:pPr>
      <w:r>
        <w:rPr>
          <w:sz w:val="20"/>
          <w:szCs w:val="20"/>
        </w:rPr>
        <w:t> </w:t>
      </w:r>
    </w:p>
    <w:p w14:paraId="254559B8" w14:textId="77777777" w:rsidR="00000000" w:rsidRDefault="002F725F">
      <w:pPr>
        <w:pStyle w:val="NormalWeb"/>
        <w:spacing w:before="0" w:beforeAutospacing="0" w:after="0" w:afterAutospacing="0"/>
        <w:jc w:val="center"/>
        <w:divId w:val="1403261250"/>
        <w:rPr>
          <w:sz w:val="20"/>
          <w:szCs w:val="20"/>
        </w:rPr>
      </w:pPr>
      <w:r>
        <w:rPr>
          <w:sz w:val="20"/>
          <w:szCs w:val="20"/>
        </w:rPr>
        <w:t>A</w:t>
      </w:r>
      <w:r>
        <w:rPr>
          <w:sz w:val="20"/>
          <w:szCs w:val="20"/>
        </w:rPr>
        <w:t>-</w:t>
      </w:r>
      <w:r>
        <w:rPr>
          <w:sz w:val="20"/>
          <w:szCs w:val="20"/>
        </w:rPr>
        <w:t>6</w:t>
      </w:r>
      <w:r>
        <w:rPr>
          <w:sz w:val="20"/>
          <w:szCs w:val="20"/>
        </w:rPr>
        <w:t>0</w:t>
      </w:r>
    </w:p>
    <w:p w14:paraId="708FB026" w14:textId="77777777" w:rsidR="00000000" w:rsidRDefault="002F725F">
      <w:pPr>
        <w:pStyle w:val="NormalWeb"/>
        <w:spacing w:before="0" w:beforeAutospacing="0" w:after="0" w:afterAutospacing="0"/>
        <w:divId w:val="598560515"/>
        <w:rPr>
          <w:sz w:val="20"/>
          <w:szCs w:val="20"/>
        </w:rPr>
      </w:pPr>
      <w:r>
        <w:rPr>
          <w:sz w:val="20"/>
          <w:szCs w:val="20"/>
        </w:rPr>
        <w:t> </w:t>
      </w:r>
    </w:p>
    <w:p w14:paraId="53658682" w14:textId="77777777" w:rsidR="00000000" w:rsidRDefault="002F725F">
      <w:pPr>
        <w:pStyle w:val="NormalWeb"/>
        <w:spacing w:before="0" w:beforeAutospacing="0" w:after="0" w:afterAutospacing="0"/>
        <w:ind w:left="567"/>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0B2D5FA7" w14:textId="77777777">
        <w:trPr>
          <w:divId w:val="415980837"/>
          <w:tblCellSpacing w:w="0" w:type="dxa"/>
        </w:trPr>
        <w:tc>
          <w:tcPr>
            <w:tcW w:w="0" w:type="pct"/>
            <w:hideMark/>
          </w:tcPr>
          <w:p w14:paraId="78E607DC" w14:textId="77777777" w:rsidR="00000000" w:rsidRDefault="002F725F">
            <w:pPr>
              <w:rPr>
                <w:sz w:val="20"/>
                <w:szCs w:val="20"/>
              </w:rPr>
            </w:pPr>
          </w:p>
        </w:tc>
        <w:tc>
          <w:tcPr>
            <w:tcW w:w="720" w:type="dxa"/>
            <w:hideMark/>
          </w:tcPr>
          <w:p w14:paraId="2BC86C93" w14:textId="77777777" w:rsidR="00000000" w:rsidRDefault="002F725F">
            <w:pPr>
              <w:rPr>
                <w:rFonts w:eastAsia="Times New Roman"/>
                <w:sz w:val="20"/>
                <w:szCs w:val="20"/>
              </w:rPr>
            </w:pPr>
            <w:r>
              <w:rPr>
                <w:rFonts w:eastAsia="Times New Roman"/>
                <w:b/>
                <w:bCs/>
                <w:caps/>
                <w:sz w:val="20"/>
                <w:szCs w:val="20"/>
              </w:rPr>
              <w:t>3</w:t>
            </w:r>
          </w:p>
        </w:tc>
        <w:tc>
          <w:tcPr>
            <w:tcW w:w="0" w:type="auto"/>
            <w:hideMark/>
          </w:tcPr>
          <w:p w14:paraId="42F9FB60" w14:textId="77777777" w:rsidR="00000000" w:rsidRDefault="002F725F">
            <w:pPr>
              <w:rPr>
                <w:rFonts w:eastAsia="Times New Roman"/>
                <w:sz w:val="20"/>
                <w:szCs w:val="20"/>
              </w:rPr>
            </w:pPr>
            <w:r>
              <w:rPr>
                <w:rFonts w:eastAsia="Times New Roman"/>
                <w:b/>
                <w:bCs/>
                <w:caps/>
                <w:sz w:val="20"/>
                <w:szCs w:val="20"/>
              </w:rPr>
              <w:t>Variation</w:t>
            </w:r>
          </w:p>
        </w:tc>
      </w:tr>
    </w:tbl>
    <w:p w14:paraId="66BB51F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3694FD7D" w14:textId="77777777">
        <w:trPr>
          <w:divId w:val="415980837"/>
          <w:tblCellSpacing w:w="0" w:type="dxa"/>
        </w:trPr>
        <w:tc>
          <w:tcPr>
            <w:tcW w:w="0" w:type="pct"/>
            <w:hideMark/>
          </w:tcPr>
          <w:p w14:paraId="3B44A229" w14:textId="77777777" w:rsidR="00000000" w:rsidRDefault="002F725F">
            <w:pPr>
              <w:rPr>
                <w:sz w:val="20"/>
                <w:szCs w:val="20"/>
              </w:rPr>
            </w:pPr>
          </w:p>
        </w:tc>
        <w:tc>
          <w:tcPr>
            <w:tcW w:w="720" w:type="dxa"/>
            <w:hideMark/>
          </w:tcPr>
          <w:p w14:paraId="530DDD87" w14:textId="77777777" w:rsidR="00000000" w:rsidRDefault="002F725F">
            <w:pPr>
              <w:rPr>
                <w:rFonts w:eastAsia="Times New Roman"/>
                <w:sz w:val="20"/>
                <w:szCs w:val="20"/>
              </w:rPr>
            </w:pPr>
            <w:r>
              <w:rPr>
                <w:rFonts w:eastAsia="Times New Roman"/>
                <w:b/>
                <w:bCs/>
                <w:sz w:val="20"/>
                <w:szCs w:val="20"/>
              </w:rPr>
              <w:t>3.1</w:t>
            </w:r>
          </w:p>
        </w:tc>
        <w:tc>
          <w:tcPr>
            <w:tcW w:w="0" w:type="auto"/>
            <w:hideMark/>
          </w:tcPr>
          <w:p w14:paraId="55F86DB1" w14:textId="77777777" w:rsidR="00000000" w:rsidRDefault="002F725F">
            <w:pPr>
              <w:jc w:val="both"/>
              <w:rPr>
                <w:rFonts w:eastAsia="Times New Roman"/>
                <w:sz w:val="20"/>
                <w:szCs w:val="20"/>
              </w:rPr>
            </w:pPr>
            <w:r>
              <w:rPr>
                <w:rFonts w:eastAsia="Times New Roman"/>
                <w:sz w:val="20"/>
                <w:szCs w:val="20"/>
              </w:rPr>
              <w:t>At any time prior to the Effective Time, this Plan of Merger may be amended by the boards of directors of both the Company and the Merging Company in accordance with Section 235(1) of the Companies Act to:</w:t>
            </w:r>
          </w:p>
        </w:tc>
      </w:tr>
    </w:tbl>
    <w:p w14:paraId="0CCD6441"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2DE033E8" w14:textId="77777777">
        <w:trPr>
          <w:divId w:val="415980837"/>
          <w:tblCellSpacing w:w="0" w:type="dxa"/>
        </w:trPr>
        <w:tc>
          <w:tcPr>
            <w:tcW w:w="720" w:type="dxa"/>
            <w:hideMark/>
          </w:tcPr>
          <w:p w14:paraId="3E8BBBCC" w14:textId="77777777" w:rsidR="00000000" w:rsidRDefault="002F725F">
            <w:pPr>
              <w:rPr>
                <w:sz w:val="20"/>
                <w:szCs w:val="20"/>
              </w:rPr>
            </w:pPr>
          </w:p>
        </w:tc>
        <w:tc>
          <w:tcPr>
            <w:tcW w:w="720" w:type="dxa"/>
            <w:hideMark/>
          </w:tcPr>
          <w:p w14:paraId="11B06511" w14:textId="77777777" w:rsidR="00000000" w:rsidRDefault="002F725F">
            <w:pPr>
              <w:rPr>
                <w:rFonts w:eastAsia="Times New Roman"/>
                <w:sz w:val="20"/>
                <w:szCs w:val="20"/>
              </w:rPr>
            </w:pPr>
            <w:r>
              <w:rPr>
                <w:rFonts w:eastAsia="Times New Roman"/>
                <w:sz w:val="20"/>
                <w:szCs w:val="20"/>
              </w:rPr>
              <w:t>(a)</w:t>
            </w:r>
          </w:p>
        </w:tc>
        <w:tc>
          <w:tcPr>
            <w:tcW w:w="0" w:type="auto"/>
            <w:hideMark/>
          </w:tcPr>
          <w:p w14:paraId="3721FC7E" w14:textId="77777777" w:rsidR="00000000" w:rsidRDefault="002F725F">
            <w:pPr>
              <w:jc w:val="both"/>
              <w:rPr>
                <w:rFonts w:eastAsia="Times New Roman"/>
                <w:sz w:val="20"/>
                <w:szCs w:val="20"/>
              </w:rPr>
            </w:pPr>
            <w:r>
              <w:rPr>
                <w:rFonts w:eastAsia="Times New Roman"/>
                <w:sz w:val="20"/>
                <w:szCs w:val="20"/>
              </w:rPr>
              <w:t>change the Effective Time provided that su</w:t>
            </w:r>
            <w:r>
              <w:rPr>
                <w:rFonts w:eastAsia="Times New Roman"/>
                <w:sz w:val="20"/>
                <w:szCs w:val="20"/>
              </w:rPr>
              <w:t>ch changed date shall not be a date earlier than the date of registration of this Plan of Merger with the Registrar of Companies of the Cayman Islands or (save as otherwise provided in the Merger Agreement) later than the ninetieth (90</w:t>
            </w:r>
            <w:r>
              <w:rPr>
                <w:rFonts w:eastAsia="Times New Roman"/>
                <w:sz w:val="20"/>
                <w:szCs w:val="20"/>
                <w:vertAlign w:val="superscript"/>
              </w:rPr>
              <w:t>th</w:t>
            </w:r>
            <w:r>
              <w:rPr>
                <w:rFonts w:eastAsia="Times New Roman"/>
                <w:sz w:val="20"/>
                <w:szCs w:val="20"/>
              </w:rPr>
              <w:t>) day after the dat</w:t>
            </w:r>
            <w:r>
              <w:rPr>
                <w:rFonts w:eastAsia="Times New Roman"/>
                <w:sz w:val="20"/>
                <w:szCs w:val="20"/>
              </w:rPr>
              <w:t>e of registration of this Plan of Merger with the Registrar of Companies of the Cayman Islands; and</w:t>
            </w:r>
          </w:p>
        </w:tc>
      </w:tr>
    </w:tbl>
    <w:p w14:paraId="0D3425B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720"/>
        <w:gridCol w:w="7920"/>
      </w:tblGrid>
      <w:tr w:rsidR="00000000" w14:paraId="333CD0F6" w14:textId="77777777">
        <w:trPr>
          <w:divId w:val="415980837"/>
          <w:tblCellSpacing w:w="0" w:type="dxa"/>
        </w:trPr>
        <w:tc>
          <w:tcPr>
            <w:tcW w:w="720" w:type="dxa"/>
            <w:hideMark/>
          </w:tcPr>
          <w:p w14:paraId="2497E6E7" w14:textId="77777777" w:rsidR="00000000" w:rsidRDefault="002F725F">
            <w:pPr>
              <w:rPr>
                <w:sz w:val="20"/>
                <w:szCs w:val="20"/>
              </w:rPr>
            </w:pPr>
          </w:p>
        </w:tc>
        <w:tc>
          <w:tcPr>
            <w:tcW w:w="720" w:type="dxa"/>
            <w:hideMark/>
          </w:tcPr>
          <w:p w14:paraId="7281E456" w14:textId="77777777" w:rsidR="00000000" w:rsidRDefault="002F725F">
            <w:pPr>
              <w:rPr>
                <w:rFonts w:eastAsia="Times New Roman"/>
                <w:sz w:val="20"/>
                <w:szCs w:val="20"/>
              </w:rPr>
            </w:pPr>
            <w:r>
              <w:rPr>
                <w:rFonts w:eastAsia="Times New Roman"/>
                <w:sz w:val="20"/>
                <w:szCs w:val="20"/>
              </w:rPr>
              <w:t>(b)</w:t>
            </w:r>
          </w:p>
        </w:tc>
        <w:tc>
          <w:tcPr>
            <w:tcW w:w="0" w:type="auto"/>
            <w:hideMark/>
          </w:tcPr>
          <w:p w14:paraId="7C21AED3" w14:textId="77777777" w:rsidR="00000000" w:rsidRDefault="002F725F">
            <w:pPr>
              <w:jc w:val="both"/>
              <w:rPr>
                <w:rFonts w:eastAsia="Times New Roman"/>
                <w:sz w:val="20"/>
                <w:szCs w:val="20"/>
              </w:rPr>
            </w:pPr>
            <w:r>
              <w:rPr>
                <w:rFonts w:eastAsia="Times New Roman"/>
                <w:sz w:val="20"/>
                <w:szCs w:val="20"/>
              </w:rPr>
              <w:t>effect any other changes to this Plan of Merger as the Merger Agreement or this Plan of Merger may expressly authorise the boards of directors of bo</w:t>
            </w:r>
            <w:r>
              <w:rPr>
                <w:rFonts w:eastAsia="Times New Roman"/>
                <w:sz w:val="20"/>
                <w:szCs w:val="20"/>
              </w:rPr>
              <w:t>th the Company and the Merging Company to effect in their discretion.</w:t>
            </w:r>
          </w:p>
        </w:tc>
      </w:tr>
    </w:tbl>
    <w:p w14:paraId="3F292E08"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12B317FD" w14:textId="77777777">
        <w:trPr>
          <w:divId w:val="415980837"/>
          <w:tblCellSpacing w:w="0" w:type="dxa"/>
        </w:trPr>
        <w:tc>
          <w:tcPr>
            <w:tcW w:w="0" w:type="pct"/>
            <w:hideMark/>
          </w:tcPr>
          <w:p w14:paraId="29D7B962" w14:textId="77777777" w:rsidR="00000000" w:rsidRDefault="002F725F">
            <w:pPr>
              <w:rPr>
                <w:sz w:val="20"/>
                <w:szCs w:val="20"/>
              </w:rPr>
            </w:pPr>
          </w:p>
        </w:tc>
        <w:tc>
          <w:tcPr>
            <w:tcW w:w="720" w:type="dxa"/>
            <w:hideMark/>
          </w:tcPr>
          <w:p w14:paraId="53EF9B39" w14:textId="77777777" w:rsidR="00000000" w:rsidRDefault="002F725F">
            <w:pPr>
              <w:rPr>
                <w:rFonts w:eastAsia="Times New Roman"/>
                <w:sz w:val="20"/>
                <w:szCs w:val="20"/>
              </w:rPr>
            </w:pPr>
            <w:r>
              <w:rPr>
                <w:rFonts w:eastAsia="Times New Roman"/>
                <w:b/>
                <w:bCs/>
                <w:caps/>
                <w:sz w:val="20"/>
                <w:szCs w:val="20"/>
              </w:rPr>
              <w:t>4</w:t>
            </w:r>
          </w:p>
        </w:tc>
        <w:tc>
          <w:tcPr>
            <w:tcW w:w="0" w:type="auto"/>
            <w:hideMark/>
          </w:tcPr>
          <w:p w14:paraId="2A22C382" w14:textId="77777777" w:rsidR="00000000" w:rsidRDefault="002F725F">
            <w:pPr>
              <w:rPr>
                <w:rFonts w:eastAsia="Times New Roman"/>
                <w:sz w:val="20"/>
                <w:szCs w:val="20"/>
              </w:rPr>
            </w:pPr>
            <w:r>
              <w:rPr>
                <w:rFonts w:eastAsia="Times New Roman"/>
                <w:b/>
                <w:bCs/>
                <w:caps/>
                <w:sz w:val="20"/>
                <w:szCs w:val="20"/>
              </w:rPr>
              <w:t>Termination</w:t>
            </w:r>
          </w:p>
        </w:tc>
      </w:tr>
    </w:tbl>
    <w:p w14:paraId="7BABFC81"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295E9BB6" w14:textId="77777777">
        <w:trPr>
          <w:divId w:val="415980837"/>
          <w:tblCellSpacing w:w="0" w:type="dxa"/>
        </w:trPr>
        <w:tc>
          <w:tcPr>
            <w:tcW w:w="0" w:type="pct"/>
            <w:hideMark/>
          </w:tcPr>
          <w:p w14:paraId="1002D887" w14:textId="77777777" w:rsidR="00000000" w:rsidRDefault="002F725F">
            <w:pPr>
              <w:rPr>
                <w:sz w:val="20"/>
                <w:szCs w:val="20"/>
              </w:rPr>
            </w:pPr>
          </w:p>
        </w:tc>
        <w:tc>
          <w:tcPr>
            <w:tcW w:w="720" w:type="dxa"/>
            <w:hideMark/>
          </w:tcPr>
          <w:p w14:paraId="583969AA" w14:textId="77777777" w:rsidR="00000000" w:rsidRDefault="002F725F">
            <w:pPr>
              <w:rPr>
                <w:rFonts w:eastAsia="Times New Roman"/>
                <w:sz w:val="20"/>
                <w:szCs w:val="20"/>
              </w:rPr>
            </w:pPr>
            <w:r>
              <w:rPr>
                <w:rFonts w:eastAsia="Times New Roman"/>
                <w:b/>
                <w:bCs/>
                <w:sz w:val="20"/>
                <w:szCs w:val="20"/>
              </w:rPr>
              <w:t>4.1</w:t>
            </w:r>
          </w:p>
        </w:tc>
        <w:tc>
          <w:tcPr>
            <w:tcW w:w="0" w:type="auto"/>
            <w:hideMark/>
          </w:tcPr>
          <w:p w14:paraId="2D97888F" w14:textId="77777777" w:rsidR="00000000" w:rsidRDefault="002F725F">
            <w:pPr>
              <w:jc w:val="both"/>
              <w:rPr>
                <w:rFonts w:eastAsia="Times New Roman"/>
                <w:sz w:val="20"/>
                <w:szCs w:val="20"/>
              </w:rPr>
            </w:pPr>
            <w:r>
              <w:rPr>
                <w:rFonts w:eastAsia="Times New Roman"/>
                <w:sz w:val="20"/>
                <w:szCs w:val="20"/>
              </w:rPr>
              <w:t>At any time prior to the Effective Time, this Plan of Merger may be terminated by the boards of directors of both the Company and the Merging Company in accordance with the terms of the Merger Agreement.</w:t>
            </w:r>
          </w:p>
        </w:tc>
      </w:tr>
    </w:tbl>
    <w:p w14:paraId="2D884CB7"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2D5B0016" w14:textId="77777777">
        <w:trPr>
          <w:divId w:val="415980837"/>
          <w:tblCellSpacing w:w="0" w:type="dxa"/>
        </w:trPr>
        <w:tc>
          <w:tcPr>
            <w:tcW w:w="0" w:type="pct"/>
            <w:hideMark/>
          </w:tcPr>
          <w:p w14:paraId="60F3D9C7" w14:textId="77777777" w:rsidR="00000000" w:rsidRDefault="002F725F">
            <w:pPr>
              <w:rPr>
                <w:sz w:val="20"/>
                <w:szCs w:val="20"/>
              </w:rPr>
            </w:pPr>
          </w:p>
        </w:tc>
        <w:tc>
          <w:tcPr>
            <w:tcW w:w="720" w:type="dxa"/>
            <w:hideMark/>
          </w:tcPr>
          <w:p w14:paraId="05F68435" w14:textId="77777777" w:rsidR="00000000" w:rsidRDefault="002F725F">
            <w:pPr>
              <w:rPr>
                <w:rFonts w:eastAsia="Times New Roman"/>
                <w:sz w:val="20"/>
                <w:szCs w:val="20"/>
              </w:rPr>
            </w:pPr>
            <w:r>
              <w:rPr>
                <w:rFonts w:eastAsia="Times New Roman"/>
                <w:b/>
                <w:bCs/>
                <w:caps/>
                <w:sz w:val="20"/>
                <w:szCs w:val="20"/>
              </w:rPr>
              <w:t>5</w:t>
            </w:r>
          </w:p>
        </w:tc>
        <w:tc>
          <w:tcPr>
            <w:tcW w:w="0" w:type="auto"/>
            <w:hideMark/>
          </w:tcPr>
          <w:p w14:paraId="5D3AA1B8" w14:textId="77777777" w:rsidR="00000000" w:rsidRDefault="002F725F">
            <w:pPr>
              <w:rPr>
                <w:rFonts w:eastAsia="Times New Roman"/>
                <w:sz w:val="20"/>
                <w:szCs w:val="20"/>
              </w:rPr>
            </w:pPr>
            <w:r>
              <w:rPr>
                <w:rFonts w:eastAsia="Times New Roman"/>
                <w:b/>
                <w:bCs/>
                <w:caps/>
                <w:sz w:val="20"/>
                <w:szCs w:val="20"/>
              </w:rPr>
              <w:t>approvals</w:t>
            </w:r>
          </w:p>
        </w:tc>
      </w:tr>
    </w:tbl>
    <w:p w14:paraId="171F2995"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7184F50A" w14:textId="77777777">
        <w:trPr>
          <w:divId w:val="415980837"/>
          <w:tblCellSpacing w:w="0" w:type="dxa"/>
        </w:trPr>
        <w:tc>
          <w:tcPr>
            <w:tcW w:w="0" w:type="pct"/>
            <w:hideMark/>
          </w:tcPr>
          <w:p w14:paraId="218AE796" w14:textId="77777777" w:rsidR="00000000" w:rsidRDefault="002F725F">
            <w:pPr>
              <w:rPr>
                <w:sz w:val="20"/>
                <w:szCs w:val="20"/>
              </w:rPr>
            </w:pPr>
          </w:p>
        </w:tc>
        <w:tc>
          <w:tcPr>
            <w:tcW w:w="720" w:type="dxa"/>
            <w:hideMark/>
          </w:tcPr>
          <w:p w14:paraId="68E330A5" w14:textId="77777777" w:rsidR="00000000" w:rsidRDefault="002F725F">
            <w:pPr>
              <w:rPr>
                <w:rFonts w:eastAsia="Times New Roman"/>
                <w:sz w:val="20"/>
                <w:szCs w:val="20"/>
              </w:rPr>
            </w:pPr>
            <w:r>
              <w:rPr>
                <w:rFonts w:eastAsia="Times New Roman"/>
                <w:b/>
                <w:bCs/>
                <w:sz w:val="20"/>
                <w:szCs w:val="20"/>
              </w:rPr>
              <w:t>5.1</w:t>
            </w:r>
          </w:p>
        </w:tc>
        <w:tc>
          <w:tcPr>
            <w:tcW w:w="0" w:type="auto"/>
            <w:hideMark/>
          </w:tcPr>
          <w:p w14:paraId="6ECE0AE5" w14:textId="77777777" w:rsidR="00000000" w:rsidRDefault="002F725F">
            <w:pPr>
              <w:jc w:val="both"/>
              <w:rPr>
                <w:rFonts w:eastAsia="Times New Roman"/>
                <w:sz w:val="20"/>
                <w:szCs w:val="20"/>
              </w:rPr>
            </w:pPr>
            <w:r>
              <w:rPr>
                <w:rFonts w:eastAsia="Times New Roman"/>
                <w:sz w:val="20"/>
                <w:szCs w:val="20"/>
              </w:rPr>
              <w:t>This Plan of Merger has been</w:t>
            </w:r>
            <w:r>
              <w:rPr>
                <w:rFonts w:eastAsia="Times New Roman"/>
                <w:sz w:val="20"/>
                <w:szCs w:val="20"/>
              </w:rPr>
              <w:t xml:space="preserve"> approved by the board of directors of both of the Constituent Companies pursuant to section 233(3) of the Companies Act.</w:t>
            </w:r>
          </w:p>
        </w:tc>
      </w:tr>
    </w:tbl>
    <w:p w14:paraId="14B9789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50"/>
        <w:gridCol w:w="720"/>
        <w:gridCol w:w="8590"/>
      </w:tblGrid>
      <w:tr w:rsidR="00000000" w14:paraId="6E8C5D18" w14:textId="77777777">
        <w:trPr>
          <w:divId w:val="415980837"/>
          <w:tblCellSpacing w:w="0" w:type="dxa"/>
        </w:trPr>
        <w:tc>
          <w:tcPr>
            <w:tcW w:w="6" w:type="dxa"/>
            <w:hideMark/>
          </w:tcPr>
          <w:p w14:paraId="2A5431B7" w14:textId="77777777" w:rsidR="00000000" w:rsidRDefault="002F725F">
            <w:pPr>
              <w:jc w:val="both"/>
              <w:rPr>
                <w:rFonts w:eastAsia="Times New Roman"/>
                <w:sz w:val="20"/>
                <w:szCs w:val="20"/>
              </w:rPr>
            </w:pPr>
            <w:r>
              <w:rPr>
                <w:rFonts w:eastAsia="Times New Roman"/>
                <w:sz w:val="20"/>
                <w:szCs w:val="20"/>
              </w:rPr>
              <w:t> </w:t>
            </w:r>
          </w:p>
        </w:tc>
        <w:tc>
          <w:tcPr>
            <w:tcW w:w="720" w:type="dxa"/>
            <w:hideMark/>
          </w:tcPr>
          <w:p w14:paraId="7B0412CB" w14:textId="77777777" w:rsidR="00000000" w:rsidRDefault="002F725F">
            <w:pPr>
              <w:rPr>
                <w:rFonts w:eastAsia="Times New Roman"/>
                <w:sz w:val="20"/>
                <w:szCs w:val="20"/>
              </w:rPr>
            </w:pPr>
            <w:r>
              <w:rPr>
                <w:rFonts w:eastAsia="Times New Roman"/>
                <w:b/>
                <w:bCs/>
                <w:sz w:val="20"/>
                <w:szCs w:val="20"/>
              </w:rPr>
              <w:t>5.2</w:t>
            </w:r>
          </w:p>
        </w:tc>
        <w:tc>
          <w:tcPr>
            <w:tcW w:w="0" w:type="auto"/>
            <w:hideMark/>
          </w:tcPr>
          <w:p w14:paraId="6651E35D" w14:textId="77777777" w:rsidR="00000000" w:rsidRDefault="002F725F">
            <w:pPr>
              <w:jc w:val="both"/>
              <w:rPr>
                <w:rFonts w:eastAsia="Times New Roman"/>
                <w:sz w:val="20"/>
                <w:szCs w:val="20"/>
              </w:rPr>
            </w:pPr>
            <w:r>
              <w:rPr>
                <w:rFonts w:eastAsia="Times New Roman"/>
                <w:sz w:val="20"/>
                <w:szCs w:val="20"/>
              </w:rPr>
              <w:t>This Plan of Merger has been authorised by the shareholders of both of the Constituent Companies pursuant to section 233(6) o</w:t>
            </w:r>
            <w:r>
              <w:rPr>
                <w:rFonts w:eastAsia="Times New Roman"/>
                <w:sz w:val="20"/>
                <w:szCs w:val="20"/>
              </w:rPr>
              <w:t>f the Companies Act.</w:t>
            </w:r>
          </w:p>
        </w:tc>
      </w:tr>
    </w:tbl>
    <w:p w14:paraId="19DC5AA8"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3FCD39FC" w14:textId="77777777">
        <w:trPr>
          <w:divId w:val="415980837"/>
          <w:tblCellSpacing w:w="0" w:type="dxa"/>
        </w:trPr>
        <w:tc>
          <w:tcPr>
            <w:tcW w:w="0" w:type="pct"/>
            <w:hideMark/>
          </w:tcPr>
          <w:p w14:paraId="358E991A" w14:textId="77777777" w:rsidR="00000000" w:rsidRDefault="002F725F">
            <w:pPr>
              <w:rPr>
                <w:sz w:val="20"/>
                <w:szCs w:val="20"/>
              </w:rPr>
            </w:pPr>
          </w:p>
        </w:tc>
        <w:tc>
          <w:tcPr>
            <w:tcW w:w="720" w:type="dxa"/>
            <w:hideMark/>
          </w:tcPr>
          <w:p w14:paraId="3A944B85" w14:textId="77777777" w:rsidR="00000000" w:rsidRDefault="002F725F">
            <w:pPr>
              <w:rPr>
                <w:rFonts w:eastAsia="Times New Roman"/>
                <w:sz w:val="20"/>
                <w:szCs w:val="20"/>
              </w:rPr>
            </w:pPr>
            <w:r>
              <w:rPr>
                <w:rFonts w:eastAsia="Times New Roman"/>
                <w:b/>
                <w:bCs/>
                <w:caps/>
                <w:sz w:val="20"/>
                <w:szCs w:val="20"/>
              </w:rPr>
              <w:t>6</w:t>
            </w:r>
          </w:p>
        </w:tc>
        <w:tc>
          <w:tcPr>
            <w:tcW w:w="0" w:type="auto"/>
            <w:hideMark/>
          </w:tcPr>
          <w:p w14:paraId="6621F552" w14:textId="77777777" w:rsidR="00000000" w:rsidRDefault="002F725F">
            <w:pPr>
              <w:rPr>
                <w:rFonts w:eastAsia="Times New Roman"/>
                <w:sz w:val="20"/>
                <w:szCs w:val="20"/>
              </w:rPr>
            </w:pPr>
            <w:r>
              <w:rPr>
                <w:rFonts w:eastAsia="Times New Roman"/>
                <w:b/>
                <w:bCs/>
                <w:caps/>
                <w:sz w:val="20"/>
                <w:szCs w:val="20"/>
              </w:rPr>
              <w:t>Counterparts</w:t>
            </w:r>
          </w:p>
        </w:tc>
      </w:tr>
    </w:tbl>
    <w:p w14:paraId="3F36414D"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75739663" w14:textId="77777777">
        <w:trPr>
          <w:divId w:val="415980837"/>
          <w:tblCellSpacing w:w="0" w:type="dxa"/>
        </w:trPr>
        <w:tc>
          <w:tcPr>
            <w:tcW w:w="0" w:type="pct"/>
            <w:hideMark/>
          </w:tcPr>
          <w:p w14:paraId="1F740F20" w14:textId="77777777" w:rsidR="00000000" w:rsidRDefault="002F725F">
            <w:pPr>
              <w:rPr>
                <w:sz w:val="20"/>
                <w:szCs w:val="20"/>
              </w:rPr>
            </w:pPr>
          </w:p>
        </w:tc>
        <w:tc>
          <w:tcPr>
            <w:tcW w:w="720" w:type="dxa"/>
            <w:hideMark/>
          </w:tcPr>
          <w:p w14:paraId="42750489" w14:textId="77777777" w:rsidR="00000000" w:rsidRDefault="002F725F">
            <w:pPr>
              <w:rPr>
                <w:rFonts w:eastAsia="Times New Roman"/>
                <w:sz w:val="20"/>
                <w:szCs w:val="20"/>
              </w:rPr>
            </w:pPr>
            <w:r>
              <w:rPr>
                <w:rFonts w:eastAsia="Times New Roman"/>
                <w:b/>
                <w:bCs/>
                <w:sz w:val="20"/>
                <w:szCs w:val="20"/>
              </w:rPr>
              <w:t>6.1</w:t>
            </w:r>
          </w:p>
        </w:tc>
        <w:tc>
          <w:tcPr>
            <w:tcW w:w="0" w:type="auto"/>
            <w:hideMark/>
          </w:tcPr>
          <w:p w14:paraId="1E3BC14E" w14:textId="77777777" w:rsidR="00000000" w:rsidRDefault="002F725F">
            <w:pPr>
              <w:jc w:val="both"/>
              <w:rPr>
                <w:rFonts w:eastAsia="Times New Roman"/>
                <w:sz w:val="20"/>
                <w:szCs w:val="20"/>
              </w:rPr>
            </w:pPr>
            <w:r>
              <w:rPr>
                <w:rFonts w:eastAsia="Times New Roman"/>
                <w:sz w:val="20"/>
                <w:szCs w:val="20"/>
              </w:rPr>
              <w:t>This Plan of Merger may be executed in any number of counterparts, all of which taken together shall constitute one and the same instrument. Any party may enter into this Plan of Merger by executing any such counterpart.</w:t>
            </w:r>
          </w:p>
        </w:tc>
      </w:tr>
    </w:tbl>
    <w:p w14:paraId="6E5D57FC"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312D4512" w14:textId="77777777">
        <w:trPr>
          <w:divId w:val="415980837"/>
          <w:tblCellSpacing w:w="0" w:type="dxa"/>
        </w:trPr>
        <w:tc>
          <w:tcPr>
            <w:tcW w:w="0" w:type="pct"/>
            <w:hideMark/>
          </w:tcPr>
          <w:p w14:paraId="0E0560DA" w14:textId="77777777" w:rsidR="00000000" w:rsidRDefault="002F725F">
            <w:pPr>
              <w:rPr>
                <w:sz w:val="20"/>
                <w:szCs w:val="20"/>
              </w:rPr>
            </w:pPr>
          </w:p>
        </w:tc>
        <w:tc>
          <w:tcPr>
            <w:tcW w:w="720" w:type="dxa"/>
            <w:hideMark/>
          </w:tcPr>
          <w:p w14:paraId="7F6139DF" w14:textId="77777777" w:rsidR="00000000" w:rsidRDefault="002F725F">
            <w:pPr>
              <w:rPr>
                <w:rFonts w:eastAsia="Times New Roman"/>
                <w:sz w:val="20"/>
                <w:szCs w:val="20"/>
              </w:rPr>
            </w:pPr>
            <w:r>
              <w:rPr>
                <w:rFonts w:eastAsia="Times New Roman"/>
                <w:b/>
                <w:bCs/>
                <w:caps/>
                <w:sz w:val="20"/>
                <w:szCs w:val="20"/>
              </w:rPr>
              <w:t>7</w:t>
            </w:r>
          </w:p>
        </w:tc>
        <w:tc>
          <w:tcPr>
            <w:tcW w:w="0" w:type="auto"/>
            <w:hideMark/>
          </w:tcPr>
          <w:p w14:paraId="4FF6266F" w14:textId="77777777" w:rsidR="00000000" w:rsidRDefault="002F725F">
            <w:pPr>
              <w:rPr>
                <w:rFonts w:eastAsia="Times New Roman"/>
                <w:sz w:val="20"/>
                <w:szCs w:val="20"/>
              </w:rPr>
            </w:pPr>
            <w:r>
              <w:rPr>
                <w:rFonts w:eastAsia="Times New Roman"/>
                <w:b/>
                <w:bCs/>
                <w:caps/>
                <w:sz w:val="20"/>
                <w:szCs w:val="20"/>
              </w:rPr>
              <w:t>Governing Law</w:t>
            </w:r>
          </w:p>
        </w:tc>
      </w:tr>
    </w:tbl>
    <w:p w14:paraId="30BF87BA"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7E22B03F" w14:textId="77777777">
        <w:trPr>
          <w:divId w:val="415980837"/>
          <w:tblCellSpacing w:w="0" w:type="dxa"/>
        </w:trPr>
        <w:tc>
          <w:tcPr>
            <w:tcW w:w="0" w:type="pct"/>
            <w:hideMark/>
          </w:tcPr>
          <w:p w14:paraId="3EC6A949" w14:textId="77777777" w:rsidR="00000000" w:rsidRDefault="002F725F">
            <w:pPr>
              <w:rPr>
                <w:sz w:val="20"/>
                <w:szCs w:val="20"/>
              </w:rPr>
            </w:pPr>
          </w:p>
        </w:tc>
        <w:tc>
          <w:tcPr>
            <w:tcW w:w="720" w:type="dxa"/>
            <w:hideMark/>
          </w:tcPr>
          <w:p w14:paraId="665930A1" w14:textId="77777777" w:rsidR="00000000" w:rsidRDefault="002F725F">
            <w:pPr>
              <w:rPr>
                <w:rFonts w:eastAsia="Times New Roman"/>
                <w:sz w:val="20"/>
                <w:szCs w:val="20"/>
              </w:rPr>
            </w:pPr>
            <w:r>
              <w:rPr>
                <w:rFonts w:eastAsia="Times New Roman"/>
                <w:b/>
                <w:bCs/>
                <w:sz w:val="20"/>
                <w:szCs w:val="20"/>
              </w:rPr>
              <w:t>7.1</w:t>
            </w:r>
          </w:p>
        </w:tc>
        <w:tc>
          <w:tcPr>
            <w:tcW w:w="0" w:type="auto"/>
            <w:hideMark/>
          </w:tcPr>
          <w:p w14:paraId="06AB8BE6" w14:textId="77777777" w:rsidR="00000000" w:rsidRDefault="002F725F">
            <w:pPr>
              <w:jc w:val="both"/>
              <w:rPr>
                <w:rFonts w:eastAsia="Times New Roman"/>
                <w:sz w:val="20"/>
                <w:szCs w:val="20"/>
              </w:rPr>
            </w:pPr>
            <w:r>
              <w:rPr>
                <w:rFonts w:eastAsia="Times New Roman"/>
                <w:sz w:val="20"/>
                <w:szCs w:val="20"/>
              </w:rPr>
              <w:t>This Pl</w:t>
            </w:r>
            <w:r>
              <w:rPr>
                <w:rFonts w:eastAsia="Times New Roman"/>
                <w:sz w:val="20"/>
                <w:szCs w:val="20"/>
              </w:rPr>
              <w:t>an of Merger and the rights and obligations of the parties shall be governed by and construed in accordance with the Laws of the Cayman Islands.</w:t>
            </w:r>
          </w:p>
        </w:tc>
      </w:tr>
    </w:tbl>
    <w:p w14:paraId="13D05BD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2E353FED" w14:textId="77777777">
        <w:trPr>
          <w:divId w:val="415980837"/>
          <w:tblCellSpacing w:w="0" w:type="dxa"/>
        </w:trPr>
        <w:tc>
          <w:tcPr>
            <w:tcW w:w="0" w:type="pct"/>
            <w:hideMark/>
          </w:tcPr>
          <w:p w14:paraId="3B604A28" w14:textId="77777777" w:rsidR="00000000" w:rsidRDefault="002F725F">
            <w:pPr>
              <w:rPr>
                <w:sz w:val="20"/>
                <w:szCs w:val="20"/>
              </w:rPr>
            </w:pPr>
          </w:p>
        </w:tc>
        <w:tc>
          <w:tcPr>
            <w:tcW w:w="720" w:type="dxa"/>
            <w:hideMark/>
          </w:tcPr>
          <w:p w14:paraId="7809AE74" w14:textId="77777777" w:rsidR="00000000" w:rsidRDefault="002F725F">
            <w:pPr>
              <w:rPr>
                <w:rFonts w:eastAsia="Times New Roman"/>
                <w:sz w:val="20"/>
                <w:szCs w:val="20"/>
              </w:rPr>
            </w:pPr>
            <w:r>
              <w:rPr>
                <w:rFonts w:eastAsia="Times New Roman"/>
                <w:b/>
                <w:bCs/>
                <w:sz w:val="20"/>
                <w:szCs w:val="20"/>
              </w:rPr>
              <w:t>7.2</w:t>
            </w:r>
          </w:p>
        </w:tc>
        <w:tc>
          <w:tcPr>
            <w:tcW w:w="0" w:type="auto"/>
            <w:hideMark/>
          </w:tcPr>
          <w:p w14:paraId="267694C0" w14:textId="77777777" w:rsidR="00000000" w:rsidRDefault="002F725F">
            <w:pPr>
              <w:jc w:val="both"/>
              <w:rPr>
                <w:rFonts w:eastAsia="Times New Roman"/>
                <w:sz w:val="20"/>
                <w:szCs w:val="20"/>
              </w:rPr>
            </w:pPr>
            <w:r>
              <w:rPr>
                <w:rFonts w:eastAsia="Times New Roman"/>
                <w:sz w:val="20"/>
                <w:szCs w:val="20"/>
              </w:rPr>
              <w:t>Each of the parties agrees that the courts of the Cayman Islands shall have jurisdiction to hear and de</w:t>
            </w:r>
            <w:r>
              <w:rPr>
                <w:rFonts w:eastAsia="Times New Roman"/>
                <w:sz w:val="20"/>
                <w:szCs w:val="20"/>
              </w:rPr>
              <w:t xml:space="preserve">termine any action or proceeding arising out of or in connection with this Plan of Merger, and any non-contractual </w:t>
            </w:r>
            <w:r>
              <w:rPr>
                <w:rFonts w:eastAsia="Times New Roman"/>
                <w:sz w:val="20"/>
                <w:szCs w:val="20"/>
              </w:rPr>
              <w:lastRenderedPageBreak/>
              <w:t>obligations arising out of or in connection with it, and for that purpose each party irrevocably submits to the jurisdiction of the courts of</w:t>
            </w:r>
            <w:r>
              <w:rPr>
                <w:rFonts w:eastAsia="Times New Roman"/>
                <w:sz w:val="20"/>
                <w:szCs w:val="20"/>
              </w:rPr>
              <w:t xml:space="preserve"> the Cayman Islands.</w:t>
            </w:r>
          </w:p>
        </w:tc>
      </w:tr>
    </w:tbl>
    <w:p w14:paraId="4BE22716" w14:textId="77777777" w:rsidR="00000000" w:rsidRDefault="002F725F">
      <w:pPr>
        <w:pStyle w:val="NormalWeb"/>
        <w:spacing w:before="0" w:beforeAutospacing="0" w:after="0" w:afterAutospacing="0"/>
        <w:divId w:val="415980837"/>
        <w:rPr>
          <w:sz w:val="20"/>
          <w:szCs w:val="20"/>
        </w:rPr>
      </w:pPr>
      <w:r>
        <w:rPr>
          <w:sz w:val="20"/>
          <w:szCs w:val="20"/>
        </w:rPr>
        <w:lastRenderedPageBreak/>
        <w:t> </w:t>
      </w:r>
    </w:p>
    <w:p w14:paraId="3E02557A" w14:textId="77777777" w:rsidR="00000000" w:rsidRDefault="002F725F">
      <w:pPr>
        <w:pStyle w:val="NormalWeb"/>
        <w:spacing w:before="0" w:beforeAutospacing="0" w:after="0" w:afterAutospacing="0"/>
        <w:jc w:val="center"/>
        <w:divId w:val="1397900891"/>
        <w:rPr>
          <w:sz w:val="20"/>
          <w:szCs w:val="20"/>
        </w:rPr>
      </w:pPr>
      <w:r>
        <w:rPr>
          <w:sz w:val="20"/>
          <w:szCs w:val="20"/>
        </w:rPr>
        <w:t>A</w:t>
      </w:r>
      <w:r>
        <w:rPr>
          <w:sz w:val="20"/>
          <w:szCs w:val="20"/>
        </w:rPr>
        <w:t>-</w:t>
      </w:r>
      <w:r>
        <w:rPr>
          <w:sz w:val="20"/>
          <w:szCs w:val="20"/>
        </w:rPr>
        <w:t>6</w:t>
      </w:r>
      <w:r>
        <w:rPr>
          <w:sz w:val="20"/>
          <w:szCs w:val="20"/>
        </w:rPr>
        <w:t>1</w:t>
      </w:r>
    </w:p>
    <w:p w14:paraId="7A960507" w14:textId="77777777" w:rsidR="00000000" w:rsidRDefault="002F725F">
      <w:pPr>
        <w:pStyle w:val="NormalWeb"/>
        <w:spacing w:before="0" w:beforeAutospacing="0" w:after="0" w:afterAutospacing="0"/>
        <w:divId w:val="483159293"/>
        <w:rPr>
          <w:sz w:val="20"/>
          <w:szCs w:val="20"/>
        </w:rPr>
      </w:pPr>
      <w:r>
        <w:rPr>
          <w:sz w:val="20"/>
          <w:szCs w:val="20"/>
        </w:rPr>
        <w:t> </w:t>
      </w:r>
    </w:p>
    <w:p w14:paraId="684BEA55" w14:textId="77777777" w:rsidR="00000000" w:rsidRDefault="002F725F">
      <w:pPr>
        <w:pStyle w:val="NormalWeb"/>
        <w:spacing w:before="0" w:beforeAutospacing="0" w:after="0" w:afterAutospacing="0"/>
        <w:divId w:val="415980837"/>
        <w:rPr>
          <w:sz w:val="20"/>
          <w:szCs w:val="20"/>
        </w:rPr>
      </w:pPr>
      <w:r>
        <w:rPr>
          <w:b/>
          <w:bCs/>
          <w:caps/>
          <w:sz w:val="20"/>
          <w:szCs w:val="20"/>
        </w:rPr>
        <w:t> </w:t>
      </w:r>
    </w:p>
    <w:p w14:paraId="4369A468" w14:textId="77777777" w:rsidR="00000000" w:rsidRDefault="002F725F">
      <w:pPr>
        <w:pStyle w:val="NormalWeb"/>
        <w:spacing w:before="0" w:beforeAutospacing="0" w:after="0" w:afterAutospacing="0"/>
        <w:divId w:val="415980837"/>
        <w:rPr>
          <w:sz w:val="20"/>
          <w:szCs w:val="20"/>
        </w:rPr>
      </w:pPr>
      <w:r>
        <w:rPr>
          <w:b/>
          <w:bCs/>
          <w:caps/>
          <w:sz w:val="20"/>
          <w:szCs w:val="20"/>
        </w:rPr>
        <w:t>IN WITNESS</w:t>
      </w:r>
      <w:r>
        <w:rPr>
          <w:sz w:val="20"/>
          <w:szCs w:val="20"/>
        </w:rPr>
        <w:t xml:space="preserve"> whereof this Plan of Merger has been entered into by the parties on the day and year first above written.</w:t>
      </w:r>
    </w:p>
    <w:p w14:paraId="46D50857"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5562"/>
        <w:gridCol w:w="67"/>
        <w:gridCol w:w="534"/>
        <w:gridCol w:w="3197"/>
      </w:tblGrid>
      <w:tr w:rsidR="00000000" w14:paraId="75A63CC0" w14:textId="77777777">
        <w:trPr>
          <w:divId w:val="415980837"/>
        </w:trPr>
        <w:tc>
          <w:tcPr>
            <w:tcW w:w="0" w:type="auto"/>
            <w:hideMark/>
          </w:tcPr>
          <w:p w14:paraId="75ADD448" w14:textId="77777777" w:rsidR="00000000" w:rsidRDefault="002F725F">
            <w:pPr>
              <w:rPr>
                <w:rFonts w:eastAsia="Times New Roman"/>
                <w:sz w:val="20"/>
                <w:szCs w:val="20"/>
              </w:rPr>
            </w:pPr>
            <w:r>
              <w:rPr>
                <w:rFonts w:eastAsia="Times New Roman"/>
                <w:b/>
                <w:bCs/>
                <w:caps/>
                <w:sz w:val="20"/>
                <w:szCs w:val="20"/>
              </w:rPr>
              <w:t>SIGNED</w:t>
            </w:r>
            <w:r>
              <w:rPr>
                <w:rFonts w:eastAsia="Times New Roman"/>
                <w:sz w:val="20"/>
                <w:szCs w:val="20"/>
              </w:rPr>
              <w:t xml:space="preserve"> for and on behalf of </w:t>
            </w:r>
            <w:r>
              <w:rPr>
                <w:rFonts w:eastAsia="Times New Roman"/>
                <w:b/>
                <w:bCs/>
                <w:caps/>
                <w:sz w:val="20"/>
                <w:szCs w:val="20"/>
              </w:rPr>
              <w:t>lakeshore</w:t>
            </w:r>
          </w:p>
        </w:tc>
        <w:tc>
          <w:tcPr>
            <w:tcW w:w="0" w:type="auto"/>
            <w:hideMark/>
          </w:tcPr>
          <w:p w14:paraId="28B5D6D4" w14:textId="77777777" w:rsidR="00000000" w:rsidRDefault="002F725F">
            <w:pPr>
              <w:rPr>
                <w:rFonts w:eastAsia="Times New Roman"/>
                <w:sz w:val="20"/>
                <w:szCs w:val="20"/>
              </w:rPr>
            </w:pPr>
            <w:r>
              <w:rPr>
                <w:rFonts w:eastAsia="Times New Roman"/>
                <w:sz w:val="20"/>
                <w:szCs w:val="20"/>
              </w:rPr>
              <w:t>)</w:t>
            </w:r>
          </w:p>
        </w:tc>
        <w:tc>
          <w:tcPr>
            <w:tcW w:w="0" w:type="auto"/>
            <w:gridSpan w:val="2"/>
            <w:hideMark/>
          </w:tcPr>
          <w:p w14:paraId="62FF427A" w14:textId="77777777" w:rsidR="00000000" w:rsidRDefault="002F725F">
            <w:pPr>
              <w:rPr>
                <w:rFonts w:eastAsia="Times New Roman"/>
                <w:sz w:val="20"/>
                <w:szCs w:val="20"/>
              </w:rPr>
            </w:pPr>
            <w:r>
              <w:rPr>
                <w:rFonts w:eastAsia="Times New Roman"/>
                <w:sz w:val="20"/>
                <w:szCs w:val="20"/>
              </w:rPr>
              <w:t> </w:t>
            </w:r>
          </w:p>
        </w:tc>
      </w:tr>
      <w:tr w:rsidR="00000000" w14:paraId="257A2A94" w14:textId="77777777">
        <w:trPr>
          <w:divId w:val="415980837"/>
        </w:trPr>
        <w:tc>
          <w:tcPr>
            <w:tcW w:w="0" w:type="auto"/>
            <w:hideMark/>
          </w:tcPr>
          <w:p w14:paraId="05758A50" w14:textId="77777777" w:rsidR="00000000" w:rsidRDefault="002F725F">
            <w:pPr>
              <w:pStyle w:val="NormalWeb"/>
              <w:spacing w:before="0" w:beforeAutospacing="0" w:after="0" w:afterAutospacing="0"/>
              <w:rPr>
                <w:sz w:val="20"/>
                <w:szCs w:val="20"/>
              </w:rPr>
            </w:pPr>
            <w:r>
              <w:rPr>
                <w:b/>
                <w:bCs/>
                <w:caps/>
                <w:sz w:val="20"/>
                <w:szCs w:val="20"/>
              </w:rPr>
              <w:t>biopharma co., ltd</w:t>
            </w:r>
            <w:r>
              <w:rPr>
                <w:sz w:val="20"/>
                <w:szCs w:val="20"/>
              </w:rPr>
              <w:t>:</w:t>
            </w:r>
          </w:p>
        </w:tc>
        <w:tc>
          <w:tcPr>
            <w:tcW w:w="0" w:type="auto"/>
            <w:hideMark/>
          </w:tcPr>
          <w:p w14:paraId="0947DC95" w14:textId="77777777" w:rsidR="00000000" w:rsidRDefault="002F725F">
            <w:pPr>
              <w:rPr>
                <w:rFonts w:eastAsia="Times New Roman"/>
                <w:sz w:val="20"/>
                <w:szCs w:val="20"/>
              </w:rPr>
            </w:pPr>
            <w:r>
              <w:rPr>
                <w:rFonts w:eastAsia="Times New Roman"/>
                <w:sz w:val="20"/>
                <w:szCs w:val="20"/>
              </w:rPr>
              <w:t>)</w:t>
            </w:r>
          </w:p>
        </w:tc>
        <w:tc>
          <w:tcPr>
            <w:tcW w:w="0" w:type="auto"/>
            <w:gridSpan w:val="2"/>
            <w:tcBorders>
              <w:bottom w:val="single" w:sz="12" w:space="0" w:color="000000"/>
            </w:tcBorders>
            <w:hideMark/>
          </w:tcPr>
          <w:p w14:paraId="24E5F87A" w14:textId="77777777" w:rsidR="00000000" w:rsidRDefault="002F725F">
            <w:pPr>
              <w:rPr>
                <w:rFonts w:eastAsia="Times New Roman"/>
                <w:sz w:val="20"/>
                <w:szCs w:val="20"/>
              </w:rPr>
            </w:pPr>
            <w:r>
              <w:rPr>
                <w:rFonts w:eastAsia="Times New Roman"/>
                <w:sz w:val="20"/>
                <w:szCs w:val="20"/>
              </w:rPr>
              <w:t> </w:t>
            </w:r>
          </w:p>
        </w:tc>
      </w:tr>
      <w:tr w:rsidR="00000000" w14:paraId="35754C6C" w14:textId="77777777">
        <w:trPr>
          <w:divId w:val="415980837"/>
        </w:trPr>
        <w:tc>
          <w:tcPr>
            <w:tcW w:w="0" w:type="auto"/>
            <w:hideMark/>
          </w:tcPr>
          <w:p w14:paraId="5AC02377" w14:textId="77777777" w:rsidR="00000000" w:rsidRDefault="002F725F">
            <w:pPr>
              <w:rPr>
                <w:rFonts w:eastAsia="Times New Roman"/>
                <w:sz w:val="20"/>
                <w:szCs w:val="20"/>
              </w:rPr>
            </w:pPr>
            <w:r>
              <w:rPr>
                <w:rFonts w:eastAsia="Times New Roman"/>
                <w:sz w:val="20"/>
                <w:szCs w:val="20"/>
              </w:rPr>
              <w:t> </w:t>
            </w:r>
          </w:p>
        </w:tc>
        <w:tc>
          <w:tcPr>
            <w:tcW w:w="0" w:type="auto"/>
            <w:hideMark/>
          </w:tcPr>
          <w:p w14:paraId="181D72CF" w14:textId="77777777" w:rsidR="00000000" w:rsidRDefault="002F725F">
            <w:pPr>
              <w:rPr>
                <w:rFonts w:eastAsia="Times New Roman"/>
                <w:sz w:val="20"/>
                <w:szCs w:val="20"/>
              </w:rPr>
            </w:pPr>
            <w:r>
              <w:rPr>
                <w:rFonts w:eastAsia="Times New Roman"/>
                <w:sz w:val="20"/>
                <w:szCs w:val="20"/>
              </w:rPr>
              <w:t>)</w:t>
            </w:r>
          </w:p>
        </w:tc>
        <w:tc>
          <w:tcPr>
            <w:tcW w:w="0" w:type="auto"/>
            <w:gridSpan w:val="2"/>
            <w:hideMark/>
          </w:tcPr>
          <w:p w14:paraId="3CCA3C3A" w14:textId="77777777" w:rsidR="00000000" w:rsidRDefault="002F725F">
            <w:pPr>
              <w:rPr>
                <w:rFonts w:eastAsia="Times New Roman"/>
                <w:sz w:val="20"/>
                <w:szCs w:val="20"/>
              </w:rPr>
            </w:pPr>
            <w:r>
              <w:rPr>
                <w:rFonts w:eastAsia="Times New Roman"/>
                <w:sz w:val="20"/>
                <w:szCs w:val="20"/>
              </w:rPr>
              <w:t>Duly Authorised Signatory</w:t>
            </w:r>
          </w:p>
        </w:tc>
      </w:tr>
      <w:tr w:rsidR="00000000" w14:paraId="188859B4" w14:textId="77777777">
        <w:trPr>
          <w:divId w:val="415980837"/>
        </w:trPr>
        <w:tc>
          <w:tcPr>
            <w:tcW w:w="3000" w:type="pct"/>
            <w:hideMark/>
          </w:tcPr>
          <w:p w14:paraId="70018C6B" w14:textId="77777777" w:rsidR="00000000" w:rsidRDefault="002F725F">
            <w:pPr>
              <w:rPr>
                <w:rFonts w:eastAsia="Times New Roman"/>
                <w:sz w:val="20"/>
                <w:szCs w:val="20"/>
              </w:rPr>
            </w:pPr>
            <w:r>
              <w:rPr>
                <w:rFonts w:eastAsia="Times New Roman"/>
                <w:sz w:val="20"/>
                <w:szCs w:val="20"/>
              </w:rPr>
              <w:t> </w:t>
            </w:r>
          </w:p>
        </w:tc>
        <w:tc>
          <w:tcPr>
            <w:tcW w:w="50" w:type="pct"/>
            <w:hideMark/>
          </w:tcPr>
          <w:p w14:paraId="0674E620" w14:textId="77777777" w:rsidR="00000000" w:rsidRDefault="002F725F">
            <w:pPr>
              <w:rPr>
                <w:rFonts w:eastAsia="Times New Roman"/>
                <w:sz w:val="20"/>
                <w:szCs w:val="20"/>
              </w:rPr>
            </w:pPr>
            <w:r>
              <w:rPr>
                <w:rFonts w:eastAsia="Times New Roman"/>
                <w:sz w:val="20"/>
                <w:szCs w:val="20"/>
              </w:rPr>
              <w:t>)</w:t>
            </w:r>
          </w:p>
        </w:tc>
        <w:tc>
          <w:tcPr>
            <w:tcW w:w="200" w:type="pct"/>
            <w:hideMark/>
          </w:tcPr>
          <w:p w14:paraId="4DAD19D7" w14:textId="77777777" w:rsidR="00000000" w:rsidRDefault="002F725F">
            <w:pPr>
              <w:rPr>
                <w:rFonts w:eastAsia="Times New Roman"/>
                <w:sz w:val="20"/>
                <w:szCs w:val="20"/>
              </w:rPr>
            </w:pPr>
            <w:r>
              <w:rPr>
                <w:rFonts w:eastAsia="Times New Roman"/>
                <w:sz w:val="20"/>
                <w:szCs w:val="20"/>
              </w:rPr>
              <w:t> </w:t>
            </w:r>
          </w:p>
        </w:tc>
        <w:tc>
          <w:tcPr>
            <w:tcW w:w="1750" w:type="pct"/>
            <w:hideMark/>
          </w:tcPr>
          <w:p w14:paraId="04C51A23" w14:textId="77777777" w:rsidR="00000000" w:rsidRDefault="002F725F">
            <w:pPr>
              <w:rPr>
                <w:rFonts w:eastAsia="Times New Roman"/>
                <w:sz w:val="20"/>
                <w:szCs w:val="20"/>
              </w:rPr>
            </w:pPr>
            <w:r>
              <w:rPr>
                <w:rFonts w:eastAsia="Times New Roman"/>
                <w:sz w:val="20"/>
                <w:szCs w:val="20"/>
              </w:rPr>
              <w:t> </w:t>
            </w:r>
          </w:p>
        </w:tc>
      </w:tr>
      <w:tr w:rsidR="00000000" w14:paraId="2F961B8B" w14:textId="77777777">
        <w:trPr>
          <w:divId w:val="415980837"/>
        </w:trPr>
        <w:tc>
          <w:tcPr>
            <w:tcW w:w="0" w:type="auto"/>
            <w:hideMark/>
          </w:tcPr>
          <w:p w14:paraId="41E60F94" w14:textId="77777777" w:rsidR="00000000" w:rsidRDefault="002F725F">
            <w:pPr>
              <w:rPr>
                <w:rFonts w:eastAsia="Times New Roman"/>
                <w:sz w:val="20"/>
                <w:szCs w:val="20"/>
              </w:rPr>
            </w:pPr>
            <w:r>
              <w:rPr>
                <w:rFonts w:eastAsia="Times New Roman"/>
                <w:sz w:val="20"/>
                <w:szCs w:val="20"/>
              </w:rPr>
              <w:t> </w:t>
            </w:r>
          </w:p>
        </w:tc>
        <w:tc>
          <w:tcPr>
            <w:tcW w:w="0" w:type="auto"/>
            <w:hideMark/>
          </w:tcPr>
          <w:p w14:paraId="31F07BA8" w14:textId="77777777" w:rsidR="00000000" w:rsidRDefault="002F725F">
            <w:pPr>
              <w:rPr>
                <w:rFonts w:eastAsia="Times New Roman"/>
                <w:sz w:val="20"/>
                <w:szCs w:val="20"/>
              </w:rPr>
            </w:pPr>
            <w:r>
              <w:rPr>
                <w:rFonts w:eastAsia="Times New Roman"/>
                <w:sz w:val="20"/>
                <w:szCs w:val="20"/>
              </w:rPr>
              <w:t>)</w:t>
            </w:r>
          </w:p>
        </w:tc>
        <w:tc>
          <w:tcPr>
            <w:tcW w:w="0" w:type="auto"/>
            <w:hideMark/>
          </w:tcPr>
          <w:p w14:paraId="71C49C2B" w14:textId="77777777" w:rsidR="00000000" w:rsidRDefault="002F725F">
            <w:pPr>
              <w:rPr>
                <w:rFonts w:eastAsia="Times New Roman"/>
                <w:sz w:val="20"/>
                <w:szCs w:val="20"/>
              </w:rPr>
            </w:pPr>
            <w:r>
              <w:rPr>
                <w:rFonts w:eastAsia="Times New Roman"/>
                <w:sz w:val="20"/>
                <w:szCs w:val="20"/>
              </w:rPr>
              <w:t>Name:</w:t>
            </w:r>
          </w:p>
        </w:tc>
        <w:tc>
          <w:tcPr>
            <w:tcW w:w="0" w:type="auto"/>
            <w:hideMark/>
          </w:tcPr>
          <w:p w14:paraId="1EA80A0B" w14:textId="77777777" w:rsidR="00000000" w:rsidRDefault="002F725F">
            <w:pPr>
              <w:rPr>
                <w:rFonts w:eastAsia="Times New Roman"/>
                <w:sz w:val="20"/>
                <w:szCs w:val="20"/>
              </w:rPr>
            </w:pPr>
            <w:r>
              <w:rPr>
                <w:rFonts w:eastAsia="Times New Roman"/>
                <w:sz w:val="20"/>
                <w:szCs w:val="20"/>
              </w:rPr>
              <w:t xml:space="preserve">Jutao (Adam) Zhao </w:t>
            </w:r>
          </w:p>
        </w:tc>
      </w:tr>
      <w:tr w:rsidR="00000000" w14:paraId="40187BFB" w14:textId="77777777">
        <w:trPr>
          <w:divId w:val="415980837"/>
        </w:trPr>
        <w:tc>
          <w:tcPr>
            <w:tcW w:w="0" w:type="auto"/>
            <w:hideMark/>
          </w:tcPr>
          <w:p w14:paraId="2CAB6B47" w14:textId="77777777" w:rsidR="00000000" w:rsidRDefault="002F725F">
            <w:pPr>
              <w:rPr>
                <w:rFonts w:eastAsia="Times New Roman"/>
                <w:sz w:val="20"/>
                <w:szCs w:val="20"/>
              </w:rPr>
            </w:pPr>
            <w:r>
              <w:rPr>
                <w:rFonts w:eastAsia="Times New Roman"/>
                <w:sz w:val="20"/>
                <w:szCs w:val="20"/>
              </w:rPr>
              <w:t> </w:t>
            </w:r>
          </w:p>
        </w:tc>
        <w:tc>
          <w:tcPr>
            <w:tcW w:w="0" w:type="auto"/>
            <w:hideMark/>
          </w:tcPr>
          <w:p w14:paraId="473F5D15" w14:textId="77777777" w:rsidR="00000000" w:rsidRDefault="002F725F">
            <w:pPr>
              <w:rPr>
                <w:rFonts w:eastAsia="Times New Roman"/>
                <w:sz w:val="20"/>
                <w:szCs w:val="20"/>
              </w:rPr>
            </w:pPr>
            <w:r>
              <w:rPr>
                <w:rFonts w:eastAsia="Times New Roman"/>
                <w:sz w:val="20"/>
                <w:szCs w:val="20"/>
              </w:rPr>
              <w:t>)</w:t>
            </w:r>
          </w:p>
        </w:tc>
        <w:tc>
          <w:tcPr>
            <w:tcW w:w="0" w:type="auto"/>
            <w:hideMark/>
          </w:tcPr>
          <w:p w14:paraId="64E2C3BF" w14:textId="77777777" w:rsidR="00000000" w:rsidRDefault="002F725F">
            <w:pPr>
              <w:rPr>
                <w:rFonts w:eastAsia="Times New Roman"/>
                <w:sz w:val="20"/>
                <w:szCs w:val="20"/>
              </w:rPr>
            </w:pPr>
            <w:r>
              <w:rPr>
                <w:rFonts w:eastAsia="Times New Roman"/>
                <w:sz w:val="20"/>
                <w:szCs w:val="20"/>
              </w:rPr>
              <w:t> </w:t>
            </w:r>
          </w:p>
        </w:tc>
        <w:tc>
          <w:tcPr>
            <w:tcW w:w="0" w:type="auto"/>
            <w:hideMark/>
          </w:tcPr>
          <w:p w14:paraId="6A7C5D69" w14:textId="77777777" w:rsidR="00000000" w:rsidRDefault="002F725F">
            <w:pPr>
              <w:rPr>
                <w:rFonts w:eastAsia="Times New Roman"/>
                <w:sz w:val="20"/>
                <w:szCs w:val="20"/>
              </w:rPr>
            </w:pPr>
            <w:r>
              <w:rPr>
                <w:rFonts w:eastAsia="Times New Roman"/>
                <w:sz w:val="20"/>
                <w:szCs w:val="20"/>
              </w:rPr>
              <w:t> </w:t>
            </w:r>
          </w:p>
        </w:tc>
      </w:tr>
      <w:tr w:rsidR="00000000" w14:paraId="178C1919" w14:textId="77777777">
        <w:trPr>
          <w:divId w:val="415980837"/>
        </w:trPr>
        <w:tc>
          <w:tcPr>
            <w:tcW w:w="0" w:type="auto"/>
            <w:hideMark/>
          </w:tcPr>
          <w:p w14:paraId="0659292C" w14:textId="77777777" w:rsidR="00000000" w:rsidRDefault="002F725F">
            <w:pPr>
              <w:rPr>
                <w:rFonts w:eastAsia="Times New Roman"/>
                <w:sz w:val="20"/>
                <w:szCs w:val="20"/>
              </w:rPr>
            </w:pPr>
            <w:r>
              <w:rPr>
                <w:rFonts w:eastAsia="Times New Roman"/>
                <w:sz w:val="20"/>
                <w:szCs w:val="20"/>
              </w:rPr>
              <w:t> </w:t>
            </w:r>
          </w:p>
        </w:tc>
        <w:tc>
          <w:tcPr>
            <w:tcW w:w="0" w:type="auto"/>
            <w:hideMark/>
          </w:tcPr>
          <w:p w14:paraId="258D406C" w14:textId="77777777" w:rsidR="00000000" w:rsidRDefault="002F725F">
            <w:pPr>
              <w:rPr>
                <w:rFonts w:eastAsia="Times New Roman"/>
                <w:sz w:val="20"/>
                <w:szCs w:val="20"/>
              </w:rPr>
            </w:pPr>
            <w:r>
              <w:rPr>
                <w:rFonts w:eastAsia="Times New Roman"/>
                <w:sz w:val="20"/>
                <w:szCs w:val="20"/>
              </w:rPr>
              <w:t>)</w:t>
            </w:r>
          </w:p>
        </w:tc>
        <w:tc>
          <w:tcPr>
            <w:tcW w:w="0" w:type="auto"/>
            <w:hideMark/>
          </w:tcPr>
          <w:p w14:paraId="36ED34FE" w14:textId="77777777" w:rsidR="00000000" w:rsidRDefault="002F725F">
            <w:pPr>
              <w:rPr>
                <w:rFonts w:eastAsia="Times New Roman"/>
                <w:sz w:val="20"/>
                <w:szCs w:val="20"/>
              </w:rPr>
            </w:pPr>
            <w:r>
              <w:rPr>
                <w:rFonts w:eastAsia="Times New Roman"/>
                <w:sz w:val="20"/>
                <w:szCs w:val="20"/>
              </w:rPr>
              <w:t>Title:</w:t>
            </w:r>
          </w:p>
        </w:tc>
        <w:tc>
          <w:tcPr>
            <w:tcW w:w="0" w:type="auto"/>
            <w:hideMark/>
          </w:tcPr>
          <w:p w14:paraId="4516D23C" w14:textId="77777777" w:rsidR="00000000" w:rsidRDefault="002F725F">
            <w:pPr>
              <w:rPr>
                <w:rFonts w:eastAsia="Times New Roman"/>
                <w:sz w:val="20"/>
                <w:szCs w:val="20"/>
              </w:rPr>
            </w:pPr>
            <w:r>
              <w:rPr>
                <w:rFonts w:eastAsia="Times New Roman"/>
                <w:sz w:val="20"/>
                <w:szCs w:val="20"/>
              </w:rPr>
              <w:t>Chairperson of the Special Committee of the Board of Directors</w:t>
            </w:r>
          </w:p>
        </w:tc>
      </w:tr>
    </w:tbl>
    <w:p w14:paraId="74AB8AA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5562"/>
        <w:gridCol w:w="67"/>
        <w:gridCol w:w="534"/>
        <w:gridCol w:w="3197"/>
      </w:tblGrid>
      <w:tr w:rsidR="00000000" w14:paraId="03544B57" w14:textId="77777777">
        <w:trPr>
          <w:divId w:val="415980837"/>
        </w:trPr>
        <w:tc>
          <w:tcPr>
            <w:tcW w:w="0" w:type="auto"/>
            <w:hideMark/>
          </w:tcPr>
          <w:p w14:paraId="73F22551" w14:textId="77777777" w:rsidR="00000000" w:rsidRDefault="002F725F">
            <w:pPr>
              <w:rPr>
                <w:rFonts w:eastAsia="Times New Roman"/>
                <w:sz w:val="20"/>
                <w:szCs w:val="20"/>
              </w:rPr>
            </w:pPr>
            <w:r>
              <w:rPr>
                <w:rFonts w:eastAsia="Times New Roman"/>
                <w:b/>
                <w:bCs/>
                <w:caps/>
                <w:sz w:val="20"/>
                <w:szCs w:val="20"/>
              </w:rPr>
              <w:t>SIGNED</w:t>
            </w:r>
            <w:r>
              <w:rPr>
                <w:rFonts w:eastAsia="Times New Roman"/>
                <w:sz w:val="20"/>
                <w:szCs w:val="20"/>
              </w:rPr>
              <w:t xml:space="preserve"> for and on behalf of </w:t>
            </w:r>
            <w:r>
              <w:rPr>
                <w:rFonts w:eastAsia="Times New Roman"/>
                <w:b/>
                <w:bCs/>
                <w:caps/>
                <w:sz w:val="20"/>
                <w:szCs w:val="20"/>
              </w:rPr>
              <w:t>Oceanpine Merger Sub Inc.</w:t>
            </w:r>
            <w:r>
              <w:rPr>
                <w:rFonts w:eastAsia="Times New Roman"/>
                <w:sz w:val="20"/>
                <w:szCs w:val="20"/>
              </w:rPr>
              <w:t>:</w:t>
            </w:r>
          </w:p>
        </w:tc>
        <w:tc>
          <w:tcPr>
            <w:tcW w:w="0" w:type="auto"/>
            <w:hideMark/>
          </w:tcPr>
          <w:p w14:paraId="2B8E84BF" w14:textId="77777777" w:rsidR="00000000" w:rsidRDefault="002F725F">
            <w:pPr>
              <w:rPr>
                <w:rFonts w:eastAsia="Times New Roman"/>
                <w:sz w:val="20"/>
                <w:szCs w:val="20"/>
              </w:rPr>
            </w:pPr>
            <w:r>
              <w:rPr>
                <w:rFonts w:eastAsia="Times New Roman"/>
                <w:sz w:val="20"/>
                <w:szCs w:val="20"/>
              </w:rPr>
              <w:t>)</w:t>
            </w:r>
          </w:p>
        </w:tc>
        <w:tc>
          <w:tcPr>
            <w:tcW w:w="0" w:type="auto"/>
            <w:gridSpan w:val="2"/>
            <w:hideMark/>
          </w:tcPr>
          <w:p w14:paraId="158751A8" w14:textId="77777777" w:rsidR="00000000" w:rsidRDefault="002F725F">
            <w:pPr>
              <w:rPr>
                <w:rFonts w:eastAsia="Times New Roman"/>
                <w:sz w:val="20"/>
                <w:szCs w:val="20"/>
              </w:rPr>
            </w:pPr>
            <w:r>
              <w:rPr>
                <w:rFonts w:eastAsia="Times New Roman"/>
                <w:sz w:val="20"/>
                <w:szCs w:val="20"/>
              </w:rPr>
              <w:t> </w:t>
            </w:r>
          </w:p>
        </w:tc>
      </w:tr>
      <w:tr w:rsidR="00000000" w14:paraId="27D0F66E" w14:textId="77777777">
        <w:trPr>
          <w:divId w:val="415980837"/>
        </w:trPr>
        <w:tc>
          <w:tcPr>
            <w:tcW w:w="0" w:type="auto"/>
            <w:hideMark/>
          </w:tcPr>
          <w:p w14:paraId="53DAE9A6" w14:textId="77777777" w:rsidR="00000000" w:rsidRDefault="002F725F">
            <w:pPr>
              <w:rPr>
                <w:rFonts w:eastAsia="Times New Roman"/>
                <w:sz w:val="20"/>
                <w:szCs w:val="20"/>
              </w:rPr>
            </w:pPr>
            <w:r>
              <w:rPr>
                <w:rFonts w:eastAsia="Times New Roman"/>
                <w:sz w:val="20"/>
                <w:szCs w:val="20"/>
              </w:rPr>
              <w:t> </w:t>
            </w:r>
          </w:p>
        </w:tc>
        <w:tc>
          <w:tcPr>
            <w:tcW w:w="0" w:type="auto"/>
            <w:hideMark/>
          </w:tcPr>
          <w:p w14:paraId="1042631F" w14:textId="77777777" w:rsidR="00000000" w:rsidRDefault="002F725F">
            <w:pPr>
              <w:rPr>
                <w:rFonts w:eastAsia="Times New Roman"/>
                <w:sz w:val="20"/>
                <w:szCs w:val="20"/>
              </w:rPr>
            </w:pPr>
            <w:r>
              <w:rPr>
                <w:rFonts w:eastAsia="Times New Roman"/>
                <w:sz w:val="20"/>
                <w:szCs w:val="20"/>
              </w:rPr>
              <w:t>)</w:t>
            </w:r>
          </w:p>
        </w:tc>
        <w:tc>
          <w:tcPr>
            <w:tcW w:w="0" w:type="auto"/>
            <w:gridSpan w:val="2"/>
            <w:tcBorders>
              <w:bottom w:val="single" w:sz="12" w:space="0" w:color="000000"/>
            </w:tcBorders>
            <w:hideMark/>
          </w:tcPr>
          <w:p w14:paraId="5DE15043" w14:textId="77777777" w:rsidR="00000000" w:rsidRDefault="002F725F">
            <w:pPr>
              <w:rPr>
                <w:rFonts w:eastAsia="Times New Roman"/>
                <w:sz w:val="20"/>
                <w:szCs w:val="20"/>
              </w:rPr>
            </w:pPr>
            <w:r>
              <w:rPr>
                <w:rFonts w:eastAsia="Times New Roman"/>
                <w:sz w:val="20"/>
                <w:szCs w:val="20"/>
              </w:rPr>
              <w:t> </w:t>
            </w:r>
          </w:p>
        </w:tc>
      </w:tr>
      <w:tr w:rsidR="00000000" w14:paraId="67C36752" w14:textId="77777777">
        <w:trPr>
          <w:divId w:val="415980837"/>
        </w:trPr>
        <w:tc>
          <w:tcPr>
            <w:tcW w:w="0" w:type="auto"/>
            <w:hideMark/>
          </w:tcPr>
          <w:p w14:paraId="168A9681" w14:textId="77777777" w:rsidR="00000000" w:rsidRDefault="002F725F">
            <w:pPr>
              <w:rPr>
                <w:rFonts w:eastAsia="Times New Roman"/>
                <w:sz w:val="20"/>
                <w:szCs w:val="20"/>
              </w:rPr>
            </w:pPr>
            <w:r>
              <w:rPr>
                <w:rFonts w:eastAsia="Times New Roman"/>
                <w:sz w:val="20"/>
                <w:szCs w:val="20"/>
              </w:rPr>
              <w:t> </w:t>
            </w:r>
          </w:p>
        </w:tc>
        <w:tc>
          <w:tcPr>
            <w:tcW w:w="0" w:type="auto"/>
            <w:hideMark/>
          </w:tcPr>
          <w:p w14:paraId="5DBCA3B6" w14:textId="77777777" w:rsidR="00000000" w:rsidRDefault="002F725F">
            <w:pPr>
              <w:rPr>
                <w:rFonts w:eastAsia="Times New Roman"/>
                <w:sz w:val="20"/>
                <w:szCs w:val="20"/>
              </w:rPr>
            </w:pPr>
            <w:r>
              <w:rPr>
                <w:rFonts w:eastAsia="Times New Roman"/>
                <w:sz w:val="20"/>
                <w:szCs w:val="20"/>
              </w:rPr>
              <w:t>)</w:t>
            </w:r>
          </w:p>
        </w:tc>
        <w:tc>
          <w:tcPr>
            <w:tcW w:w="0" w:type="auto"/>
            <w:gridSpan w:val="2"/>
            <w:hideMark/>
          </w:tcPr>
          <w:p w14:paraId="28E15695" w14:textId="77777777" w:rsidR="00000000" w:rsidRDefault="002F725F">
            <w:pPr>
              <w:rPr>
                <w:rFonts w:eastAsia="Times New Roman"/>
                <w:sz w:val="20"/>
                <w:szCs w:val="20"/>
              </w:rPr>
            </w:pPr>
            <w:r>
              <w:rPr>
                <w:rFonts w:eastAsia="Times New Roman"/>
                <w:sz w:val="20"/>
                <w:szCs w:val="20"/>
              </w:rPr>
              <w:t>Duly Authorised Signatory</w:t>
            </w:r>
          </w:p>
        </w:tc>
      </w:tr>
      <w:tr w:rsidR="00000000" w14:paraId="175C134B" w14:textId="77777777">
        <w:trPr>
          <w:divId w:val="415980837"/>
        </w:trPr>
        <w:tc>
          <w:tcPr>
            <w:tcW w:w="0" w:type="auto"/>
            <w:hideMark/>
          </w:tcPr>
          <w:p w14:paraId="4E5FA2C9" w14:textId="77777777" w:rsidR="00000000" w:rsidRDefault="002F725F">
            <w:pPr>
              <w:rPr>
                <w:rFonts w:eastAsia="Times New Roman"/>
                <w:sz w:val="20"/>
                <w:szCs w:val="20"/>
              </w:rPr>
            </w:pPr>
            <w:r>
              <w:rPr>
                <w:rFonts w:eastAsia="Times New Roman"/>
                <w:sz w:val="20"/>
                <w:szCs w:val="20"/>
              </w:rPr>
              <w:t> </w:t>
            </w:r>
          </w:p>
        </w:tc>
        <w:tc>
          <w:tcPr>
            <w:tcW w:w="0" w:type="auto"/>
            <w:hideMark/>
          </w:tcPr>
          <w:p w14:paraId="45F4C55F" w14:textId="77777777" w:rsidR="00000000" w:rsidRDefault="002F725F">
            <w:pPr>
              <w:rPr>
                <w:rFonts w:eastAsia="Times New Roman"/>
                <w:sz w:val="20"/>
                <w:szCs w:val="20"/>
              </w:rPr>
            </w:pPr>
            <w:r>
              <w:rPr>
                <w:rFonts w:eastAsia="Times New Roman"/>
                <w:sz w:val="20"/>
                <w:szCs w:val="20"/>
              </w:rPr>
              <w:t>)</w:t>
            </w:r>
          </w:p>
        </w:tc>
        <w:tc>
          <w:tcPr>
            <w:tcW w:w="0" w:type="auto"/>
            <w:gridSpan w:val="2"/>
            <w:hideMark/>
          </w:tcPr>
          <w:p w14:paraId="5A44AADF" w14:textId="77777777" w:rsidR="00000000" w:rsidRDefault="002F725F">
            <w:pPr>
              <w:rPr>
                <w:rFonts w:eastAsia="Times New Roman"/>
                <w:sz w:val="20"/>
                <w:szCs w:val="20"/>
              </w:rPr>
            </w:pPr>
            <w:r>
              <w:rPr>
                <w:rFonts w:eastAsia="Times New Roman"/>
                <w:sz w:val="20"/>
                <w:szCs w:val="20"/>
              </w:rPr>
              <w:t> </w:t>
            </w:r>
          </w:p>
        </w:tc>
      </w:tr>
      <w:tr w:rsidR="00000000" w14:paraId="0717870A" w14:textId="77777777">
        <w:trPr>
          <w:divId w:val="415980837"/>
        </w:trPr>
        <w:tc>
          <w:tcPr>
            <w:tcW w:w="3000" w:type="pct"/>
            <w:hideMark/>
          </w:tcPr>
          <w:p w14:paraId="425CD566" w14:textId="77777777" w:rsidR="00000000" w:rsidRDefault="002F725F">
            <w:pPr>
              <w:rPr>
                <w:rFonts w:eastAsia="Times New Roman"/>
                <w:sz w:val="20"/>
                <w:szCs w:val="20"/>
              </w:rPr>
            </w:pPr>
            <w:r>
              <w:rPr>
                <w:rFonts w:eastAsia="Times New Roman"/>
                <w:sz w:val="20"/>
                <w:szCs w:val="20"/>
              </w:rPr>
              <w:t> </w:t>
            </w:r>
          </w:p>
        </w:tc>
        <w:tc>
          <w:tcPr>
            <w:tcW w:w="50" w:type="pct"/>
            <w:hideMark/>
          </w:tcPr>
          <w:p w14:paraId="7E7389E2" w14:textId="77777777" w:rsidR="00000000" w:rsidRDefault="002F725F">
            <w:pPr>
              <w:rPr>
                <w:rFonts w:eastAsia="Times New Roman"/>
                <w:sz w:val="20"/>
                <w:szCs w:val="20"/>
              </w:rPr>
            </w:pPr>
            <w:r>
              <w:rPr>
                <w:rFonts w:eastAsia="Times New Roman"/>
                <w:sz w:val="20"/>
                <w:szCs w:val="20"/>
              </w:rPr>
              <w:t>)</w:t>
            </w:r>
          </w:p>
        </w:tc>
        <w:tc>
          <w:tcPr>
            <w:tcW w:w="200" w:type="pct"/>
            <w:hideMark/>
          </w:tcPr>
          <w:p w14:paraId="317DAF85" w14:textId="77777777" w:rsidR="00000000" w:rsidRDefault="002F725F">
            <w:pPr>
              <w:rPr>
                <w:rFonts w:eastAsia="Times New Roman"/>
                <w:sz w:val="20"/>
                <w:szCs w:val="20"/>
              </w:rPr>
            </w:pPr>
            <w:r>
              <w:rPr>
                <w:rFonts w:eastAsia="Times New Roman"/>
                <w:sz w:val="20"/>
                <w:szCs w:val="20"/>
              </w:rPr>
              <w:t>Name:</w:t>
            </w:r>
          </w:p>
        </w:tc>
        <w:tc>
          <w:tcPr>
            <w:tcW w:w="1750" w:type="pct"/>
            <w:hideMark/>
          </w:tcPr>
          <w:p w14:paraId="3DC34414" w14:textId="77777777" w:rsidR="00000000" w:rsidRDefault="002F725F">
            <w:pPr>
              <w:rPr>
                <w:rFonts w:eastAsia="Times New Roman"/>
                <w:sz w:val="20"/>
                <w:szCs w:val="20"/>
              </w:rPr>
            </w:pPr>
            <w:r>
              <w:rPr>
                <w:rFonts w:eastAsia="Times New Roman"/>
                <w:sz w:val="20"/>
                <w:szCs w:val="20"/>
              </w:rPr>
              <w:t>NAN Shaodeng</w:t>
            </w:r>
          </w:p>
        </w:tc>
      </w:tr>
      <w:tr w:rsidR="00000000" w14:paraId="045039DB" w14:textId="77777777">
        <w:trPr>
          <w:divId w:val="415980837"/>
        </w:trPr>
        <w:tc>
          <w:tcPr>
            <w:tcW w:w="0" w:type="auto"/>
            <w:hideMark/>
          </w:tcPr>
          <w:p w14:paraId="2CA440F5" w14:textId="77777777" w:rsidR="00000000" w:rsidRDefault="002F725F">
            <w:pPr>
              <w:rPr>
                <w:rFonts w:eastAsia="Times New Roman"/>
                <w:sz w:val="20"/>
                <w:szCs w:val="20"/>
              </w:rPr>
            </w:pPr>
            <w:r>
              <w:rPr>
                <w:rFonts w:eastAsia="Times New Roman"/>
                <w:sz w:val="20"/>
                <w:szCs w:val="20"/>
              </w:rPr>
              <w:t> </w:t>
            </w:r>
          </w:p>
        </w:tc>
        <w:tc>
          <w:tcPr>
            <w:tcW w:w="0" w:type="auto"/>
            <w:hideMark/>
          </w:tcPr>
          <w:p w14:paraId="345CC4EE" w14:textId="77777777" w:rsidR="00000000" w:rsidRDefault="002F725F">
            <w:pPr>
              <w:rPr>
                <w:rFonts w:eastAsia="Times New Roman"/>
                <w:sz w:val="20"/>
                <w:szCs w:val="20"/>
              </w:rPr>
            </w:pPr>
            <w:r>
              <w:rPr>
                <w:rFonts w:eastAsia="Times New Roman"/>
                <w:sz w:val="20"/>
                <w:szCs w:val="20"/>
              </w:rPr>
              <w:t>)</w:t>
            </w:r>
          </w:p>
        </w:tc>
        <w:tc>
          <w:tcPr>
            <w:tcW w:w="0" w:type="auto"/>
            <w:gridSpan w:val="2"/>
            <w:hideMark/>
          </w:tcPr>
          <w:p w14:paraId="65FBB4B4" w14:textId="77777777" w:rsidR="00000000" w:rsidRDefault="002F725F">
            <w:pPr>
              <w:rPr>
                <w:rFonts w:eastAsia="Times New Roman"/>
                <w:sz w:val="20"/>
                <w:szCs w:val="20"/>
              </w:rPr>
            </w:pPr>
            <w:r>
              <w:rPr>
                <w:rFonts w:eastAsia="Times New Roman"/>
                <w:sz w:val="20"/>
                <w:szCs w:val="20"/>
              </w:rPr>
              <w:t> </w:t>
            </w:r>
          </w:p>
        </w:tc>
      </w:tr>
      <w:tr w:rsidR="00000000" w14:paraId="2F43905A" w14:textId="77777777">
        <w:trPr>
          <w:divId w:val="415980837"/>
        </w:trPr>
        <w:tc>
          <w:tcPr>
            <w:tcW w:w="0" w:type="auto"/>
            <w:hideMark/>
          </w:tcPr>
          <w:p w14:paraId="14C83F95" w14:textId="77777777" w:rsidR="00000000" w:rsidRDefault="002F725F">
            <w:pPr>
              <w:rPr>
                <w:rFonts w:eastAsia="Times New Roman"/>
                <w:sz w:val="20"/>
                <w:szCs w:val="20"/>
              </w:rPr>
            </w:pPr>
            <w:r>
              <w:rPr>
                <w:rFonts w:eastAsia="Times New Roman"/>
                <w:sz w:val="20"/>
                <w:szCs w:val="20"/>
              </w:rPr>
              <w:t> </w:t>
            </w:r>
          </w:p>
        </w:tc>
        <w:tc>
          <w:tcPr>
            <w:tcW w:w="0" w:type="auto"/>
            <w:hideMark/>
          </w:tcPr>
          <w:p w14:paraId="613BF35F" w14:textId="77777777" w:rsidR="00000000" w:rsidRDefault="002F725F">
            <w:pPr>
              <w:rPr>
                <w:rFonts w:eastAsia="Times New Roman"/>
                <w:sz w:val="20"/>
                <w:szCs w:val="20"/>
              </w:rPr>
            </w:pPr>
            <w:r>
              <w:rPr>
                <w:rFonts w:eastAsia="Times New Roman"/>
                <w:sz w:val="20"/>
                <w:szCs w:val="20"/>
              </w:rPr>
              <w:t>)</w:t>
            </w:r>
          </w:p>
        </w:tc>
        <w:tc>
          <w:tcPr>
            <w:tcW w:w="0" w:type="auto"/>
            <w:hideMark/>
          </w:tcPr>
          <w:p w14:paraId="53F45ED9" w14:textId="77777777" w:rsidR="00000000" w:rsidRDefault="002F725F">
            <w:pPr>
              <w:rPr>
                <w:rFonts w:eastAsia="Times New Roman"/>
                <w:sz w:val="20"/>
                <w:szCs w:val="20"/>
              </w:rPr>
            </w:pPr>
            <w:r>
              <w:rPr>
                <w:rFonts w:eastAsia="Times New Roman"/>
                <w:sz w:val="20"/>
                <w:szCs w:val="20"/>
              </w:rPr>
              <w:t>Title:</w:t>
            </w:r>
          </w:p>
        </w:tc>
        <w:tc>
          <w:tcPr>
            <w:tcW w:w="0" w:type="auto"/>
            <w:hideMark/>
          </w:tcPr>
          <w:p w14:paraId="60E794C7" w14:textId="77777777" w:rsidR="00000000" w:rsidRDefault="002F725F">
            <w:pPr>
              <w:rPr>
                <w:rFonts w:eastAsia="Times New Roman"/>
                <w:sz w:val="20"/>
                <w:szCs w:val="20"/>
              </w:rPr>
            </w:pPr>
            <w:r>
              <w:rPr>
                <w:rFonts w:eastAsia="Times New Roman"/>
                <w:sz w:val="20"/>
                <w:szCs w:val="20"/>
              </w:rPr>
              <w:t>Director</w:t>
            </w:r>
          </w:p>
        </w:tc>
      </w:tr>
    </w:tbl>
    <w:p w14:paraId="4E05A26A" w14:textId="77777777" w:rsidR="00000000" w:rsidRDefault="002F725F">
      <w:pPr>
        <w:pStyle w:val="NormalWeb"/>
        <w:spacing w:before="0" w:beforeAutospacing="0" w:after="0" w:afterAutospacing="0"/>
        <w:divId w:val="415980837"/>
        <w:rPr>
          <w:sz w:val="20"/>
          <w:szCs w:val="20"/>
        </w:rPr>
      </w:pPr>
      <w:r>
        <w:rPr>
          <w:sz w:val="20"/>
          <w:szCs w:val="20"/>
        </w:rPr>
        <w:t> </w:t>
      </w:r>
    </w:p>
    <w:p w14:paraId="49348E8E" w14:textId="77777777" w:rsidR="00000000" w:rsidRDefault="002F725F">
      <w:pPr>
        <w:pStyle w:val="NormalWeb"/>
        <w:spacing w:before="0" w:beforeAutospacing="0" w:after="0" w:afterAutospacing="0"/>
        <w:jc w:val="center"/>
        <w:divId w:val="1810241031"/>
        <w:rPr>
          <w:sz w:val="20"/>
          <w:szCs w:val="20"/>
        </w:rPr>
      </w:pPr>
      <w:r>
        <w:rPr>
          <w:sz w:val="20"/>
          <w:szCs w:val="20"/>
        </w:rPr>
        <w:t>A</w:t>
      </w:r>
      <w:r>
        <w:rPr>
          <w:sz w:val="20"/>
          <w:szCs w:val="20"/>
        </w:rPr>
        <w:t>-</w:t>
      </w:r>
      <w:r>
        <w:rPr>
          <w:sz w:val="20"/>
          <w:szCs w:val="20"/>
        </w:rPr>
        <w:t>6</w:t>
      </w:r>
      <w:r>
        <w:rPr>
          <w:sz w:val="20"/>
          <w:szCs w:val="20"/>
        </w:rPr>
        <w:t>2</w:t>
      </w:r>
    </w:p>
    <w:p w14:paraId="004DB375" w14:textId="77777777" w:rsidR="00000000" w:rsidRDefault="002F725F">
      <w:pPr>
        <w:pStyle w:val="NormalWeb"/>
        <w:spacing w:before="0" w:beforeAutospacing="0" w:after="0" w:afterAutospacing="0"/>
        <w:divId w:val="638418628"/>
        <w:rPr>
          <w:sz w:val="20"/>
          <w:szCs w:val="20"/>
        </w:rPr>
      </w:pPr>
      <w:r>
        <w:rPr>
          <w:sz w:val="20"/>
          <w:szCs w:val="20"/>
        </w:rPr>
        <w:t> </w:t>
      </w:r>
    </w:p>
    <w:p w14:paraId="3FEA4920" w14:textId="77777777" w:rsidR="00000000" w:rsidRDefault="002F725F">
      <w:pPr>
        <w:pStyle w:val="NormalWeb"/>
        <w:spacing w:before="0" w:beforeAutospacing="0" w:after="0" w:afterAutospacing="0"/>
        <w:jc w:val="center"/>
        <w:divId w:val="415980837"/>
        <w:rPr>
          <w:sz w:val="20"/>
          <w:szCs w:val="20"/>
        </w:rPr>
      </w:pPr>
      <w:r>
        <w:rPr>
          <w:b/>
          <w:bCs/>
          <w:caps/>
          <w:sz w:val="20"/>
          <w:szCs w:val="20"/>
        </w:rPr>
        <w:t> </w:t>
      </w:r>
    </w:p>
    <w:p w14:paraId="1A041E41" w14:textId="77777777" w:rsidR="00000000" w:rsidRDefault="002F725F">
      <w:pPr>
        <w:pStyle w:val="NormalWeb"/>
        <w:spacing w:before="0" w:beforeAutospacing="0" w:after="0" w:afterAutospacing="0"/>
        <w:jc w:val="center"/>
        <w:divId w:val="415980837"/>
        <w:rPr>
          <w:sz w:val="20"/>
          <w:szCs w:val="20"/>
        </w:rPr>
      </w:pPr>
      <w:r>
        <w:rPr>
          <w:b/>
          <w:bCs/>
          <w:caps/>
          <w:sz w:val="20"/>
          <w:szCs w:val="20"/>
        </w:rPr>
        <w:t>Annex 1</w:t>
      </w:r>
    </w:p>
    <w:p w14:paraId="2B096C5F"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38F3A4D" w14:textId="77777777" w:rsidR="00000000" w:rsidRDefault="002F725F">
      <w:pPr>
        <w:pStyle w:val="NormalWeb"/>
        <w:spacing w:before="0" w:beforeAutospacing="0" w:after="0" w:afterAutospacing="0"/>
        <w:jc w:val="center"/>
        <w:divId w:val="415980837"/>
        <w:rPr>
          <w:sz w:val="20"/>
          <w:szCs w:val="20"/>
        </w:rPr>
      </w:pPr>
      <w:r>
        <w:rPr>
          <w:b/>
          <w:bCs/>
          <w:caps/>
          <w:sz w:val="20"/>
          <w:szCs w:val="20"/>
        </w:rPr>
        <w:t>Merger Agreement</w:t>
      </w:r>
    </w:p>
    <w:p w14:paraId="48BC61E1"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E03E0A2" w14:textId="77777777" w:rsidR="00000000" w:rsidRDefault="002F725F">
      <w:pPr>
        <w:pStyle w:val="NormalWeb"/>
        <w:spacing w:before="0" w:beforeAutospacing="0" w:after="0" w:afterAutospacing="0"/>
        <w:jc w:val="center"/>
        <w:divId w:val="1140457486"/>
        <w:rPr>
          <w:sz w:val="20"/>
          <w:szCs w:val="20"/>
        </w:rPr>
      </w:pPr>
      <w:r>
        <w:rPr>
          <w:sz w:val="20"/>
          <w:szCs w:val="20"/>
        </w:rPr>
        <w:t>A</w:t>
      </w:r>
      <w:r>
        <w:rPr>
          <w:sz w:val="20"/>
          <w:szCs w:val="20"/>
        </w:rPr>
        <w:t>-</w:t>
      </w:r>
      <w:r>
        <w:rPr>
          <w:sz w:val="20"/>
          <w:szCs w:val="20"/>
        </w:rPr>
        <w:t>6</w:t>
      </w:r>
      <w:r>
        <w:rPr>
          <w:sz w:val="20"/>
          <w:szCs w:val="20"/>
        </w:rPr>
        <w:t>3</w:t>
      </w:r>
    </w:p>
    <w:p w14:paraId="75CD9644" w14:textId="77777777" w:rsidR="00000000" w:rsidRDefault="002F725F">
      <w:pPr>
        <w:pStyle w:val="NormalWeb"/>
        <w:spacing w:before="0" w:beforeAutospacing="0" w:after="0" w:afterAutospacing="0"/>
        <w:divId w:val="518548752"/>
        <w:rPr>
          <w:sz w:val="20"/>
          <w:szCs w:val="20"/>
        </w:rPr>
      </w:pPr>
      <w:r>
        <w:rPr>
          <w:sz w:val="20"/>
          <w:szCs w:val="20"/>
        </w:rPr>
        <w:t> </w:t>
      </w:r>
    </w:p>
    <w:p w14:paraId="6B0AB2CD" w14:textId="77777777" w:rsidR="00000000" w:rsidRDefault="002F725F">
      <w:pPr>
        <w:pStyle w:val="NormalWeb"/>
        <w:spacing w:before="0" w:beforeAutospacing="0" w:after="0" w:afterAutospacing="0"/>
        <w:divId w:val="415980837"/>
        <w:rPr>
          <w:sz w:val="20"/>
          <w:szCs w:val="20"/>
        </w:rPr>
      </w:pPr>
      <w:r>
        <w:rPr>
          <w:sz w:val="20"/>
          <w:szCs w:val="20"/>
        </w:rPr>
        <w:t> </w:t>
      </w:r>
    </w:p>
    <w:p w14:paraId="147A454E" w14:textId="77777777" w:rsidR="00000000" w:rsidRDefault="002F725F">
      <w:pPr>
        <w:pStyle w:val="NormalWeb"/>
        <w:spacing w:before="0" w:beforeAutospacing="0" w:after="0" w:afterAutospacing="0"/>
        <w:jc w:val="center"/>
        <w:divId w:val="415980837"/>
        <w:rPr>
          <w:sz w:val="20"/>
          <w:szCs w:val="20"/>
        </w:rPr>
      </w:pPr>
      <w:r>
        <w:rPr>
          <w:b/>
          <w:bCs/>
          <w:caps/>
          <w:sz w:val="20"/>
          <w:szCs w:val="20"/>
        </w:rPr>
        <w:t>ANNEX 2</w:t>
      </w:r>
    </w:p>
    <w:p w14:paraId="31C18B4B"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9097A6F" w14:textId="77777777" w:rsidR="00000000" w:rsidRDefault="002F725F">
      <w:pPr>
        <w:pStyle w:val="NormalWeb"/>
        <w:spacing w:before="0" w:beforeAutospacing="0" w:after="0" w:afterAutospacing="0"/>
        <w:jc w:val="center"/>
        <w:divId w:val="415980837"/>
        <w:rPr>
          <w:sz w:val="20"/>
          <w:szCs w:val="20"/>
        </w:rPr>
      </w:pPr>
      <w:r>
        <w:rPr>
          <w:b/>
          <w:bCs/>
          <w:caps/>
          <w:sz w:val="20"/>
          <w:szCs w:val="20"/>
        </w:rPr>
        <w:t xml:space="preserve">AMENDEDED </w:t>
      </w:r>
      <w:r>
        <w:rPr>
          <w:b/>
          <w:bCs/>
          <w:caps/>
          <w:sz w:val="20"/>
          <w:szCs w:val="20"/>
        </w:rPr>
        <w:t>AND RESTATED MEMORANDUM AND ARTICLES OF ASSOCIATION OF THE SURVIVING COMPANY</w:t>
      </w:r>
    </w:p>
    <w:p w14:paraId="2BAAEB63"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715007E" w14:textId="77777777" w:rsidR="00000000" w:rsidRDefault="002F725F">
      <w:pPr>
        <w:pStyle w:val="NormalWeb"/>
        <w:spacing w:before="0" w:beforeAutospacing="0" w:after="0" w:afterAutospacing="0"/>
        <w:jc w:val="center"/>
        <w:divId w:val="745955829"/>
        <w:rPr>
          <w:sz w:val="20"/>
          <w:szCs w:val="20"/>
        </w:rPr>
      </w:pPr>
      <w:r>
        <w:rPr>
          <w:sz w:val="20"/>
          <w:szCs w:val="20"/>
        </w:rPr>
        <w:t>A</w:t>
      </w:r>
      <w:r>
        <w:rPr>
          <w:sz w:val="20"/>
          <w:szCs w:val="20"/>
        </w:rPr>
        <w:t>-</w:t>
      </w:r>
      <w:r>
        <w:rPr>
          <w:sz w:val="20"/>
          <w:szCs w:val="20"/>
        </w:rPr>
        <w:t>6</w:t>
      </w:r>
      <w:r>
        <w:rPr>
          <w:sz w:val="20"/>
          <w:szCs w:val="20"/>
        </w:rPr>
        <w:t>4</w:t>
      </w:r>
    </w:p>
    <w:p w14:paraId="5BC0BF35" w14:textId="77777777" w:rsidR="00000000" w:rsidRDefault="002F725F">
      <w:pPr>
        <w:pStyle w:val="NormalWeb"/>
        <w:spacing w:before="0" w:beforeAutospacing="0" w:after="0" w:afterAutospacing="0"/>
        <w:divId w:val="743338413"/>
        <w:rPr>
          <w:sz w:val="20"/>
          <w:szCs w:val="20"/>
        </w:rPr>
      </w:pPr>
      <w:r>
        <w:rPr>
          <w:sz w:val="20"/>
          <w:szCs w:val="20"/>
        </w:rPr>
        <w:t> </w:t>
      </w:r>
    </w:p>
    <w:p w14:paraId="0C744181"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3019EE5" w14:textId="77777777" w:rsidR="00000000" w:rsidRDefault="002F725F">
      <w:pPr>
        <w:pStyle w:val="NormalWeb"/>
        <w:spacing w:before="0" w:beforeAutospacing="0" w:after="0" w:afterAutospacing="0"/>
        <w:jc w:val="right"/>
        <w:divId w:val="415980837"/>
        <w:rPr>
          <w:sz w:val="20"/>
          <w:szCs w:val="20"/>
        </w:rPr>
      </w:pPr>
      <w:bookmarkStart w:id="35" w:name="gfpea028961701ex99-a1.htmd2_001"/>
      <w:bookmarkEnd w:id="35"/>
      <w:r>
        <w:rPr>
          <w:sz w:val="20"/>
          <w:szCs w:val="20"/>
        </w:rPr>
        <w:lastRenderedPageBreak/>
        <w:t>Execution Version</w:t>
      </w:r>
    </w:p>
    <w:p w14:paraId="50399766"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C720696" w14:textId="77777777" w:rsidR="00000000" w:rsidRDefault="002F725F">
      <w:pPr>
        <w:pStyle w:val="NormalWeb"/>
        <w:spacing w:before="0" w:beforeAutospacing="0" w:after="0" w:afterAutospacing="0"/>
        <w:jc w:val="center"/>
        <w:divId w:val="415980837"/>
        <w:rPr>
          <w:sz w:val="20"/>
          <w:szCs w:val="20"/>
        </w:rPr>
      </w:pPr>
      <w:r>
        <w:rPr>
          <w:b/>
          <w:bCs/>
          <w:sz w:val="20"/>
          <w:szCs w:val="20"/>
          <w:u w:val="single"/>
        </w:rPr>
        <w:t>AMENDMENT NO. 1 TO AGREEMENT AND PLAN OF MERGER</w:t>
      </w:r>
    </w:p>
    <w:p w14:paraId="4D737CDC"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289F1FD" w14:textId="77777777" w:rsidR="00000000" w:rsidRDefault="002F725F">
      <w:pPr>
        <w:pStyle w:val="NormalWeb"/>
        <w:spacing w:before="0" w:beforeAutospacing="0" w:after="0" w:afterAutospacing="0"/>
        <w:jc w:val="both"/>
        <w:divId w:val="415980837"/>
        <w:rPr>
          <w:sz w:val="20"/>
          <w:szCs w:val="20"/>
        </w:rPr>
      </w:pPr>
      <w:r>
        <w:rPr>
          <w:sz w:val="20"/>
          <w:szCs w:val="20"/>
        </w:rPr>
        <w:t>THIS AMENDMENT NO. 1 TO AGREEMENT AND PLAN OF MERGER, dated April 29, 2026 (this “</w:t>
      </w:r>
      <w:r>
        <w:rPr>
          <w:sz w:val="20"/>
          <w:szCs w:val="20"/>
          <w:u w:val="single"/>
        </w:rPr>
        <w:t>Amendment</w:t>
      </w:r>
      <w:r>
        <w:rPr>
          <w:sz w:val="20"/>
          <w:szCs w:val="20"/>
        </w:rPr>
        <w:t xml:space="preserve">”), is </w:t>
      </w:r>
      <w:r>
        <w:rPr>
          <w:sz w:val="20"/>
          <w:szCs w:val="20"/>
        </w:rPr>
        <w:t>entered into by and among LakeShore Biopharma Co., Ltd, an exempted company with limited liability incorporated under the Laws of the Cayman Islands and formerly known as YishengBio Co., Ltd and YS Biopharma Co., Ltd. (the “</w:t>
      </w:r>
      <w:r>
        <w:rPr>
          <w:sz w:val="20"/>
          <w:szCs w:val="20"/>
          <w:u w:val="single"/>
        </w:rPr>
        <w:t>Company</w:t>
      </w:r>
      <w:r>
        <w:rPr>
          <w:sz w:val="20"/>
          <w:szCs w:val="20"/>
        </w:rPr>
        <w:t>”), Oceanpine Skyline Inc</w:t>
      </w:r>
      <w:r>
        <w:rPr>
          <w:sz w:val="20"/>
          <w:szCs w:val="20"/>
        </w:rPr>
        <w:t>., an exempted company with limited liability incorporated under the Laws of the Cayman Islands (“</w:t>
      </w:r>
      <w:r>
        <w:rPr>
          <w:sz w:val="20"/>
          <w:szCs w:val="20"/>
          <w:u w:val="single"/>
        </w:rPr>
        <w:t>Parent</w:t>
      </w:r>
      <w:r>
        <w:rPr>
          <w:sz w:val="20"/>
          <w:szCs w:val="20"/>
        </w:rPr>
        <w:t>”), and Oceanpine Merger Sub Inc., an exempted company with limited liability incorporated under the Laws of the Cayman Islands and a wholly-owned subsi</w:t>
      </w:r>
      <w:r>
        <w:rPr>
          <w:sz w:val="20"/>
          <w:szCs w:val="20"/>
        </w:rPr>
        <w:t>diary of Parent (“</w:t>
      </w:r>
      <w:r>
        <w:rPr>
          <w:sz w:val="20"/>
          <w:szCs w:val="20"/>
          <w:u w:val="single"/>
        </w:rPr>
        <w:t>Merger Sub</w:t>
      </w:r>
      <w:r>
        <w:rPr>
          <w:sz w:val="20"/>
          <w:szCs w:val="20"/>
        </w:rPr>
        <w:t>”, together with the Company and Parent, collectively, the “</w:t>
      </w:r>
      <w:r>
        <w:rPr>
          <w:sz w:val="20"/>
          <w:szCs w:val="20"/>
          <w:u w:val="single"/>
        </w:rPr>
        <w:t>Parties</w:t>
      </w:r>
      <w:r>
        <w:rPr>
          <w:sz w:val="20"/>
          <w:szCs w:val="20"/>
        </w:rPr>
        <w:t>” and each a “</w:t>
      </w:r>
      <w:r>
        <w:rPr>
          <w:sz w:val="20"/>
          <w:szCs w:val="20"/>
          <w:u w:val="single"/>
        </w:rPr>
        <w:t>Party</w:t>
      </w:r>
      <w:r>
        <w:rPr>
          <w:sz w:val="20"/>
          <w:szCs w:val="20"/>
        </w:rPr>
        <w:t>”).</w:t>
      </w:r>
    </w:p>
    <w:p w14:paraId="6115709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E8D5076" w14:textId="77777777" w:rsidR="00000000" w:rsidRDefault="002F725F">
      <w:pPr>
        <w:pStyle w:val="NormalWeb"/>
        <w:spacing w:before="0" w:beforeAutospacing="0" w:after="0" w:afterAutospacing="0"/>
        <w:jc w:val="center"/>
        <w:divId w:val="415980837"/>
        <w:rPr>
          <w:sz w:val="20"/>
          <w:szCs w:val="20"/>
        </w:rPr>
      </w:pPr>
      <w:r>
        <w:rPr>
          <w:b/>
          <w:bCs/>
          <w:sz w:val="20"/>
          <w:szCs w:val="20"/>
        </w:rPr>
        <w:t>RECITALS</w:t>
      </w:r>
    </w:p>
    <w:p w14:paraId="5E547F27"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A9EF58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WHEREAS, the Parties entered into that certain Agreement and Plan of Merger dated November 4, 2025 (the “</w:t>
      </w:r>
      <w:r>
        <w:rPr>
          <w:sz w:val="20"/>
          <w:szCs w:val="20"/>
          <w:u w:val="single"/>
        </w:rPr>
        <w:t>Agreement</w:t>
      </w:r>
      <w:r>
        <w:rPr>
          <w:sz w:val="20"/>
          <w:szCs w:val="20"/>
        </w:rPr>
        <w:t>”);</w:t>
      </w:r>
    </w:p>
    <w:p w14:paraId="6F3E074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9A9C9F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WHERE</w:t>
      </w:r>
      <w:r>
        <w:rPr>
          <w:sz w:val="20"/>
          <w:szCs w:val="20"/>
        </w:rPr>
        <w:t>AS, the Parties desire to amend the Agreement as set forth below; and</w:t>
      </w:r>
    </w:p>
    <w:p w14:paraId="41B6ECB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1A4015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WHEREAS, </w:t>
      </w:r>
      <w:r>
        <w:rPr>
          <w:sz w:val="20"/>
          <w:szCs w:val="20"/>
          <w:u w:val="single"/>
        </w:rPr>
        <w:t>Section 10.1</w:t>
      </w:r>
      <w:r>
        <w:rPr>
          <w:sz w:val="20"/>
          <w:szCs w:val="20"/>
        </w:rPr>
        <w:t xml:space="preserve"> of the Agreement (</w:t>
      </w:r>
      <w:r>
        <w:rPr>
          <w:i/>
          <w:iCs/>
          <w:sz w:val="20"/>
          <w:szCs w:val="20"/>
        </w:rPr>
        <w:t>Amendment and Modification</w:t>
      </w:r>
      <w:r>
        <w:rPr>
          <w:sz w:val="20"/>
          <w:szCs w:val="20"/>
        </w:rPr>
        <w:t>) provides that the Agreement may be amended by written agreement of the Parties, by action taken by or on behalf of their respective board of directors (or individuals holding similar positions) with the Company acting solely through the Special Committee</w:t>
      </w:r>
      <w:r>
        <w:rPr>
          <w:sz w:val="20"/>
          <w:szCs w:val="20"/>
        </w:rPr>
        <w:t>.</w:t>
      </w:r>
    </w:p>
    <w:p w14:paraId="2BD4772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0EB88A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NOW, THEREFORE, in consideration of the foregoing and the representations, warranties, covenants and agreements set forth herein, and other good and valuable consideration, the receipt and sufficiency of which are hereby acknowledged, intending to be l</w:t>
      </w:r>
      <w:r>
        <w:rPr>
          <w:sz w:val="20"/>
          <w:szCs w:val="20"/>
        </w:rPr>
        <w:t>egally bound the Parties hereby agree as follows:</w:t>
      </w:r>
    </w:p>
    <w:p w14:paraId="36E7449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13E41D8"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Article I</w:t>
      </w:r>
      <w:r>
        <w:rPr>
          <w:b/>
          <w:bCs/>
          <w:caps/>
          <w:sz w:val="20"/>
          <w:szCs w:val="20"/>
        </w:rPr>
        <w:br/>
        <w:t>DEFINITIONS AND TERMS</w:t>
      </w:r>
    </w:p>
    <w:p w14:paraId="2C70ED23"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03462040"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1.1 </w:t>
      </w:r>
      <w:r>
        <w:rPr>
          <w:sz w:val="20"/>
          <w:szCs w:val="20"/>
          <w:u w:val="single"/>
        </w:rPr>
        <w:t>Definitions</w:t>
      </w:r>
      <w:r>
        <w:rPr>
          <w:sz w:val="20"/>
          <w:szCs w:val="20"/>
        </w:rPr>
        <w:t>. Unless otherwise specifically defined herein, all capitalized terms used but not defined herein shall have the meanings ascribed to them under th</w:t>
      </w:r>
      <w:r>
        <w:rPr>
          <w:sz w:val="20"/>
          <w:szCs w:val="20"/>
        </w:rPr>
        <w:t>e Agreement.</w:t>
      </w:r>
    </w:p>
    <w:p w14:paraId="344FE422"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7EFBE9F"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Article II</w:t>
      </w:r>
      <w:r>
        <w:rPr>
          <w:b/>
          <w:bCs/>
          <w:caps/>
          <w:sz w:val="20"/>
          <w:szCs w:val="20"/>
        </w:rPr>
        <w:br/>
        <w:t>amendmentS TO THE agreement</w:t>
      </w:r>
    </w:p>
    <w:p w14:paraId="4370DB8A"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5BA307AF"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2.1 </w:t>
      </w:r>
      <w:r>
        <w:rPr>
          <w:sz w:val="20"/>
          <w:szCs w:val="20"/>
          <w:u w:val="single"/>
        </w:rPr>
        <w:t>Amendment to Recitals</w:t>
      </w:r>
      <w:r>
        <w:rPr>
          <w:sz w:val="20"/>
          <w:szCs w:val="20"/>
        </w:rPr>
        <w:t>. The Recitals of the Agreement are hereby amended and restated in their entirety to read as follows:</w:t>
      </w:r>
    </w:p>
    <w:p w14:paraId="186ABA84"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18209AF" w14:textId="77777777" w:rsidR="00000000" w:rsidRDefault="002F725F">
      <w:pPr>
        <w:pStyle w:val="NormalWeb"/>
        <w:spacing w:before="0" w:beforeAutospacing="0" w:after="0" w:afterAutospacing="0"/>
        <w:ind w:left="1440"/>
        <w:jc w:val="both"/>
        <w:divId w:val="415980837"/>
        <w:rPr>
          <w:sz w:val="20"/>
          <w:szCs w:val="20"/>
        </w:rPr>
      </w:pPr>
      <w:r>
        <w:rPr>
          <w:sz w:val="20"/>
          <w:szCs w:val="20"/>
        </w:rPr>
        <w:t>“</w:t>
      </w:r>
      <w:r>
        <w:rPr>
          <w:b/>
          <w:bCs/>
          <w:sz w:val="20"/>
          <w:szCs w:val="20"/>
        </w:rPr>
        <w:t>RECITALS</w:t>
      </w:r>
    </w:p>
    <w:p w14:paraId="04BA4D1A"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7A2C9FB4" w14:textId="77777777" w:rsidR="00000000" w:rsidRDefault="002F725F">
      <w:pPr>
        <w:pStyle w:val="NormalWeb"/>
        <w:spacing w:before="0" w:beforeAutospacing="0" w:after="0" w:afterAutospacing="0"/>
        <w:ind w:left="1440"/>
        <w:jc w:val="both"/>
        <w:divId w:val="415980837"/>
        <w:rPr>
          <w:sz w:val="20"/>
          <w:szCs w:val="20"/>
        </w:rPr>
      </w:pPr>
      <w:r>
        <w:rPr>
          <w:sz w:val="20"/>
          <w:szCs w:val="20"/>
        </w:rPr>
        <w:t>WHEREAS, the Parties intend that Merger Sub be merg</w:t>
      </w:r>
      <w:r>
        <w:rPr>
          <w:sz w:val="20"/>
          <w:szCs w:val="20"/>
        </w:rPr>
        <w:t>ed with and into the Company, with the Company being the surviving company and becoming a wholly-owned subsidiary of Parent as a result of the Merger on the terms and subject to the conditions set forth herein and in accordance with Part 16 of the Companie</w:t>
      </w:r>
      <w:r>
        <w:rPr>
          <w:sz w:val="20"/>
          <w:szCs w:val="20"/>
        </w:rPr>
        <w:t>s Act (the “</w:t>
      </w:r>
      <w:r>
        <w:rPr>
          <w:sz w:val="20"/>
          <w:szCs w:val="20"/>
          <w:u w:val="single"/>
        </w:rPr>
        <w:t>Merger</w:t>
      </w:r>
      <w:r>
        <w:rPr>
          <w:sz w:val="20"/>
          <w:szCs w:val="20"/>
        </w:rPr>
        <w:t>”);</w:t>
      </w:r>
    </w:p>
    <w:p w14:paraId="1CF7C49D"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683E7733" w14:textId="77777777" w:rsidR="00000000" w:rsidRDefault="002F725F">
      <w:pPr>
        <w:pStyle w:val="NormalWeb"/>
        <w:spacing w:before="0" w:beforeAutospacing="0" w:after="0" w:afterAutospacing="0"/>
        <w:jc w:val="center"/>
        <w:divId w:val="403571452"/>
        <w:rPr>
          <w:sz w:val="20"/>
          <w:szCs w:val="20"/>
        </w:rPr>
      </w:pPr>
      <w:r>
        <w:rPr>
          <w:sz w:val="20"/>
          <w:szCs w:val="20"/>
        </w:rPr>
        <w:t>A</w:t>
      </w:r>
      <w:r>
        <w:rPr>
          <w:sz w:val="20"/>
          <w:szCs w:val="20"/>
        </w:rPr>
        <w:t>-</w:t>
      </w:r>
      <w:r>
        <w:rPr>
          <w:sz w:val="20"/>
          <w:szCs w:val="20"/>
        </w:rPr>
        <w:t>6</w:t>
      </w:r>
      <w:r>
        <w:rPr>
          <w:sz w:val="20"/>
          <w:szCs w:val="20"/>
        </w:rPr>
        <w:t>5</w:t>
      </w:r>
    </w:p>
    <w:p w14:paraId="3F6FDA43" w14:textId="77777777" w:rsidR="00000000" w:rsidRDefault="002F725F">
      <w:pPr>
        <w:pStyle w:val="NormalWeb"/>
        <w:spacing w:before="0" w:beforeAutospacing="0" w:after="0" w:afterAutospacing="0"/>
        <w:divId w:val="2145467863"/>
        <w:rPr>
          <w:sz w:val="20"/>
          <w:szCs w:val="20"/>
        </w:rPr>
      </w:pPr>
      <w:r>
        <w:rPr>
          <w:sz w:val="20"/>
          <w:szCs w:val="20"/>
        </w:rPr>
        <w:t> </w:t>
      </w:r>
    </w:p>
    <w:p w14:paraId="4115040C"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5E4913AE" w14:textId="77777777" w:rsidR="00000000" w:rsidRDefault="002F725F">
      <w:pPr>
        <w:pStyle w:val="NormalWeb"/>
        <w:spacing w:before="0" w:beforeAutospacing="0" w:after="0" w:afterAutospacing="0"/>
        <w:ind w:left="1440"/>
        <w:jc w:val="both"/>
        <w:divId w:val="415980837"/>
        <w:rPr>
          <w:sz w:val="20"/>
          <w:szCs w:val="20"/>
        </w:rPr>
      </w:pPr>
      <w:r>
        <w:rPr>
          <w:sz w:val="20"/>
          <w:szCs w:val="20"/>
        </w:rPr>
        <w:t>WHEREAS, as of the date of the Amendment No. 1, the board of directors of the Company (the “</w:t>
      </w:r>
      <w:r>
        <w:rPr>
          <w:sz w:val="20"/>
          <w:szCs w:val="20"/>
          <w:u w:val="single"/>
        </w:rPr>
        <w:t>Board</w:t>
      </w:r>
      <w:r>
        <w:rPr>
          <w:sz w:val="20"/>
          <w:szCs w:val="20"/>
        </w:rPr>
        <w:t xml:space="preserve">”) acting upon the unanimous recommendation of the Special Committee has (a) determined that the terms of this Agreement, the </w:t>
      </w:r>
      <w:r>
        <w:rPr>
          <w:sz w:val="20"/>
          <w:szCs w:val="20"/>
        </w:rPr>
        <w:t xml:space="preserve">Plan of Merger and the other Transaction Documents to which the Company is a party and the transactions contemplated hereby and thereby, including the Merger </w:t>
      </w:r>
      <w:r>
        <w:rPr>
          <w:sz w:val="20"/>
          <w:szCs w:val="20"/>
        </w:rPr>
        <w:lastRenderedPageBreak/>
        <w:t>(collectively, the “</w:t>
      </w:r>
      <w:r>
        <w:rPr>
          <w:sz w:val="20"/>
          <w:szCs w:val="20"/>
          <w:u w:val="single"/>
        </w:rPr>
        <w:t>Transactions</w:t>
      </w:r>
      <w:r>
        <w:rPr>
          <w:sz w:val="20"/>
          <w:szCs w:val="20"/>
        </w:rPr>
        <w:t xml:space="preserve">”) are fair to, and in the best interests of, the Company and the </w:t>
      </w:r>
      <w:r>
        <w:rPr>
          <w:sz w:val="20"/>
          <w:szCs w:val="20"/>
        </w:rPr>
        <w:t>unaffiliated security holders (as such term is defined in Rule 13e-3 of the Exchange Act) and declared it advisable to enter into this Agreement and the Plan of Merger and consummate the Transactions, including the Merger, (b) adopted resolutions authorizi</w:t>
      </w:r>
      <w:r>
        <w:rPr>
          <w:sz w:val="20"/>
          <w:szCs w:val="20"/>
        </w:rPr>
        <w:t>ng and approving the execution, delivery and performance by the Company of this Agreement and the Plan of Merger and the consummation of the Transactions, including the Merger, upon the terms and subject to the conditions set forth herein, and (c) resolved</w:t>
      </w:r>
      <w:r>
        <w:rPr>
          <w:sz w:val="20"/>
          <w:szCs w:val="20"/>
        </w:rPr>
        <w:t xml:space="preserve"> to recommend that the shareholders of the Company approve this Agreement, the Plan of Merger and the consummation of the Transactions, including the Merger, at the Shareholders’ Meeting;</w:t>
      </w:r>
    </w:p>
    <w:p w14:paraId="3484D374"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66B0C96D" w14:textId="77777777" w:rsidR="00000000" w:rsidRDefault="002F725F">
      <w:pPr>
        <w:pStyle w:val="NormalWeb"/>
        <w:spacing w:before="0" w:beforeAutospacing="0" w:after="0" w:afterAutospacing="0"/>
        <w:ind w:left="1440"/>
        <w:jc w:val="both"/>
        <w:divId w:val="415980837"/>
        <w:rPr>
          <w:sz w:val="20"/>
          <w:szCs w:val="20"/>
        </w:rPr>
      </w:pPr>
      <w:r>
        <w:rPr>
          <w:sz w:val="20"/>
          <w:szCs w:val="20"/>
        </w:rPr>
        <w:t>WHEREAS, as of the date of the Amendment No. 1, the respective board of directors of Parent (on behalf of Parent itself and as the sole shareholder of Merger Sub) and Merger Sub has each unanimously (a) determined that the terms of this Agreement, the Plan</w:t>
      </w:r>
      <w:r>
        <w:rPr>
          <w:sz w:val="20"/>
          <w:szCs w:val="20"/>
        </w:rPr>
        <w:t xml:space="preserve"> of Merger and the consummation of the Transactions, including the Merger, are advisable and in the best interests of Parent and Merger Sub, respectively, and their respective shareholders, and (b) authorized and approved the execution, delivery and perfor</w:t>
      </w:r>
      <w:r>
        <w:rPr>
          <w:sz w:val="20"/>
          <w:szCs w:val="20"/>
        </w:rPr>
        <w:t>mance by Parent and Merger Sub, as the case may be, of this Agreement and the Plan of Merger and the consummation of the Transactions, including the Merger, upon the terms and subject to the conditions set forth herein; and</w:t>
      </w:r>
    </w:p>
    <w:p w14:paraId="272C54F5"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6AC4063B" w14:textId="77777777" w:rsidR="00000000" w:rsidRDefault="002F725F">
      <w:pPr>
        <w:pStyle w:val="NormalWeb"/>
        <w:spacing w:before="0" w:beforeAutospacing="0" w:after="0" w:afterAutospacing="0"/>
        <w:ind w:left="1440"/>
        <w:jc w:val="both"/>
        <w:divId w:val="415980837"/>
        <w:rPr>
          <w:sz w:val="20"/>
          <w:szCs w:val="20"/>
        </w:rPr>
      </w:pPr>
      <w:r>
        <w:rPr>
          <w:sz w:val="20"/>
          <w:szCs w:val="20"/>
        </w:rPr>
        <w:t>WHEREAS, as a condition and in</w:t>
      </w:r>
      <w:r>
        <w:rPr>
          <w:sz w:val="20"/>
          <w:szCs w:val="20"/>
        </w:rPr>
        <w:t>ducement to Parent’s, Merger Sub’s and the Company’s willingness to enter into this Agreement, the Rollover Shareholders and Parent have entered into a rollover and support agreement, dated November 4, 2025, which was amended and restated in its entirety b</w:t>
      </w:r>
      <w:r>
        <w:rPr>
          <w:sz w:val="20"/>
          <w:szCs w:val="20"/>
        </w:rPr>
        <w:t>y that certain amended and restated rollover and support agreement, dated April 29, 2026 (the “</w:t>
      </w:r>
      <w:r>
        <w:rPr>
          <w:sz w:val="20"/>
          <w:szCs w:val="20"/>
          <w:u w:val="single"/>
        </w:rPr>
        <w:t>Support Agreement</w:t>
      </w:r>
      <w:r>
        <w:rPr>
          <w:sz w:val="20"/>
          <w:szCs w:val="20"/>
        </w:rPr>
        <w:t>”), pursuant to which each of such Rollover Shareholders has irrevocably agreed, among other things, (a) to vote any Shares Beneficially Owned b</w:t>
      </w:r>
      <w:r>
        <w:rPr>
          <w:sz w:val="20"/>
          <w:szCs w:val="20"/>
        </w:rPr>
        <w:t>y each of them in favor of the approval and adoption of this Agreement, the Plan of Merger and the consummation of the Transactions, including the Merger, and (b) subject to the terms and conditions of the Support Agreement, (A) to subscribe for or otherwi</w:t>
      </w:r>
      <w:r>
        <w:rPr>
          <w:sz w:val="20"/>
          <w:szCs w:val="20"/>
        </w:rPr>
        <w:t>se receive newly issued Parent Shares at or immediately prior to the Effective Time and (B) to receive no consideration for the cancellation of the Rollover Shares in accordance with this Agreement.</w:t>
      </w:r>
    </w:p>
    <w:p w14:paraId="7D2FED5B"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32B1B9CA" w14:textId="77777777" w:rsidR="00000000" w:rsidRDefault="002F725F">
      <w:pPr>
        <w:pStyle w:val="NormalWeb"/>
        <w:spacing w:before="0" w:beforeAutospacing="0" w:after="0" w:afterAutospacing="0"/>
        <w:ind w:left="1440"/>
        <w:jc w:val="both"/>
        <w:divId w:val="415980837"/>
        <w:rPr>
          <w:sz w:val="20"/>
          <w:szCs w:val="20"/>
        </w:rPr>
      </w:pPr>
      <w:r>
        <w:rPr>
          <w:sz w:val="20"/>
          <w:szCs w:val="20"/>
        </w:rPr>
        <w:t>WHEREAS, as a condition and inducement to the Company’s</w:t>
      </w:r>
      <w:r>
        <w:rPr>
          <w:sz w:val="20"/>
          <w:szCs w:val="20"/>
        </w:rPr>
        <w:t xml:space="preserve"> willingness to enter into this Agreement, the Guarantor has executed and delivered a limited guarantee in favor of the Company, dated November 4, 2025, which was amended and restated in its entirety by that certain amended and restated limited guarantee, </w:t>
      </w:r>
      <w:r>
        <w:rPr>
          <w:sz w:val="20"/>
          <w:szCs w:val="20"/>
        </w:rPr>
        <w:t>dated April 29, 2026, to guarantee the due and punctual performance and discharge of certain payment obligations of Parent under this Agreement (the “</w:t>
      </w:r>
      <w:r>
        <w:rPr>
          <w:sz w:val="20"/>
          <w:szCs w:val="20"/>
          <w:u w:val="single"/>
        </w:rPr>
        <w:t>Limited Guarantee</w:t>
      </w:r>
      <w:r>
        <w:rPr>
          <w:sz w:val="20"/>
          <w:szCs w:val="20"/>
        </w:rPr>
        <w:t>”).”</w:t>
      </w:r>
    </w:p>
    <w:p w14:paraId="67314C6D"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694DEDD4"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2.2 </w:t>
      </w:r>
      <w:r>
        <w:rPr>
          <w:sz w:val="20"/>
          <w:szCs w:val="20"/>
          <w:u w:val="single"/>
        </w:rPr>
        <w:t>Amendment to Section 1.1</w:t>
      </w:r>
      <w:r>
        <w:rPr>
          <w:sz w:val="20"/>
          <w:szCs w:val="20"/>
        </w:rPr>
        <w:t>.</w:t>
      </w:r>
    </w:p>
    <w:p w14:paraId="6DA9BDFF"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3EAD3A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(a) The definition of “Agreement” in </w:t>
      </w:r>
      <w:r>
        <w:rPr>
          <w:sz w:val="20"/>
          <w:szCs w:val="20"/>
          <w:u w:val="single"/>
        </w:rPr>
        <w:t>Secti</w:t>
      </w:r>
      <w:r>
        <w:rPr>
          <w:sz w:val="20"/>
          <w:szCs w:val="20"/>
          <w:u w:val="single"/>
        </w:rPr>
        <w:t>on 1.1</w:t>
      </w:r>
      <w:r>
        <w:rPr>
          <w:sz w:val="20"/>
          <w:szCs w:val="20"/>
        </w:rPr>
        <w:t xml:space="preserve"> (</w:t>
      </w:r>
      <w:r>
        <w:rPr>
          <w:i/>
          <w:iCs/>
          <w:sz w:val="20"/>
          <w:szCs w:val="20"/>
        </w:rPr>
        <w:t>Definitions</w:t>
      </w:r>
      <w:r>
        <w:rPr>
          <w:sz w:val="20"/>
          <w:szCs w:val="20"/>
        </w:rPr>
        <w:t>) of the Agreement is hereby amended and restated in its entirety to read as follows:</w:t>
      </w:r>
    </w:p>
    <w:p w14:paraId="02C581DD"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6E139B80" w14:textId="77777777" w:rsidR="00000000" w:rsidRDefault="002F725F">
      <w:pPr>
        <w:pStyle w:val="NormalWeb"/>
        <w:spacing w:before="0" w:beforeAutospacing="0" w:after="0" w:afterAutospacing="0"/>
        <w:ind w:left="1440"/>
        <w:jc w:val="both"/>
        <w:divId w:val="415980837"/>
        <w:rPr>
          <w:sz w:val="20"/>
          <w:szCs w:val="20"/>
        </w:rPr>
      </w:pPr>
      <w:r>
        <w:rPr>
          <w:sz w:val="20"/>
          <w:szCs w:val="20"/>
        </w:rPr>
        <w:t>“</w:t>
      </w:r>
      <w:r>
        <w:rPr>
          <w:sz w:val="20"/>
          <w:szCs w:val="20"/>
          <w:u w:val="single"/>
        </w:rPr>
        <w:t>Agreement</w:t>
      </w:r>
      <w:r>
        <w:rPr>
          <w:sz w:val="20"/>
          <w:szCs w:val="20"/>
        </w:rPr>
        <w:t>” means that certain Agreement and Plan of Merger dated November 4, 2025, as amended by the Amendment No. 1.</w:t>
      </w:r>
    </w:p>
    <w:p w14:paraId="014181C1"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491B8415" w14:textId="77777777" w:rsidR="00000000" w:rsidRDefault="002F725F">
      <w:pPr>
        <w:pStyle w:val="NormalWeb"/>
        <w:spacing w:before="0" w:beforeAutospacing="0" w:after="0" w:afterAutospacing="0"/>
        <w:jc w:val="center"/>
        <w:divId w:val="1822042883"/>
        <w:rPr>
          <w:sz w:val="20"/>
          <w:szCs w:val="20"/>
        </w:rPr>
      </w:pPr>
      <w:r>
        <w:rPr>
          <w:sz w:val="20"/>
          <w:szCs w:val="20"/>
        </w:rPr>
        <w:t>A</w:t>
      </w:r>
      <w:r>
        <w:rPr>
          <w:sz w:val="20"/>
          <w:szCs w:val="20"/>
        </w:rPr>
        <w:t>-</w:t>
      </w:r>
      <w:r>
        <w:rPr>
          <w:sz w:val="20"/>
          <w:szCs w:val="20"/>
        </w:rPr>
        <w:t>6</w:t>
      </w:r>
      <w:r>
        <w:rPr>
          <w:sz w:val="20"/>
          <w:szCs w:val="20"/>
        </w:rPr>
        <w:t>6</w:t>
      </w:r>
    </w:p>
    <w:p w14:paraId="3FA6F199" w14:textId="77777777" w:rsidR="00000000" w:rsidRDefault="002F725F">
      <w:pPr>
        <w:pStyle w:val="NormalWeb"/>
        <w:spacing w:before="0" w:beforeAutospacing="0" w:after="0" w:afterAutospacing="0"/>
        <w:divId w:val="851337125"/>
        <w:rPr>
          <w:sz w:val="20"/>
          <w:szCs w:val="20"/>
        </w:rPr>
      </w:pPr>
      <w:r>
        <w:rPr>
          <w:sz w:val="20"/>
          <w:szCs w:val="20"/>
        </w:rPr>
        <w:t> </w:t>
      </w:r>
    </w:p>
    <w:p w14:paraId="028F42F8"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4D08C30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(b) The following s</w:t>
      </w:r>
      <w:r>
        <w:rPr>
          <w:sz w:val="20"/>
          <w:szCs w:val="20"/>
        </w:rPr>
        <w:t xml:space="preserve">hall be added to </w:t>
      </w:r>
      <w:r>
        <w:rPr>
          <w:sz w:val="20"/>
          <w:szCs w:val="20"/>
          <w:u w:val="single"/>
        </w:rPr>
        <w:t>Section 1.1</w:t>
      </w:r>
      <w:r>
        <w:rPr>
          <w:sz w:val="20"/>
          <w:szCs w:val="20"/>
        </w:rPr>
        <w:t xml:space="preserve"> (</w:t>
      </w:r>
      <w:r>
        <w:rPr>
          <w:i/>
          <w:iCs/>
          <w:sz w:val="20"/>
          <w:szCs w:val="20"/>
        </w:rPr>
        <w:t>Definitions</w:t>
      </w:r>
      <w:r>
        <w:rPr>
          <w:sz w:val="20"/>
          <w:szCs w:val="20"/>
        </w:rPr>
        <w:t>) of the Agreement:</w:t>
      </w:r>
    </w:p>
    <w:p w14:paraId="642F3126"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017D5979" w14:textId="77777777" w:rsidR="00000000" w:rsidRDefault="002F725F">
      <w:pPr>
        <w:pStyle w:val="NormalWeb"/>
        <w:spacing w:before="0" w:beforeAutospacing="0" w:after="0" w:afterAutospacing="0"/>
        <w:ind w:left="1440"/>
        <w:jc w:val="both"/>
        <w:divId w:val="415980837"/>
        <w:rPr>
          <w:sz w:val="20"/>
          <w:szCs w:val="20"/>
        </w:rPr>
      </w:pPr>
      <w:r>
        <w:rPr>
          <w:sz w:val="20"/>
          <w:szCs w:val="20"/>
        </w:rPr>
        <w:t>“</w:t>
      </w:r>
      <w:r>
        <w:rPr>
          <w:sz w:val="20"/>
          <w:szCs w:val="20"/>
          <w:u w:val="single"/>
        </w:rPr>
        <w:t>Amendment No. 1</w:t>
      </w:r>
      <w:r>
        <w:rPr>
          <w:sz w:val="20"/>
          <w:szCs w:val="20"/>
        </w:rPr>
        <w:t>” means that certain Amendment No. </w:t>
      </w:r>
      <w:r>
        <w:rPr>
          <w:sz w:val="20"/>
          <w:szCs w:val="20"/>
        </w:rPr>
        <w:t>1 to Agreement and Plan of Merger dated April 29, 2026 entered into by and among Parent, Merger Sub and the Company.</w:t>
      </w:r>
    </w:p>
    <w:p w14:paraId="40DE2231" w14:textId="77777777" w:rsidR="00000000" w:rsidRDefault="002F725F">
      <w:pPr>
        <w:pStyle w:val="NormalWeb"/>
        <w:spacing w:before="0" w:beforeAutospacing="0" w:after="0" w:afterAutospacing="0"/>
        <w:ind w:left="1440"/>
        <w:jc w:val="both"/>
        <w:divId w:val="415980837"/>
        <w:rPr>
          <w:sz w:val="20"/>
          <w:szCs w:val="20"/>
        </w:rPr>
      </w:pPr>
      <w:r>
        <w:rPr>
          <w:sz w:val="20"/>
          <w:szCs w:val="20"/>
        </w:rPr>
        <w:lastRenderedPageBreak/>
        <w:t> </w:t>
      </w:r>
    </w:p>
    <w:p w14:paraId="24D2843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xml:space="preserve">(c) The definition of “Company Material Adverse Effect” in </w:t>
      </w:r>
      <w:r>
        <w:rPr>
          <w:sz w:val="20"/>
          <w:szCs w:val="20"/>
          <w:u w:val="single"/>
        </w:rPr>
        <w:t>Section 1.1</w:t>
      </w:r>
      <w:r>
        <w:rPr>
          <w:sz w:val="20"/>
          <w:szCs w:val="20"/>
        </w:rPr>
        <w:t xml:space="preserve"> (</w:t>
      </w:r>
      <w:r>
        <w:rPr>
          <w:i/>
          <w:iCs/>
          <w:sz w:val="20"/>
          <w:szCs w:val="20"/>
        </w:rPr>
        <w:t>Definitions</w:t>
      </w:r>
      <w:r>
        <w:rPr>
          <w:sz w:val="20"/>
          <w:szCs w:val="20"/>
        </w:rPr>
        <w:t>) of the Agreement is hereby amended by adding the fol</w:t>
      </w:r>
      <w:r>
        <w:rPr>
          <w:sz w:val="20"/>
          <w:szCs w:val="20"/>
        </w:rPr>
        <w:t>lowing sentence at the end thereof:</w:t>
      </w:r>
    </w:p>
    <w:p w14:paraId="3B275C85"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70151DAD" w14:textId="77777777" w:rsidR="00000000" w:rsidRDefault="002F725F">
      <w:pPr>
        <w:pStyle w:val="NormalWeb"/>
        <w:spacing w:before="0" w:beforeAutospacing="0" w:after="0" w:afterAutospacing="0"/>
        <w:ind w:left="1440"/>
        <w:jc w:val="both"/>
        <w:divId w:val="415980837"/>
        <w:rPr>
          <w:sz w:val="20"/>
          <w:szCs w:val="20"/>
        </w:rPr>
      </w:pPr>
      <w:r>
        <w:rPr>
          <w:sz w:val="20"/>
          <w:szCs w:val="20"/>
        </w:rPr>
        <w:t>“Notwithstanding anything to the contrary herein, the arbitral awards issued by the Kaifeng Arbitration Commission regarding three arbitration cases involving Liaoning Yisheng Biopharma Co., Ltd. and Beijing Yisheng Bi</w:t>
      </w:r>
      <w:r>
        <w:rPr>
          <w:sz w:val="20"/>
          <w:szCs w:val="20"/>
        </w:rPr>
        <w:t>otechnology Co., Ltd., received by the Company on January 21, 2026 and January 22, 2026, any Legal Proceeding seeking to enforce, recognize, challenge, vacate, modify, dispute, or otherwise give effect to such arbitral awards, and any liabilities, losses o</w:t>
      </w:r>
      <w:r>
        <w:rPr>
          <w:sz w:val="20"/>
          <w:szCs w:val="20"/>
        </w:rPr>
        <w:t>r damages incurred by the Company or any of its Subsidiaries therefrom, shall not, individually or in the aggregate, be deemed to constitute, result in, or give rise to a Company Material Adverse Effect.”</w:t>
      </w:r>
    </w:p>
    <w:p w14:paraId="75205AFF"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754FF13A"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(d) The definition of “</w:t>
      </w:r>
      <w:r>
        <w:rPr>
          <w:sz w:val="20"/>
          <w:szCs w:val="20"/>
        </w:rPr>
        <w:t xml:space="preserve">Equity Commitment Letter” in </w:t>
      </w:r>
      <w:r>
        <w:rPr>
          <w:sz w:val="20"/>
          <w:szCs w:val="20"/>
          <w:u w:val="single"/>
        </w:rPr>
        <w:t>Section 1.1</w:t>
      </w:r>
      <w:r>
        <w:rPr>
          <w:sz w:val="20"/>
          <w:szCs w:val="20"/>
        </w:rPr>
        <w:t xml:space="preserve"> (</w:t>
      </w:r>
      <w:r>
        <w:rPr>
          <w:i/>
          <w:iCs/>
          <w:sz w:val="20"/>
          <w:szCs w:val="20"/>
        </w:rPr>
        <w:t>Definitions</w:t>
      </w:r>
      <w:r>
        <w:rPr>
          <w:sz w:val="20"/>
          <w:szCs w:val="20"/>
        </w:rPr>
        <w:t>) of the Agreement is hereby amended and restated in its entirety to read as follows:</w:t>
      </w:r>
    </w:p>
    <w:p w14:paraId="16E6435F" w14:textId="77777777" w:rsidR="00000000" w:rsidRDefault="002F725F">
      <w:pPr>
        <w:pStyle w:val="NormalWeb"/>
        <w:spacing w:before="0" w:beforeAutospacing="0" w:after="0" w:afterAutospacing="0"/>
        <w:ind w:firstLine="1440"/>
        <w:jc w:val="both"/>
        <w:divId w:val="415980837"/>
        <w:rPr>
          <w:sz w:val="20"/>
          <w:szCs w:val="20"/>
        </w:rPr>
      </w:pPr>
      <w:r>
        <w:rPr>
          <w:sz w:val="20"/>
          <w:szCs w:val="20"/>
        </w:rPr>
        <w:t> </w:t>
      </w:r>
    </w:p>
    <w:p w14:paraId="1AB34C63" w14:textId="77777777" w:rsidR="00000000" w:rsidRDefault="002F725F">
      <w:pPr>
        <w:pStyle w:val="NormalWeb"/>
        <w:spacing w:before="0" w:beforeAutospacing="0" w:after="0" w:afterAutospacing="0"/>
        <w:ind w:left="1440"/>
        <w:jc w:val="both"/>
        <w:divId w:val="415980837"/>
        <w:rPr>
          <w:sz w:val="20"/>
          <w:szCs w:val="20"/>
        </w:rPr>
      </w:pPr>
      <w:r>
        <w:rPr>
          <w:sz w:val="20"/>
          <w:szCs w:val="20"/>
        </w:rPr>
        <w:t>“</w:t>
      </w:r>
      <w:r>
        <w:rPr>
          <w:sz w:val="20"/>
          <w:szCs w:val="20"/>
          <w:u w:val="single"/>
        </w:rPr>
        <w:t>Equity Commitment Letter</w:t>
      </w:r>
      <w:r>
        <w:rPr>
          <w:sz w:val="20"/>
          <w:szCs w:val="20"/>
        </w:rPr>
        <w:t>” means the equity commitment letter, dated November 4, 2025, which was amended and restat</w:t>
      </w:r>
      <w:r>
        <w:rPr>
          <w:sz w:val="20"/>
          <w:szCs w:val="20"/>
        </w:rPr>
        <w:t>ed in its entirety by that certain amended and restated equity commitment letter, dated April 29, 2026, to Parent from the Sponsor, pursuant to which the Sponsor has committed, subject to the terms and conditions set forth therein, to purchase or cause the</w:t>
      </w:r>
      <w:r>
        <w:rPr>
          <w:sz w:val="20"/>
          <w:szCs w:val="20"/>
        </w:rPr>
        <w:t xml:space="preserve"> purchase of the Equity Interests of Parent, for the cash amount set forth therein.</w:t>
      </w:r>
    </w:p>
    <w:p w14:paraId="6B862045"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1390DAA6" w14:textId="77777777" w:rsidR="00000000" w:rsidRDefault="002F725F">
      <w:pPr>
        <w:pStyle w:val="NormalWeb"/>
        <w:spacing w:before="0" w:beforeAutospacing="0" w:after="0" w:afterAutospacing="0"/>
        <w:jc w:val="both"/>
        <w:divId w:val="415980837"/>
        <w:rPr>
          <w:sz w:val="20"/>
          <w:szCs w:val="20"/>
        </w:rPr>
      </w:pPr>
      <w:r>
        <w:rPr>
          <w:sz w:val="20"/>
          <w:szCs w:val="20"/>
        </w:rPr>
        <w:t>Section 2.3 </w:t>
      </w:r>
      <w:r>
        <w:rPr>
          <w:sz w:val="20"/>
          <w:szCs w:val="20"/>
          <w:u w:val="single"/>
        </w:rPr>
        <w:t>Amendment to Section 1.2(a)</w:t>
      </w:r>
      <w:r>
        <w:rPr>
          <w:sz w:val="20"/>
          <w:szCs w:val="20"/>
        </w:rPr>
        <w:t xml:space="preserve">. </w:t>
      </w:r>
      <w:r>
        <w:rPr>
          <w:sz w:val="20"/>
          <w:szCs w:val="20"/>
          <w:u w:val="single"/>
        </w:rPr>
        <w:t>Section 1.2(a)</w:t>
      </w:r>
      <w:r>
        <w:rPr>
          <w:sz w:val="20"/>
          <w:szCs w:val="20"/>
        </w:rPr>
        <w:t xml:space="preserve"> of the Agreement is hereby amended by adding the following sentence at the end thereof:</w:t>
      </w:r>
    </w:p>
    <w:p w14:paraId="3720D53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1A080B1" w14:textId="77777777" w:rsidR="00000000" w:rsidRDefault="002F725F">
      <w:pPr>
        <w:pStyle w:val="NormalWeb"/>
        <w:spacing w:before="0" w:beforeAutospacing="0" w:after="0" w:afterAutospacing="0"/>
        <w:ind w:left="1440"/>
        <w:jc w:val="both"/>
        <w:divId w:val="415980837"/>
        <w:rPr>
          <w:sz w:val="20"/>
          <w:szCs w:val="20"/>
        </w:rPr>
      </w:pPr>
      <w:r>
        <w:rPr>
          <w:sz w:val="20"/>
          <w:szCs w:val="20"/>
        </w:rPr>
        <w:t>“For the avoidance of do</w:t>
      </w:r>
      <w:r>
        <w:rPr>
          <w:sz w:val="20"/>
          <w:szCs w:val="20"/>
        </w:rPr>
        <w:t>ubt, effective from the date of the Amendment No. 1, each reference to “this Agreement,” “hereof,” “herein,” “hereunder,” “hereby” and each other similar reference shall be construed to refer to this Agreement as amended by the Amendment No. 1. Notwithstan</w:t>
      </w:r>
      <w:r>
        <w:rPr>
          <w:sz w:val="20"/>
          <w:szCs w:val="20"/>
        </w:rPr>
        <w:t>ding the foregoing, references to “the date hereof,” “the date of this Agreement”, and other similar references shall in all instances continue to refer to November 4, 2025. References to “the date of the Amendment No. 1” and “as of the date of the Amendme</w:t>
      </w:r>
      <w:r>
        <w:rPr>
          <w:sz w:val="20"/>
          <w:szCs w:val="20"/>
        </w:rPr>
        <w:t>nt No. 1” shall refer to April 29, 2026.”</w:t>
      </w:r>
    </w:p>
    <w:p w14:paraId="0575B463"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0F95E248" w14:textId="77777777" w:rsidR="00000000" w:rsidRDefault="002F725F">
      <w:pPr>
        <w:pStyle w:val="NormalWeb"/>
        <w:spacing w:before="0" w:beforeAutospacing="0" w:after="0" w:afterAutospacing="0"/>
        <w:jc w:val="both"/>
        <w:divId w:val="415980837"/>
        <w:rPr>
          <w:sz w:val="20"/>
          <w:szCs w:val="20"/>
        </w:rPr>
      </w:pPr>
      <w:r>
        <w:rPr>
          <w:sz w:val="20"/>
          <w:szCs w:val="20"/>
        </w:rPr>
        <w:t>Section 2.4 </w:t>
      </w:r>
      <w:r>
        <w:rPr>
          <w:sz w:val="20"/>
          <w:szCs w:val="20"/>
          <w:u w:val="single"/>
        </w:rPr>
        <w:t>Amendment to Section 3.1(a)</w:t>
      </w:r>
      <w:r>
        <w:rPr>
          <w:sz w:val="20"/>
          <w:szCs w:val="20"/>
        </w:rPr>
        <w:t xml:space="preserve">. The reference to “US$0.90” in </w:t>
      </w:r>
      <w:r>
        <w:rPr>
          <w:sz w:val="20"/>
          <w:szCs w:val="20"/>
          <w:u w:val="single"/>
        </w:rPr>
        <w:t>Section 3.1(a)</w:t>
      </w:r>
      <w:r>
        <w:rPr>
          <w:sz w:val="20"/>
          <w:szCs w:val="20"/>
        </w:rPr>
        <w:t xml:space="preserve"> of the Agreement is hereby amended to “US$0.066”.</w:t>
      </w:r>
    </w:p>
    <w:p w14:paraId="0416987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1E4D40C" w14:textId="77777777" w:rsidR="00000000" w:rsidRDefault="002F725F">
      <w:pPr>
        <w:pStyle w:val="NormalWeb"/>
        <w:spacing w:before="0" w:beforeAutospacing="0" w:after="0" w:afterAutospacing="0"/>
        <w:jc w:val="center"/>
        <w:divId w:val="1492480014"/>
        <w:rPr>
          <w:sz w:val="20"/>
          <w:szCs w:val="20"/>
        </w:rPr>
      </w:pPr>
      <w:r>
        <w:rPr>
          <w:sz w:val="20"/>
          <w:szCs w:val="20"/>
        </w:rPr>
        <w:t>A</w:t>
      </w:r>
      <w:r>
        <w:rPr>
          <w:sz w:val="20"/>
          <w:szCs w:val="20"/>
        </w:rPr>
        <w:t>-</w:t>
      </w:r>
      <w:r>
        <w:rPr>
          <w:sz w:val="20"/>
          <w:szCs w:val="20"/>
        </w:rPr>
        <w:t>6</w:t>
      </w:r>
      <w:r>
        <w:rPr>
          <w:sz w:val="20"/>
          <w:szCs w:val="20"/>
        </w:rPr>
        <w:t>7</w:t>
      </w:r>
    </w:p>
    <w:p w14:paraId="72A7BE2F" w14:textId="77777777" w:rsidR="00000000" w:rsidRDefault="002F725F">
      <w:pPr>
        <w:pStyle w:val="NormalWeb"/>
        <w:spacing w:before="0" w:beforeAutospacing="0" w:after="0" w:afterAutospacing="0"/>
        <w:divId w:val="1893879014"/>
        <w:rPr>
          <w:sz w:val="20"/>
          <w:szCs w:val="20"/>
        </w:rPr>
      </w:pPr>
      <w:r>
        <w:rPr>
          <w:sz w:val="20"/>
          <w:szCs w:val="20"/>
        </w:rPr>
        <w:t> </w:t>
      </w:r>
    </w:p>
    <w:p w14:paraId="2837FDCC"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0710442B" w14:textId="77777777" w:rsidR="00000000" w:rsidRDefault="002F725F">
      <w:pPr>
        <w:pStyle w:val="NormalWeb"/>
        <w:spacing w:before="0" w:beforeAutospacing="0" w:after="0" w:afterAutospacing="0"/>
        <w:jc w:val="both"/>
        <w:divId w:val="415980837"/>
        <w:rPr>
          <w:sz w:val="20"/>
          <w:szCs w:val="20"/>
        </w:rPr>
      </w:pPr>
      <w:r>
        <w:rPr>
          <w:sz w:val="20"/>
          <w:szCs w:val="20"/>
        </w:rPr>
        <w:t>Section 2.5 </w:t>
      </w:r>
      <w:r>
        <w:rPr>
          <w:sz w:val="20"/>
          <w:szCs w:val="20"/>
          <w:u w:val="single"/>
        </w:rPr>
        <w:t>Amendment to Section 4.4 (b)</w:t>
      </w:r>
      <w:r>
        <w:rPr>
          <w:sz w:val="20"/>
          <w:szCs w:val="20"/>
        </w:rPr>
        <w:t xml:space="preserve">. </w:t>
      </w:r>
      <w:r>
        <w:rPr>
          <w:sz w:val="20"/>
          <w:szCs w:val="20"/>
          <w:u w:val="single"/>
        </w:rPr>
        <w:t>Section 4.4(b)</w:t>
      </w:r>
      <w:r>
        <w:rPr>
          <w:sz w:val="20"/>
          <w:szCs w:val="20"/>
        </w:rPr>
        <w:t xml:space="preserve"> of the A</w:t>
      </w:r>
      <w:r>
        <w:rPr>
          <w:sz w:val="20"/>
          <w:szCs w:val="20"/>
        </w:rPr>
        <w:t>greement is hereby amended and restated in its entirety to read as follows:</w:t>
      </w:r>
    </w:p>
    <w:p w14:paraId="1613DCEC"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130EFF29" w14:textId="77777777" w:rsidR="00000000" w:rsidRDefault="002F725F">
      <w:pPr>
        <w:pStyle w:val="NormalWeb"/>
        <w:spacing w:before="0" w:beforeAutospacing="0" w:after="0" w:afterAutospacing="0"/>
        <w:ind w:left="1440"/>
        <w:jc w:val="both"/>
        <w:divId w:val="415980837"/>
        <w:rPr>
          <w:sz w:val="20"/>
          <w:szCs w:val="20"/>
        </w:rPr>
      </w:pPr>
      <w:r>
        <w:rPr>
          <w:sz w:val="20"/>
          <w:szCs w:val="20"/>
        </w:rPr>
        <w:t>“(b) The Special Committee is composed of three (3) members of the Board, each of whom is not affiliated with Parent or Merger Sub and is not a member of the Company’s management</w:t>
      </w:r>
      <w:r>
        <w:rPr>
          <w:sz w:val="20"/>
          <w:szCs w:val="20"/>
        </w:rPr>
        <w:t xml:space="preserve"> and qualifies as an “independent director” (as such term is defined in Rule 10A-3 under the Exchange Act). As of the date of the Amendment No. 1, the Board, acting upon the unanimous recommendation of the Special Committee, by resolutions duly adopted by </w:t>
      </w:r>
      <w:r>
        <w:rPr>
          <w:sz w:val="20"/>
          <w:szCs w:val="20"/>
        </w:rPr>
        <w:t>vote of those directors voting at a meeting duly called and held, has (i) determined that the terms of the Transactions are fair to, and in the best interests of, the Company and its shareholders (other than the holders of Excluded Shares); (ii) determined</w:t>
      </w:r>
      <w:r>
        <w:rPr>
          <w:sz w:val="20"/>
          <w:szCs w:val="20"/>
        </w:rPr>
        <w:t xml:space="preserve"> that the Merger is in the best interests of the Company and the unaffiliated security holders (as such term is defined in Rule 13e-3 of the Exchange Act), and declared that it is advisable for the Company to enter into this Agreement with Parent and Merge</w:t>
      </w:r>
      <w:r>
        <w:rPr>
          <w:sz w:val="20"/>
          <w:szCs w:val="20"/>
        </w:rPr>
        <w:t>r Sub and the Plan of Merger; (iii) authorized and approved the execution, delivery and performance by the Company of this Agreement and the Plan of Merger and the consummation of the Transactions upon the terms and subject to the conditions set forth here</w:t>
      </w:r>
      <w:r>
        <w:rPr>
          <w:sz w:val="20"/>
          <w:szCs w:val="20"/>
        </w:rPr>
        <w:t xml:space="preserve">in; and (iv) subject to the </w:t>
      </w:r>
      <w:r>
        <w:rPr>
          <w:sz w:val="20"/>
          <w:szCs w:val="20"/>
        </w:rPr>
        <w:lastRenderedPageBreak/>
        <w:t>terms of this Agreement (including Section 6.2), resolved to recommend the authorization and approval of this Agreement, the Plan of Merger and the consummation of the Transactions, including the Merger, to the holders of Shares</w:t>
      </w:r>
      <w:r>
        <w:rPr>
          <w:sz w:val="20"/>
          <w:szCs w:val="20"/>
        </w:rPr>
        <w:t xml:space="preserve"> (the “</w:t>
      </w:r>
      <w:r>
        <w:rPr>
          <w:sz w:val="20"/>
          <w:szCs w:val="20"/>
          <w:u w:val="single"/>
        </w:rPr>
        <w:t>Company Recommendation</w:t>
      </w:r>
      <w:r>
        <w:rPr>
          <w:sz w:val="20"/>
          <w:szCs w:val="20"/>
        </w:rPr>
        <w:t>”).”</w:t>
      </w:r>
    </w:p>
    <w:p w14:paraId="415F8EED"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09FAFB6F" w14:textId="77777777" w:rsidR="00000000" w:rsidRDefault="002F725F">
      <w:pPr>
        <w:pStyle w:val="NormalWeb"/>
        <w:spacing w:before="0" w:beforeAutospacing="0" w:after="0" w:afterAutospacing="0"/>
        <w:jc w:val="both"/>
        <w:divId w:val="415980837"/>
        <w:rPr>
          <w:sz w:val="20"/>
          <w:szCs w:val="20"/>
        </w:rPr>
      </w:pPr>
      <w:r>
        <w:rPr>
          <w:sz w:val="20"/>
          <w:szCs w:val="20"/>
        </w:rPr>
        <w:t>Section 2.6 </w:t>
      </w:r>
      <w:r>
        <w:rPr>
          <w:sz w:val="20"/>
          <w:szCs w:val="20"/>
          <w:u w:val="single"/>
        </w:rPr>
        <w:t>Amendment to Section 4.4(c)</w:t>
      </w:r>
      <w:r>
        <w:rPr>
          <w:sz w:val="20"/>
          <w:szCs w:val="20"/>
        </w:rPr>
        <w:t xml:space="preserve">. </w:t>
      </w:r>
      <w:r>
        <w:rPr>
          <w:sz w:val="20"/>
          <w:szCs w:val="20"/>
          <w:u w:val="single"/>
        </w:rPr>
        <w:t>Section 4.4(c)</w:t>
      </w:r>
      <w:r>
        <w:rPr>
          <w:sz w:val="20"/>
          <w:szCs w:val="20"/>
        </w:rPr>
        <w:t xml:space="preserve"> of the Agreement is hereby amended and restated in its entirety to read as follows:</w:t>
      </w:r>
    </w:p>
    <w:p w14:paraId="7C8C82E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587A161" w14:textId="77777777" w:rsidR="00000000" w:rsidRDefault="002F725F">
      <w:pPr>
        <w:pStyle w:val="NormalWeb"/>
        <w:spacing w:before="0" w:beforeAutospacing="0" w:after="0" w:afterAutospacing="0"/>
        <w:ind w:left="1440"/>
        <w:jc w:val="both"/>
        <w:divId w:val="415980837"/>
        <w:rPr>
          <w:sz w:val="20"/>
          <w:szCs w:val="20"/>
        </w:rPr>
      </w:pPr>
      <w:r>
        <w:rPr>
          <w:sz w:val="20"/>
          <w:szCs w:val="20"/>
        </w:rPr>
        <w:t>“(c) As of the date of the Amendment No. 1, the Special Committee has received</w:t>
      </w:r>
      <w:r>
        <w:rPr>
          <w:sz w:val="20"/>
          <w:szCs w:val="20"/>
        </w:rPr>
        <w:t xml:space="preserve"> the written opinion of Kroll, LLC, operating through its Duff &amp; Phelps Opinions Practice as an independent financial advisor to the Special Committee (the “</w:t>
      </w:r>
      <w:r>
        <w:rPr>
          <w:sz w:val="20"/>
          <w:szCs w:val="20"/>
          <w:u w:val="single"/>
        </w:rPr>
        <w:t>Financial Advisor</w:t>
      </w:r>
      <w:r>
        <w:rPr>
          <w:sz w:val="20"/>
          <w:szCs w:val="20"/>
        </w:rPr>
        <w:t xml:space="preserve">”), to the effect that, as of the date of such opinion and based upon and subject </w:t>
      </w:r>
      <w:r>
        <w:rPr>
          <w:sz w:val="20"/>
          <w:szCs w:val="20"/>
        </w:rPr>
        <w:t>to the assumptions, limitations and qualifications set forth in such opinion, the Per Share Merger Consideration (which, for the avoidance of doubt, shall refer to such term as amended by the Amendment No. 1) to be received by holders of Shares (other than</w:t>
      </w:r>
      <w:r>
        <w:rPr>
          <w:sz w:val="20"/>
          <w:szCs w:val="20"/>
        </w:rPr>
        <w:t xml:space="preserve"> the Excluded Shares and Dissenting Shares) is fair, from a financial point of view, to such holders, a copy of which opinion will be delivered to Parent promptly after the execution of the Amendment No. 1 for informational purposes only. It is agreed and </w:t>
      </w:r>
      <w:r>
        <w:rPr>
          <w:sz w:val="20"/>
          <w:szCs w:val="20"/>
        </w:rPr>
        <w:t>understood that such opinion may not be relied on by Parent or Merger Sub. The Financial Advisor has consented to the inclusion of a copy of such opinion in the Proxy Statement and Schedule 13E-3.”</w:t>
      </w:r>
    </w:p>
    <w:p w14:paraId="2F46D3A4"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4B320668" w14:textId="77777777" w:rsidR="00000000" w:rsidRDefault="002F725F">
      <w:pPr>
        <w:pStyle w:val="NormalWeb"/>
        <w:spacing w:before="0" w:beforeAutospacing="0" w:after="0" w:afterAutospacing="0"/>
        <w:jc w:val="both"/>
        <w:divId w:val="415980837"/>
        <w:rPr>
          <w:sz w:val="20"/>
          <w:szCs w:val="20"/>
        </w:rPr>
      </w:pPr>
      <w:r>
        <w:rPr>
          <w:sz w:val="20"/>
          <w:szCs w:val="20"/>
        </w:rPr>
        <w:t>Section 2.7 </w:t>
      </w:r>
      <w:r>
        <w:rPr>
          <w:sz w:val="20"/>
          <w:szCs w:val="20"/>
          <w:u w:val="single"/>
        </w:rPr>
        <w:t xml:space="preserve">Amendment </w:t>
      </w:r>
      <w:r>
        <w:rPr>
          <w:sz w:val="20"/>
          <w:szCs w:val="20"/>
          <w:u w:val="single"/>
        </w:rPr>
        <w:t>to Sections 5.8, 5.9 and 5.12</w:t>
      </w:r>
      <w:r>
        <w:rPr>
          <w:sz w:val="20"/>
          <w:szCs w:val="20"/>
        </w:rPr>
        <w:t>. The representations and warranties set forth in Sections 5.8, 5.9 and 5.12 of the Agreement shall be deemed to be given by Parent and Merger Sub to the Company solely with respect to the Buyer Group Contracts, the Limited Gua</w:t>
      </w:r>
      <w:r>
        <w:rPr>
          <w:sz w:val="20"/>
          <w:szCs w:val="20"/>
        </w:rPr>
        <w:t>rantee and the Equity Commitment Letter as of the date of the Amendment No. 1.</w:t>
      </w:r>
    </w:p>
    <w:p w14:paraId="592C96B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E9F3A55"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2.8 </w:t>
      </w:r>
      <w:r>
        <w:rPr>
          <w:sz w:val="20"/>
          <w:szCs w:val="20"/>
          <w:u w:val="single"/>
        </w:rPr>
        <w:t>Amendment to Section 7.1</w:t>
      </w:r>
      <w:r>
        <w:rPr>
          <w:sz w:val="20"/>
          <w:szCs w:val="20"/>
        </w:rPr>
        <w:t>. Section 7.1 of the Agreement is hereby amended by adding the following paragraph at the end thereof:</w:t>
      </w:r>
    </w:p>
    <w:p w14:paraId="5D8DA3C5"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DD0B50E" w14:textId="77777777" w:rsidR="00000000" w:rsidRDefault="002F725F">
      <w:pPr>
        <w:pStyle w:val="NormalWeb"/>
        <w:spacing w:before="0" w:beforeAutospacing="0" w:after="0" w:afterAutospacing="0"/>
        <w:ind w:left="1440"/>
        <w:jc w:val="both"/>
        <w:divId w:val="415980837"/>
        <w:rPr>
          <w:sz w:val="20"/>
          <w:szCs w:val="20"/>
        </w:rPr>
      </w:pPr>
      <w:r>
        <w:rPr>
          <w:sz w:val="20"/>
          <w:szCs w:val="20"/>
        </w:rPr>
        <w:t>“The Parties shall supplement or a</w:t>
      </w:r>
      <w:r>
        <w:rPr>
          <w:sz w:val="20"/>
          <w:szCs w:val="20"/>
        </w:rPr>
        <w:t>mend, as applicable, the Proxy Statement and the Schedule 13E-3 to reflect the amendments contemplated by the Amendment No. 1, including the revised Per Share Merger Consideration, the updated Company Recommendation and the updated opinion from the Financi</w:t>
      </w:r>
      <w:r>
        <w:rPr>
          <w:sz w:val="20"/>
          <w:szCs w:val="20"/>
        </w:rPr>
        <w:t xml:space="preserve">al Advisor. The obligations of the Parties set forth in this </w:t>
      </w:r>
      <w:r>
        <w:rPr>
          <w:sz w:val="20"/>
          <w:szCs w:val="20"/>
          <w:u w:val="single"/>
        </w:rPr>
        <w:t>Section 7.1</w:t>
      </w:r>
      <w:r>
        <w:rPr>
          <w:sz w:val="20"/>
          <w:szCs w:val="20"/>
        </w:rPr>
        <w:t xml:space="preserve"> shall apply </w:t>
      </w:r>
      <w:r>
        <w:rPr>
          <w:i/>
          <w:iCs/>
          <w:sz w:val="20"/>
          <w:szCs w:val="20"/>
        </w:rPr>
        <w:t>mutatis mutandis</w:t>
      </w:r>
      <w:r>
        <w:rPr>
          <w:sz w:val="20"/>
          <w:szCs w:val="20"/>
        </w:rPr>
        <w:t xml:space="preserve"> to the preparation, filing and distribution of any such supplement or amendment to the Proxy Statement and the Schedule 13E-3.”</w:t>
      </w:r>
    </w:p>
    <w:p w14:paraId="6ABE908E"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2BBC99D0" w14:textId="77777777" w:rsidR="00000000" w:rsidRDefault="002F725F">
      <w:pPr>
        <w:pStyle w:val="NormalWeb"/>
        <w:spacing w:before="0" w:beforeAutospacing="0" w:after="0" w:afterAutospacing="0"/>
        <w:jc w:val="center"/>
        <w:divId w:val="1156532021"/>
        <w:rPr>
          <w:sz w:val="20"/>
          <w:szCs w:val="20"/>
        </w:rPr>
      </w:pPr>
      <w:r>
        <w:rPr>
          <w:sz w:val="20"/>
          <w:szCs w:val="20"/>
        </w:rPr>
        <w:t>A</w:t>
      </w:r>
      <w:r>
        <w:rPr>
          <w:sz w:val="20"/>
          <w:szCs w:val="20"/>
        </w:rPr>
        <w:t>-</w:t>
      </w:r>
      <w:r>
        <w:rPr>
          <w:sz w:val="20"/>
          <w:szCs w:val="20"/>
        </w:rPr>
        <w:t>6</w:t>
      </w:r>
      <w:r>
        <w:rPr>
          <w:sz w:val="20"/>
          <w:szCs w:val="20"/>
        </w:rPr>
        <w:t>8</w:t>
      </w:r>
    </w:p>
    <w:p w14:paraId="7D658E8F" w14:textId="77777777" w:rsidR="00000000" w:rsidRDefault="002F725F">
      <w:pPr>
        <w:pStyle w:val="NormalWeb"/>
        <w:spacing w:before="0" w:beforeAutospacing="0" w:after="0" w:afterAutospacing="0"/>
        <w:divId w:val="1821194964"/>
        <w:rPr>
          <w:sz w:val="20"/>
          <w:szCs w:val="20"/>
        </w:rPr>
      </w:pPr>
      <w:r>
        <w:rPr>
          <w:sz w:val="20"/>
          <w:szCs w:val="20"/>
        </w:rPr>
        <w:t> </w:t>
      </w:r>
    </w:p>
    <w:p w14:paraId="3C1B0786" w14:textId="77777777" w:rsidR="00000000" w:rsidRDefault="002F725F">
      <w:pPr>
        <w:pStyle w:val="NormalWeb"/>
        <w:spacing w:before="0" w:beforeAutospacing="0" w:after="0" w:afterAutospacing="0"/>
        <w:ind w:left="1440"/>
        <w:jc w:val="both"/>
        <w:divId w:val="415980837"/>
        <w:rPr>
          <w:sz w:val="20"/>
          <w:szCs w:val="20"/>
        </w:rPr>
      </w:pPr>
      <w:r>
        <w:rPr>
          <w:sz w:val="20"/>
          <w:szCs w:val="20"/>
        </w:rPr>
        <w:t> </w:t>
      </w:r>
    </w:p>
    <w:p w14:paraId="73FC7804" w14:textId="77777777" w:rsidR="00000000" w:rsidRDefault="002F725F">
      <w:pPr>
        <w:pStyle w:val="NormalWeb"/>
        <w:spacing w:before="0" w:beforeAutospacing="0" w:after="0" w:afterAutospacing="0"/>
        <w:jc w:val="both"/>
        <w:divId w:val="415980837"/>
        <w:rPr>
          <w:sz w:val="20"/>
          <w:szCs w:val="20"/>
        </w:rPr>
      </w:pPr>
      <w:r>
        <w:rPr>
          <w:sz w:val="20"/>
          <w:szCs w:val="20"/>
        </w:rPr>
        <w:t>Section 2.9 </w:t>
      </w:r>
      <w:r>
        <w:rPr>
          <w:sz w:val="20"/>
          <w:szCs w:val="20"/>
          <w:u w:val="single"/>
        </w:rPr>
        <w:t>Ame</w:t>
      </w:r>
      <w:r>
        <w:rPr>
          <w:sz w:val="20"/>
          <w:szCs w:val="20"/>
          <w:u w:val="single"/>
        </w:rPr>
        <w:t>ndment to Section 9.1(b)(3)</w:t>
      </w:r>
      <w:r>
        <w:rPr>
          <w:sz w:val="20"/>
          <w:szCs w:val="20"/>
        </w:rPr>
        <w:t xml:space="preserve">. The reference to “nine (9) months from the date of this Agreement” in </w:t>
      </w:r>
      <w:r>
        <w:rPr>
          <w:sz w:val="20"/>
          <w:szCs w:val="20"/>
          <w:u w:val="single"/>
        </w:rPr>
        <w:t>Section 9.1(b)(3)</w:t>
      </w:r>
      <w:r>
        <w:rPr>
          <w:sz w:val="20"/>
          <w:szCs w:val="20"/>
        </w:rPr>
        <w:t> of the Agreement is hereby amended to “nine (9) months from the date of the Amendment No. 1”.</w:t>
      </w:r>
    </w:p>
    <w:p w14:paraId="3795379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281E1A2" w14:textId="77777777" w:rsidR="00000000" w:rsidRDefault="002F725F">
      <w:pPr>
        <w:pStyle w:val="NormalWeb"/>
        <w:spacing w:before="0" w:beforeAutospacing="0" w:after="0" w:afterAutospacing="0"/>
        <w:jc w:val="both"/>
        <w:divId w:val="415980837"/>
        <w:rPr>
          <w:sz w:val="20"/>
          <w:szCs w:val="20"/>
        </w:rPr>
      </w:pPr>
      <w:r>
        <w:rPr>
          <w:sz w:val="20"/>
          <w:szCs w:val="20"/>
        </w:rPr>
        <w:t>Section 2.10 </w:t>
      </w:r>
      <w:r>
        <w:rPr>
          <w:sz w:val="20"/>
          <w:szCs w:val="20"/>
          <w:u w:val="single"/>
        </w:rPr>
        <w:t>Amendment to Section 9.3</w:t>
      </w:r>
      <w:r>
        <w:rPr>
          <w:sz w:val="20"/>
          <w:szCs w:val="20"/>
        </w:rPr>
        <w:t xml:space="preserve">. The </w:t>
      </w:r>
      <w:r>
        <w:rPr>
          <w:sz w:val="20"/>
          <w:szCs w:val="20"/>
        </w:rPr>
        <w:t xml:space="preserve">reference to “US$550,000” in </w:t>
      </w:r>
      <w:r>
        <w:rPr>
          <w:sz w:val="20"/>
          <w:szCs w:val="20"/>
          <w:u w:val="single"/>
        </w:rPr>
        <w:t>Section 9.3(a)</w:t>
      </w:r>
      <w:r>
        <w:rPr>
          <w:sz w:val="20"/>
          <w:szCs w:val="20"/>
        </w:rPr>
        <w:t xml:space="preserve"> of the Agreement is hereby amended to “US$50,000”. The reference to “US$1,100,000” in </w:t>
      </w:r>
      <w:r>
        <w:rPr>
          <w:sz w:val="20"/>
          <w:szCs w:val="20"/>
          <w:u w:val="single"/>
        </w:rPr>
        <w:t>Section 9.3(b)</w:t>
      </w:r>
      <w:r>
        <w:rPr>
          <w:sz w:val="20"/>
          <w:szCs w:val="20"/>
        </w:rPr>
        <w:t> of the Agreement is hereby amended to “US$100,000”.</w:t>
      </w:r>
    </w:p>
    <w:p w14:paraId="7BB9FEE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97407D5"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Article III</w:t>
      </w:r>
      <w:r>
        <w:rPr>
          <w:b/>
          <w:bCs/>
          <w:caps/>
          <w:sz w:val="20"/>
          <w:szCs w:val="20"/>
        </w:rPr>
        <w:br/>
        <w:t>Miscellaneous</w:t>
      </w:r>
    </w:p>
    <w:p w14:paraId="635D473A" w14:textId="77777777" w:rsidR="00000000" w:rsidRDefault="002F725F">
      <w:pPr>
        <w:pStyle w:val="NormalWeb"/>
        <w:spacing w:before="0" w:beforeAutospacing="0" w:after="0" w:afterAutospacing="0"/>
        <w:jc w:val="center"/>
        <w:divId w:val="415980837"/>
        <w:rPr>
          <w:b/>
          <w:bCs/>
          <w:caps/>
          <w:sz w:val="20"/>
          <w:szCs w:val="20"/>
        </w:rPr>
      </w:pPr>
      <w:r>
        <w:rPr>
          <w:b/>
          <w:bCs/>
          <w:caps/>
          <w:sz w:val="20"/>
          <w:szCs w:val="20"/>
        </w:rPr>
        <w:t> </w:t>
      </w:r>
    </w:p>
    <w:p w14:paraId="0C82558A" w14:textId="77777777" w:rsidR="00000000" w:rsidRDefault="002F725F">
      <w:pPr>
        <w:pStyle w:val="NormalWeb"/>
        <w:spacing w:before="0" w:beforeAutospacing="0" w:after="0" w:afterAutospacing="0"/>
        <w:jc w:val="both"/>
        <w:divId w:val="415980837"/>
        <w:rPr>
          <w:sz w:val="20"/>
          <w:szCs w:val="20"/>
        </w:rPr>
      </w:pPr>
      <w:r>
        <w:rPr>
          <w:sz w:val="20"/>
          <w:szCs w:val="20"/>
        </w:rPr>
        <w:t>Section 3.1 </w:t>
      </w:r>
      <w:r>
        <w:rPr>
          <w:sz w:val="20"/>
          <w:szCs w:val="20"/>
          <w:u w:val="single"/>
        </w:rPr>
        <w:t>No Further Amendm</w:t>
      </w:r>
      <w:r>
        <w:rPr>
          <w:sz w:val="20"/>
          <w:szCs w:val="20"/>
          <w:u w:val="single"/>
        </w:rPr>
        <w:t>ent</w:t>
      </w:r>
      <w:r>
        <w:rPr>
          <w:sz w:val="20"/>
          <w:szCs w:val="20"/>
        </w:rPr>
        <w:t xml:space="preserve">. The Parties agree that all other provisions of the Agreement shall, subject to the amendments set forth in </w:t>
      </w:r>
      <w:r>
        <w:rPr>
          <w:sz w:val="20"/>
          <w:szCs w:val="20"/>
          <w:u w:val="single"/>
        </w:rPr>
        <w:t>Article II</w:t>
      </w:r>
      <w:r>
        <w:rPr>
          <w:sz w:val="20"/>
          <w:szCs w:val="20"/>
        </w:rPr>
        <w:t xml:space="preserve"> (</w:t>
      </w:r>
      <w:r>
        <w:rPr>
          <w:i/>
          <w:iCs/>
          <w:sz w:val="20"/>
          <w:szCs w:val="20"/>
        </w:rPr>
        <w:t>Amendments to the Agreement</w:t>
      </w:r>
      <w:r>
        <w:rPr>
          <w:sz w:val="20"/>
          <w:szCs w:val="20"/>
        </w:rPr>
        <w:t>) of this Amendment, continue unmodified, in full force and effect and constitute legal and binding oblig</w:t>
      </w:r>
      <w:r>
        <w:rPr>
          <w:sz w:val="20"/>
          <w:szCs w:val="20"/>
        </w:rPr>
        <w:t>ations of the Parties in accordance with their terms. This Amendment is limited precisely as written and shall not be deemed to be an amendment to any other term or condition of the Agreement or any of the documents referred to therein. This Amendment form</w:t>
      </w:r>
      <w:r>
        <w:rPr>
          <w:sz w:val="20"/>
          <w:szCs w:val="20"/>
        </w:rPr>
        <w:t>s an integral and inseparable part of the Agreement.</w:t>
      </w:r>
    </w:p>
    <w:p w14:paraId="7F183DF6"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 </w:t>
      </w:r>
    </w:p>
    <w:p w14:paraId="600DF45C" w14:textId="77777777" w:rsidR="00000000" w:rsidRDefault="002F725F">
      <w:pPr>
        <w:pStyle w:val="NormalWeb"/>
        <w:spacing w:before="0" w:beforeAutospacing="0" w:after="0" w:afterAutospacing="0"/>
        <w:jc w:val="both"/>
        <w:divId w:val="415980837"/>
        <w:rPr>
          <w:sz w:val="20"/>
          <w:szCs w:val="20"/>
        </w:rPr>
      </w:pPr>
      <w:r>
        <w:rPr>
          <w:sz w:val="20"/>
          <w:szCs w:val="20"/>
        </w:rPr>
        <w:t>Section 3.2 </w:t>
      </w:r>
      <w:r>
        <w:rPr>
          <w:sz w:val="20"/>
          <w:szCs w:val="20"/>
          <w:u w:val="single"/>
        </w:rPr>
        <w:t>Representations and Warranties of the Company</w:t>
      </w:r>
      <w:r>
        <w:rPr>
          <w:sz w:val="20"/>
          <w:szCs w:val="20"/>
        </w:rPr>
        <w:t>. The Company hereby represents and warrants to Parent and Merger Sub that: (i) the Company has the requisite corporate power and authority to e</w:t>
      </w:r>
      <w:r>
        <w:rPr>
          <w:sz w:val="20"/>
          <w:szCs w:val="20"/>
        </w:rPr>
        <w:t>xecute and deliver this Amendment, to perform its obligations hereunder, (ii) the execution, delivery and performance by the Company of this Amendment has been duly and validly authorized by the Board and no other corporate action on the part of the Compan</w:t>
      </w:r>
      <w:r>
        <w:rPr>
          <w:sz w:val="20"/>
          <w:szCs w:val="20"/>
        </w:rPr>
        <w:t>y is necessary to authorize the execution and delivery by the Company of this Amendment, and (iii) this Amendment has been duly and validly executed and delivered by the Company and, assuming due and valid authorization, execution and delivery hereof by Pa</w:t>
      </w:r>
      <w:r>
        <w:rPr>
          <w:sz w:val="20"/>
          <w:szCs w:val="20"/>
        </w:rPr>
        <w:t>rent and Merger Sub, constitutes a legal, valid and binding obligation of the Company enforceable against the Company in accordance with its terms, except as enforceability may be limited by the Enforceability Exceptions.</w:t>
      </w:r>
    </w:p>
    <w:p w14:paraId="12646024"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FC8FC14" w14:textId="77777777" w:rsidR="00000000" w:rsidRDefault="002F725F">
      <w:pPr>
        <w:pStyle w:val="NormalWeb"/>
        <w:spacing w:before="0" w:beforeAutospacing="0" w:after="0" w:afterAutospacing="0"/>
        <w:jc w:val="both"/>
        <w:divId w:val="415980837"/>
        <w:rPr>
          <w:sz w:val="20"/>
          <w:szCs w:val="20"/>
        </w:rPr>
      </w:pPr>
      <w:r>
        <w:rPr>
          <w:sz w:val="20"/>
          <w:szCs w:val="20"/>
        </w:rPr>
        <w:t>Section 3.3 </w:t>
      </w:r>
      <w:r>
        <w:rPr>
          <w:sz w:val="20"/>
          <w:szCs w:val="20"/>
          <w:u w:val="single"/>
        </w:rPr>
        <w:t xml:space="preserve">Representations and </w:t>
      </w:r>
      <w:r>
        <w:rPr>
          <w:sz w:val="20"/>
          <w:szCs w:val="20"/>
          <w:u w:val="single"/>
        </w:rPr>
        <w:t>Warranties of Parent and Merger Sub</w:t>
      </w:r>
      <w:r>
        <w:rPr>
          <w:sz w:val="20"/>
          <w:szCs w:val="20"/>
        </w:rPr>
        <w:t xml:space="preserve">. Parent and Merger Sub jointly and severally represent and warrant to the Company that: each of Parent and Merger Sub has all necessary corporate power and authority to execute and deliver this Amendment and perform its </w:t>
      </w:r>
      <w:r>
        <w:rPr>
          <w:sz w:val="20"/>
          <w:szCs w:val="20"/>
        </w:rPr>
        <w:t xml:space="preserve">obligations hereunder. The execution, delivery and performance by each of Parent and Merger Sub of this Amendment has been duly authorized and approved by all necessary actions, and no other action on the part of Parent or Merger Sub is necessary to adopt </w:t>
      </w:r>
      <w:r>
        <w:rPr>
          <w:sz w:val="20"/>
          <w:szCs w:val="20"/>
        </w:rPr>
        <w:t>this Amendment or to authorize or approve the execution and delivery of this Amendment. This Amendment has been duly executed and delivered by each of Parent and Merger Sub, and assuming due and valid authorization, execution and delivery hereof by the Com</w:t>
      </w:r>
      <w:r>
        <w:rPr>
          <w:sz w:val="20"/>
          <w:szCs w:val="20"/>
        </w:rPr>
        <w:t>pany, is a valid and binding obligation of Parent and Merger Sub, enforceable against them in accordance with its terms, except as enforceability may be limited by the Enforceability Exceptions. No vote or consent of the holders of any class or series of s</w:t>
      </w:r>
      <w:r>
        <w:rPr>
          <w:sz w:val="20"/>
          <w:szCs w:val="20"/>
        </w:rPr>
        <w:t>hare capital of Parent is necessary to approve this Amendment.</w:t>
      </w:r>
    </w:p>
    <w:p w14:paraId="4C7B4B2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0FFFB3A" w14:textId="77777777" w:rsidR="00000000" w:rsidRDefault="002F725F">
      <w:pPr>
        <w:pStyle w:val="NormalWeb"/>
        <w:spacing w:before="0" w:beforeAutospacing="0" w:after="0" w:afterAutospacing="0"/>
        <w:jc w:val="both"/>
        <w:divId w:val="415980837"/>
        <w:rPr>
          <w:sz w:val="20"/>
          <w:szCs w:val="20"/>
        </w:rPr>
      </w:pPr>
      <w:r>
        <w:rPr>
          <w:sz w:val="20"/>
          <w:szCs w:val="20"/>
        </w:rPr>
        <w:t xml:space="preserve">Section 3.4 </w:t>
      </w:r>
      <w:r>
        <w:rPr>
          <w:sz w:val="20"/>
          <w:szCs w:val="20"/>
          <w:u w:val="single"/>
        </w:rPr>
        <w:t>Effect of Amendment</w:t>
      </w:r>
      <w:r>
        <w:rPr>
          <w:sz w:val="20"/>
          <w:szCs w:val="20"/>
        </w:rPr>
        <w:t>. This Amendment shall form a part of the Agreement for all purposes, and each Party shall be bound hereby. This Amendment shall be deemed to be in full force a</w:t>
      </w:r>
      <w:r>
        <w:rPr>
          <w:sz w:val="20"/>
          <w:szCs w:val="20"/>
        </w:rPr>
        <w:t>nd effect from and after the execution of this Amendment by the Parties.</w:t>
      </w:r>
    </w:p>
    <w:p w14:paraId="6755BFE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FAFE6F8" w14:textId="77777777" w:rsidR="00000000" w:rsidRDefault="002F725F">
      <w:pPr>
        <w:pStyle w:val="NormalWeb"/>
        <w:spacing w:before="0" w:beforeAutospacing="0" w:after="0" w:afterAutospacing="0"/>
        <w:jc w:val="both"/>
        <w:divId w:val="415980837"/>
        <w:rPr>
          <w:sz w:val="20"/>
          <w:szCs w:val="20"/>
        </w:rPr>
      </w:pPr>
      <w:r>
        <w:rPr>
          <w:sz w:val="20"/>
          <w:szCs w:val="20"/>
        </w:rPr>
        <w:t>Section 3.5 </w:t>
      </w:r>
      <w:r>
        <w:rPr>
          <w:sz w:val="20"/>
          <w:szCs w:val="20"/>
          <w:u w:val="single"/>
        </w:rPr>
        <w:t>Other Miscellaneous Terms</w:t>
      </w:r>
      <w:r>
        <w:rPr>
          <w:sz w:val="20"/>
          <w:szCs w:val="20"/>
        </w:rPr>
        <w:t>. The provisions of Article 10 (</w:t>
      </w:r>
      <w:r>
        <w:rPr>
          <w:i/>
          <w:iCs/>
          <w:sz w:val="20"/>
          <w:szCs w:val="20"/>
        </w:rPr>
        <w:t>Miscellaneous</w:t>
      </w:r>
      <w:r>
        <w:rPr>
          <w:sz w:val="20"/>
          <w:szCs w:val="20"/>
        </w:rPr>
        <w:t xml:space="preserve">) of the Agreement shall apply </w:t>
      </w:r>
      <w:r>
        <w:rPr>
          <w:i/>
          <w:iCs/>
          <w:sz w:val="20"/>
          <w:szCs w:val="20"/>
        </w:rPr>
        <w:t>mutatis mutandis</w:t>
      </w:r>
      <w:r>
        <w:rPr>
          <w:sz w:val="20"/>
          <w:szCs w:val="20"/>
        </w:rPr>
        <w:t xml:space="preserve"> to this Amendment, and to the Agreement as amended </w:t>
      </w:r>
      <w:r>
        <w:rPr>
          <w:sz w:val="20"/>
          <w:szCs w:val="20"/>
        </w:rPr>
        <w:t>by this Amendment, taken together as a single agreement, reflecting the terms therein as amended by this Amendment.</w:t>
      </w:r>
    </w:p>
    <w:p w14:paraId="7A3CA11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02FBF560" w14:textId="77777777" w:rsidR="00000000" w:rsidRDefault="002F725F">
      <w:pPr>
        <w:pStyle w:val="NormalWeb"/>
        <w:spacing w:before="0" w:beforeAutospacing="0" w:after="0" w:afterAutospacing="0"/>
        <w:jc w:val="center"/>
        <w:divId w:val="415980837"/>
        <w:rPr>
          <w:sz w:val="20"/>
          <w:szCs w:val="20"/>
        </w:rPr>
      </w:pPr>
      <w:r>
        <w:rPr>
          <w:sz w:val="20"/>
          <w:szCs w:val="20"/>
        </w:rPr>
        <w:t>[The remainder of this page is intentionally left blank.]</w:t>
      </w:r>
    </w:p>
    <w:p w14:paraId="17012271"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193163B" w14:textId="77777777" w:rsidR="00000000" w:rsidRDefault="002F725F">
      <w:pPr>
        <w:pStyle w:val="NormalWeb"/>
        <w:spacing w:before="0" w:beforeAutospacing="0" w:after="0" w:afterAutospacing="0"/>
        <w:jc w:val="center"/>
        <w:divId w:val="2029483727"/>
        <w:rPr>
          <w:sz w:val="20"/>
          <w:szCs w:val="20"/>
        </w:rPr>
      </w:pPr>
      <w:r>
        <w:rPr>
          <w:sz w:val="20"/>
          <w:szCs w:val="20"/>
        </w:rPr>
        <w:t>A</w:t>
      </w:r>
      <w:r>
        <w:rPr>
          <w:sz w:val="20"/>
          <w:szCs w:val="20"/>
        </w:rPr>
        <w:t>-</w:t>
      </w:r>
      <w:r>
        <w:rPr>
          <w:sz w:val="20"/>
          <w:szCs w:val="20"/>
        </w:rPr>
        <w:t>6</w:t>
      </w:r>
      <w:r>
        <w:rPr>
          <w:sz w:val="20"/>
          <w:szCs w:val="20"/>
        </w:rPr>
        <w:t>9</w:t>
      </w:r>
    </w:p>
    <w:p w14:paraId="22C8A35C" w14:textId="77777777" w:rsidR="00000000" w:rsidRDefault="002F725F">
      <w:pPr>
        <w:pStyle w:val="NormalWeb"/>
        <w:spacing w:before="0" w:beforeAutospacing="0" w:after="0" w:afterAutospacing="0"/>
        <w:divId w:val="372535857"/>
        <w:rPr>
          <w:sz w:val="20"/>
          <w:szCs w:val="20"/>
        </w:rPr>
      </w:pPr>
      <w:r>
        <w:rPr>
          <w:sz w:val="20"/>
          <w:szCs w:val="20"/>
        </w:rPr>
        <w:t> </w:t>
      </w:r>
    </w:p>
    <w:p w14:paraId="062FD6AB"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44B1437" w14:textId="77777777" w:rsidR="00000000" w:rsidRDefault="002F725F">
      <w:pPr>
        <w:pStyle w:val="NormalWeb"/>
        <w:spacing w:before="0" w:beforeAutospacing="0" w:after="0" w:afterAutospacing="0"/>
        <w:jc w:val="both"/>
        <w:divId w:val="415980837"/>
        <w:rPr>
          <w:sz w:val="20"/>
          <w:szCs w:val="20"/>
        </w:rPr>
      </w:pPr>
      <w:r>
        <w:rPr>
          <w:sz w:val="20"/>
          <w:szCs w:val="20"/>
        </w:rPr>
        <w:t>IN WITNESS WHEREOF, the Company, Parent and Merger Sub have caused this Amendment to be signed by their respective officers or directors thereunto duly authorized as of the date first written above.</w:t>
      </w:r>
    </w:p>
    <w:p w14:paraId="7F5387B9" w14:textId="77777777" w:rsidR="00000000" w:rsidRDefault="002F725F">
      <w:pPr>
        <w:pStyle w:val="NormalWeb"/>
        <w:spacing w:before="0" w:beforeAutospacing="0" w:after="0" w:afterAutospacing="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5579"/>
        <w:gridCol w:w="289"/>
        <w:gridCol w:w="534"/>
        <w:gridCol w:w="2958"/>
      </w:tblGrid>
      <w:tr w:rsidR="00000000" w14:paraId="7398F748" w14:textId="77777777">
        <w:trPr>
          <w:divId w:val="415980837"/>
          <w:tblCellSpacing w:w="0" w:type="dxa"/>
        </w:trPr>
        <w:tc>
          <w:tcPr>
            <w:tcW w:w="0" w:type="auto"/>
            <w:hideMark/>
          </w:tcPr>
          <w:p w14:paraId="428ACD40" w14:textId="77777777" w:rsidR="00000000" w:rsidRDefault="002F725F">
            <w:pPr>
              <w:rPr>
                <w:sz w:val="20"/>
                <w:szCs w:val="20"/>
              </w:rPr>
            </w:pPr>
          </w:p>
        </w:tc>
        <w:tc>
          <w:tcPr>
            <w:tcW w:w="0" w:type="auto"/>
            <w:gridSpan w:val="3"/>
            <w:hideMark/>
          </w:tcPr>
          <w:p w14:paraId="61F0F2A1" w14:textId="77777777" w:rsidR="00000000" w:rsidRDefault="002F725F">
            <w:pPr>
              <w:rPr>
                <w:rFonts w:eastAsia="Times New Roman"/>
                <w:sz w:val="20"/>
                <w:szCs w:val="20"/>
              </w:rPr>
            </w:pPr>
            <w:r>
              <w:rPr>
                <w:rFonts w:eastAsia="Times New Roman"/>
                <w:sz w:val="20"/>
                <w:szCs w:val="20"/>
              </w:rPr>
              <w:t>LAKESHORE BIOPHARMA CO., LTD</w:t>
            </w:r>
          </w:p>
        </w:tc>
      </w:tr>
      <w:tr w:rsidR="00000000" w14:paraId="13BFC5AD" w14:textId="77777777">
        <w:trPr>
          <w:divId w:val="415980837"/>
          <w:tblCellSpacing w:w="0" w:type="dxa"/>
        </w:trPr>
        <w:tc>
          <w:tcPr>
            <w:tcW w:w="0" w:type="auto"/>
            <w:hideMark/>
          </w:tcPr>
          <w:p w14:paraId="4E537B78" w14:textId="77777777" w:rsidR="00000000" w:rsidRDefault="002F725F">
            <w:pPr>
              <w:jc w:val="both"/>
              <w:rPr>
                <w:rFonts w:eastAsia="Times New Roman"/>
                <w:sz w:val="20"/>
                <w:szCs w:val="20"/>
              </w:rPr>
            </w:pPr>
            <w:r>
              <w:rPr>
                <w:rFonts w:eastAsia="Times New Roman"/>
                <w:sz w:val="20"/>
                <w:szCs w:val="20"/>
              </w:rPr>
              <w:t> </w:t>
            </w:r>
          </w:p>
        </w:tc>
        <w:tc>
          <w:tcPr>
            <w:tcW w:w="0" w:type="auto"/>
            <w:hideMark/>
          </w:tcPr>
          <w:p w14:paraId="73B47D3D" w14:textId="77777777" w:rsidR="00000000" w:rsidRDefault="002F725F">
            <w:pPr>
              <w:rPr>
                <w:rFonts w:eastAsia="Times New Roman"/>
                <w:sz w:val="20"/>
                <w:szCs w:val="20"/>
              </w:rPr>
            </w:pPr>
            <w:r>
              <w:rPr>
                <w:rFonts w:eastAsia="Times New Roman"/>
                <w:sz w:val="20"/>
                <w:szCs w:val="20"/>
              </w:rPr>
              <w:t> </w:t>
            </w:r>
          </w:p>
        </w:tc>
        <w:tc>
          <w:tcPr>
            <w:tcW w:w="0" w:type="auto"/>
            <w:gridSpan w:val="2"/>
            <w:hideMark/>
          </w:tcPr>
          <w:p w14:paraId="6E357469" w14:textId="77777777" w:rsidR="00000000" w:rsidRDefault="002F725F">
            <w:pPr>
              <w:jc w:val="both"/>
              <w:rPr>
                <w:rFonts w:eastAsia="Times New Roman"/>
                <w:sz w:val="20"/>
                <w:szCs w:val="20"/>
              </w:rPr>
            </w:pPr>
            <w:r>
              <w:rPr>
                <w:rFonts w:eastAsia="Times New Roman"/>
                <w:sz w:val="20"/>
                <w:szCs w:val="20"/>
              </w:rPr>
              <w:t> </w:t>
            </w:r>
          </w:p>
        </w:tc>
      </w:tr>
      <w:tr w:rsidR="00000000" w14:paraId="4E7F1733" w14:textId="77777777">
        <w:trPr>
          <w:divId w:val="415980837"/>
          <w:tblCellSpacing w:w="0" w:type="dxa"/>
        </w:trPr>
        <w:tc>
          <w:tcPr>
            <w:tcW w:w="0" w:type="auto"/>
            <w:hideMark/>
          </w:tcPr>
          <w:p w14:paraId="3F0F361F" w14:textId="77777777" w:rsidR="00000000" w:rsidRDefault="002F725F">
            <w:pPr>
              <w:jc w:val="both"/>
              <w:rPr>
                <w:rFonts w:eastAsia="Times New Roman"/>
                <w:sz w:val="20"/>
                <w:szCs w:val="20"/>
              </w:rPr>
            </w:pPr>
            <w:r>
              <w:rPr>
                <w:rFonts w:eastAsia="Times New Roman"/>
                <w:sz w:val="20"/>
                <w:szCs w:val="20"/>
              </w:rPr>
              <w:t> </w:t>
            </w:r>
          </w:p>
        </w:tc>
        <w:tc>
          <w:tcPr>
            <w:tcW w:w="0" w:type="auto"/>
            <w:hideMark/>
          </w:tcPr>
          <w:p w14:paraId="459C068C" w14:textId="77777777" w:rsidR="00000000" w:rsidRDefault="002F725F">
            <w:pPr>
              <w:rPr>
                <w:rFonts w:eastAsia="Times New Roman"/>
                <w:sz w:val="20"/>
                <w:szCs w:val="20"/>
              </w:rPr>
            </w:pPr>
            <w:r>
              <w:rPr>
                <w:rFonts w:eastAsia="Times New Roman"/>
                <w:sz w:val="20"/>
                <w:szCs w:val="20"/>
              </w:rPr>
              <w:t>By:</w:t>
            </w:r>
          </w:p>
        </w:tc>
        <w:tc>
          <w:tcPr>
            <w:tcW w:w="0" w:type="auto"/>
            <w:gridSpan w:val="2"/>
            <w:tcBorders>
              <w:bottom w:val="single" w:sz="12" w:space="0" w:color="000000"/>
            </w:tcBorders>
            <w:hideMark/>
          </w:tcPr>
          <w:p w14:paraId="0DB4070C" w14:textId="77777777" w:rsidR="00000000" w:rsidRDefault="002F725F">
            <w:pPr>
              <w:jc w:val="both"/>
              <w:rPr>
                <w:rFonts w:eastAsia="Times New Roman"/>
                <w:sz w:val="20"/>
                <w:szCs w:val="20"/>
              </w:rPr>
            </w:pPr>
            <w:r>
              <w:rPr>
                <w:rFonts w:eastAsia="Times New Roman"/>
                <w:sz w:val="20"/>
                <w:szCs w:val="20"/>
              </w:rPr>
              <w:t>/s/ Jutao (Adam) Zhao</w:t>
            </w:r>
          </w:p>
        </w:tc>
      </w:tr>
      <w:tr w:rsidR="00000000" w14:paraId="0ED81878" w14:textId="77777777">
        <w:trPr>
          <w:divId w:val="415980837"/>
          <w:tblCellSpacing w:w="0" w:type="dxa"/>
        </w:trPr>
        <w:tc>
          <w:tcPr>
            <w:tcW w:w="3000" w:type="pct"/>
            <w:hideMark/>
          </w:tcPr>
          <w:p w14:paraId="7CA9D012" w14:textId="77777777" w:rsidR="00000000" w:rsidRDefault="002F725F">
            <w:pPr>
              <w:jc w:val="both"/>
              <w:rPr>
                <w:rFonts w:eastAsia="Times New Roman"/>
                <w:sz w:val="20"/>
                <w:szCs w:val="20"/>
              </w:rPr>
            </w:pPr>
            <w:r>
              <w:rPr>
                <w:rFonts w:eastAsia="Times New Roman"/>
                <w:sz w:val="20"/>
                <w:szCs w:val="20"/>
              </w:rPr>
              <w:t> </w:t>
            </w:r>
          </w:p>
        </w:tc>
        <w:tc>
          <w:tcPr>
            <w:tcW w:w="150" w:type="pct"/>
            <w:hideMark/>
          </w:tcPr>
          <w:p w14:paraId="19A04CDC" w14:textId="77777777" w:rsidR="00000000" w:rsidRDefault="002F725F">
            <w:pPr>
              <w:rPr>
                <w:rFonts w:eastAsia="Times New Roman"/>
                <w:sz w:val="20"/>
                <w:szCs w:val="20"/>
              </w:rPr>
            </w:pPr>
            <w:r>
              <w:rPr>
                <w:rFonts w:eastAsia="Times New Roman"/>
                <w:sz w:val="20"/>
                <w:szCs w:val="20"/>
              </w:rPr>
              <w:t> </w:t>
            </w:r>
          </w:p>
        </w:tc>
        <w:tc>
          <w:tcPr>
            <w:tcW w:w="250" w:type="pct"/>
            <w:hideMark/>
          </w:tcPr>
          <w:p w14:paraId="35B15363" w14:textId="77777777" w:rsidR="00000000" w:rsidRDefault="002F725F">
            <w:pPr>
              <w:jc w:val="both"/>
              <w:rPr>
                <w:rFonts w:eastAsia="Times New Roman"/>
                <w:sz w:val="20"/>
                <w:szCs w:val="20"/>
              </w:rPr>
            </w:pPr>
            <w:r>
              <w:rPr>
                <w:rFonts w:eastAsia="Times New Roman"/>
                <w:sz w:val="20"/>
                <w:szCs w:val="20"/>
              </w:rPr>
              <w:t>Name:</w:t>
            </w:r>
          </w:p>
        </w:tc>
        <w:tc>
          <w:tcPr>
            <w:tcW w:w="1600" w:type="pct"/>
            <w:hideMark/>
          </w:tcPr>
          <w:p w14:paraId="6ED8D108" w14:textId="77777777" w:rsidR="00000000" w:rsidRDefault="002F725F">
            <w:pPr>
              <w:jc w:val="both"/>
              <w:rPr>
                <w:rFonts w:eastAsia="Times New Roman"/>
                <w:sz w:val="20"/>
                <w:szCs w:val="20"/>
              </w:rPr>
            </w:pPr>
            <w:r>
              <w:rPr>
                <w:rFonts w:eastAsia="Times New Roman"/>
                <w:sz w:val="20"/>
                <w:szCs w:val="20"/>
              </w:rPr>
              <w:t>Jutao (Adam) Zhao</w:t>
            </w:r>
          </w:p>
        </w:tc>
      </w:tr>
      <w:tr w:rsidR="00000000" w14:paraId="6FF06DD6" w14:textId="77777777">
        <w:trPr>
          <w:divId w:val="415980837"/>
          <w:tblCellSpacing w:w="0" w:type="dxa"/>
        </w:trPr>
        <w:tc>
          <w:tcPr>
            <w:tcW w:w="0" w:type="auto"/>
            <w:hideMark/>
          </w:tcPr>
          <w:p w14:paraId="132F711D" w14:textId="77777777" w:rsidR="00000000" w:rsidRDefault="002F725F">
            <w:pPr>
              <w:jc w:val="both"/>
              <w:rPr>
                <w:rFonts w:eastAsia="Times New Roman"/>
                <w:sz w:val="20"/>
                <w:szCs w:val="20"/>
              </w:rPr>
            </w:pPr>
            <w:r>
              <w:rPr>
                <w:rFonts w:eastAsia="Times New Roman"/>
                <w:sz w:val="20"/>
                <w:szCs w:val="20"/>
              </w:rPr>
              <w:t> </w:t>
            </w:r>
          </w:p>
        </w:tc>
        <w:tc>
          <w:tcPr>
            <w:tcW w:w="0" w:type="auto"/>
            <w:hideMark/>
          </w:tcPr>
          <w:p w14:paraId="1E131DE2" w14:textId="77777777" w:rsidR="00000000" w:rsidRDefault="002F725F">
            <w:pPr>
              <w:rPr>
                <w:rFonts w:eastAsia="Times New Roman"/>
                <w:sz w:val="20"/>
                <w:szCs w:val="20"/>
              </w:rPr>
            </w:pPr>
            <w:r>
              <w:rPr>
                <w:rFonts w:eastAsia="Times New Roman"/>
                <w:sz w:val="20"/>
                <w:szCs w:val="20"/>
              </w:rPr>
              <w:t> </w:t>
            </w:r>
          </w:p>
        </w:tc>
        <w:tc>
          <w:tcPr>
            <w:tcW w:w="0" w:type="auto"/>
            <w:hideMark/>
          </w:tcPr>
          <w:p w14:paraId="5E6E315B" w14:textId="77777777" w:rsidR="00000000" w:rsidRDefault="002F725F">
            <w:pPr>
              <w:jc w:val="both"/>
              <w:rPr>
                <w:rFonts w:eastAsia="Times New Roman"/>
                <w:sz w:val="20"/>
                <w:szCs w:val="20"/>
              </w:rPr>
            </w:pPr>
            <w:r>
              <w:rPr>
                <w:rFonts w:eastAsia="Times New Roman"/>
                <w:sz w:val="20"/>
                <w:szCs w:val="20"/>
              </w:rPr>
              <w:t>Title:</w:t>
            </w:r>
          </w:p>
        </w:tc>
        <w:tc>
          <w:tcPr>
            <w:tcW w:w="0" w:type="auto"/>
            <w:hideMark/>
          </w:tcPr>
          <w:p w14:paraId="44684A1F" w14:textId="77777777" w:rsidR="00000000" w:rsidRDefault="002F725F">
            <w:pPr>
              <w:jc w:val="both"/>
              <w:rPr>
                <w:rFonts w:eastAsia="Times New Roman"/>
                <w:sz w:val="20"/>
                <w:szCs w:val="20"/>
              </w:rPr>
            </w:pPr>
            <w:r>
              <w:rPr>
                <w:rFonts w:eastAsia="Times New Roman"/>
                <w:sz w:val="20"/>
                <w:szCs w:val="20"/>
              </w:rPr>
              <w:t>Chairperson of the Special</w:t>
            </w:r>
            <w:r>
              <w:rPr>
                <w:rFonts w:eastAsia="Times New Roman"/>
                <w:sz w:val="20"/>
                <w:szCs w:val="20"/>
              </w:rPr>
              <w:br/>
              <w:t>Committee of the Board of Directors</w:t>
            </w:r>
          </w:p>
        </w:tc>
      </w:tr>
    </w:tbl>
    <w:p w14:paraId="75B29E21" w14:textId="77777777" w:rsidR="00000000" w:rsidRDefault="002F725F">
      <w:pPr>
        <w:pStyle w:val="NormalWeb"/>
        <w:spacing w:before="0" w:beforeAutospacing="0" w:after="0" w:afterAutospacing="0"/>
        <w:ind w:left="4320"/>
        <w:divId w:val="415980837"/>
        <w:rPr>
          <w:sz w:val="20"/>
          <w:szCs w:val="20"/>
        </w:rPr>
      </w:pPr>
      <w:r>
        <w:rPr>
          <w:sz w:val="20"/>
          <w:szCs w:val="20"/>
        </w:rPr>
        <w:t> </w:t>
      </w:r>
    </w:p>
    <w:p w14:paraId="60694DB3" w14:textId="77777777" w:rsidR="00000000" w:rsidRDefault="002F725F">
      <w:pPr>
        <w:pStyle w:val="NormalWeb"/>
        <w:spacing w:before="0" w:beforeAutospacing="0" w:after="0" w:afterAutospacing="0"/>
        <w:jc w:val="center"/>
        <w:divId w:val="415980837"/>
        <w:rPr>
          <w:sz w:val="20"/>
          <w:szCs w:val="20"/>
        </w:rPr>
      </w:pPr>
      <w:r>
        <w:rPr>
          <w:sz w:val="20"/>
          <w:szCs w:val="20"/>
          <w:shd w:val="clear" w:color="auto" w:fill="FFFFFF"/>
        </w:rPr>
        <w:t>[Signature Page to Amendment No. 1 to Agreement and Plan of Merger]</w:t>
      </w:r>
    </w:p>
    <w:p w14:paraId="42D6B3A7" w14:textId="77777777" w:rsidR="00000000" w:rsidRDefault="002F725F">
      <w:pPr>
        <w:pStyle w:val="NormalWeb"/>
        <w:spacing w:before="0" w:beforeAutospacing="0" w:after="0" w:afterAutospacing="0"/>
        <w:ind w:left="4320"/>
        <w:divId w:val="415980837"/>
        <w:rPr>
          <w:sz w:val="20"/>
          <w:szCs w:val="20"/>
        </w:rPr>
      </w:pPr>
      <w:r>
        <w:rPr>
          <w:sz w:val="20"/>
          <w:szCs w:val="20"/>
        </w:rPr>
        <w:t> </w:t>
      </w:r>
    </w:p>
    <w:p w14:paraId="41B6EF86" w14:textId="77777777" w:rsidR="00000000" w:rsidRDefault="002F725F">
      <w:pPr>
        <w:pStyle w:val="NormalWeb"/>
        <w:spacing w:before="0" w:beforeAutospacing="0" w:after="0" w:afterAutospacing="0"/>
        <w:jc w:val="center"/>
        <w:divId w:val="732191667"/>
        <w:rPr>
          <w:sz w:val="20"/>
          <w:szCs w:val="20"/>
        </w:rPr>
      </w:pPr>
      <w:r>
        <w:rPr>
          <w:sz w:val="20"/>
          <w:szCs w:val="20"/>
        </w:rPr>
        <w:t>A</w:t>
      </w:r>
      <w:r>
        <w:rPr>
          <w:sz w:val="20"/>
          <w:szCs w:val="20"/>
        </w:rPr>
        <w:t>-</w:t>
      </w:r>
      <w:r>
        <w:rPr>
          <w:sz w:val="20"/>
          <w:szCs w:val="20"/>
        </w:rPr>
        <w:t>7</w:t>
      </w:r>
      <w:r>
        <w:rPr>
          <w:sz w:val="20"/>
          <w:szCs w:val="20"/>
        </w:rPr>
        <w:t>0</w:t>
      </w:r>
    </w:p>
    <w:p w14:paraId="220FCA10" w14:textId="77777777" w:rsidR="00000000" w:rsidRDefault="002F725F">
      <w:pPr>
        <w:pStyle w:val="NormalWeb"/>
        <w:spacing w:before="0" w:beforeAutospacing="0" w:after="0" w:afterAutospacing="0"/>
        <w:divId w:val="2095588186"/>
        <w:rPr>
          <w:sz w:val="20"/>
          <w:szCs w:val="20"/>
        </w:rPr>
      </w:pPr>
      <w:r>
        <w:rPr>
          <w:sz w:val="20"/>
          <w:szCs w:val="20"/>
        </w:rPr>
        <w:t> </w:t>
      </w:r>
    </w:p>
    <w:p w14:paraId="52C78E3F" w14:textId="77777777" w:rsidR="00000000" w:rsidRDefault="002F725F">
      <w:pPr>
        <w:pStyle w:val="NormalWeb"/>
        <w:spacing w:before="0" w:beforeAutospacing="0" w:after="0" w:afterAutospacing="0"/>
        <w:ind w:left="4320"/>
        <w:divId w:val="415980837"/>
        <w:rPr>
          <w:sz w:val="20"/>
          <w:szCs w:val="20"/>
        </w:rPr>
      </w:pPr>
      <w:r>
        <w:rPr>
          <w:sz w:val="20"/>
          <w:szCs w:val="20"/>
        </w:rPr>
        <w:t> </w:t>
      </w:r>
    </w:p>
    <w:p w14:paraId="4CA8D6D6" w14:textId="77777777" w:rsidR="00000000" w:rsidRDefault="002F725F">
      <w:pPr>
        <w:pStyle w:val="NormalWeb"/>
        <w:spacing w:before="0" w:beforeAutospacing="0" w:after="0" w:afterAutospacing="0"/>
        <w:jc w:val="both"/>
        <w:divId w:val="415980837"/>
        <w:rPr>
          <w:sz w:val="20"/>
          <w:szCs w:val="20"/>
        </w:rPr>
      </w:pPr>
      <w:r>
        <w:rPr>
          <w:sz w:val="20"/>
          <w:szCs w:val="20"/>
        </w:rPr>
        <w:lastRenderedPageBreak/>
        <w:t>IN WITNESS WHEREOF, the Company, Parent and Merger Sub have caused this Amendment to be signed by their respective officers or directors thereunto duly authorized as of the date first written above.</w:t>
      </w:r>
    </w:p>
    <w:p w14:paraId="0446A251" w14:textId="77777777" w:rsidR="00000000" w:rsidRDefault="002F725F">
      <w:pPr>
        <w:pStyle w:val="NormalWeb"/>
        <w:spacing w:before="0" w:beforeAutospacing="0" w:after="0" w:afterAutospacing="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5579"/>
        <w:gridCol w:w="289"/>
        <w:gridCol w:w="534"/>
        <w:gridCol w:w="2958"/>
      </w:tblGrid>
      <w:tr w:rsidR="00000000" w14:paraId="21EF8FD8" w14:textId="77777777">
        <w:trPr>
          <w:divId w:val="415980837"/>
          <w:tblCellSpacing w:w="0" w:type="dxa"/>
        </w:trPr>
        <w:tc>
          <w:tcPr>
            <w:tcW w:w="0" w:type="auto"/>
            <w:hideMark/>
          </w:tcPr>
          <w:p w14:paraId="24CDB759" w14:textId="77777777" w:rsidR="00000000" w:rsidRDefault="002F725F">
            <w:pPr>
              <w:rPr>
                <w:sz w:val="20"/>
                <w:szCs w:val="20"/>
              </w:rPr>
            </w:pPr>
          </w:p>
        </w:tc>
        <w:tc>
          <w:tcPr>
            <w:tcW w:w="0" w:type="auto"/>
            <w:gridSpan w:val="3"/>
            <w:hideMark/>
          </w:tcPr>
          <w:p w14:paraId="02FF9479" w14:textId="77777777" w:rsidR="00000000" w:rsidRDefault="002F725F">
            <w:pPr>
              <w:rPr>
                <w:rFonts w:eastAsia="Times New Roman"/>
                <w:sz w:val="20"/>
                <w:szCs w:val="20"/>
              </w:rPr>
            </w:pPr>
            <w:r>
              <w:rPr>
                <w:rFonts w:eastAsia="Times New Roman"/>
                <w:sz w:val="20"/>
                <w:szCs w:val="20"/>
              </w:rPr>
              <w:t>Oceanpine Skyline Inc.</w:t>
            </w:r>
          </w:p>
        </w:tc>
      </w:tr>
      <w:tr w:rsidR="00000000" w14:paraId="77118885" w14:textId="77777777">
        <w:trPr>
          <w:divId w:val="415980837"/>
          <w:tblCellSpacing w:w="0" w:type="dxa"/>
        </w:trPr>
        <w:tc>
          <w:tcPr>
            <w:tcW w:w="0" w:type="auto"/>
            <w:hideMark/>
          </w:tcPr>
          <w:p w14:paraId="7E6E198C" w14:textId="77777777" w:rsidR="00000000" w:rsidRDefault="002F725F">
            <w:pPr>
              <w:jc w:val="both"/>
              <w:rPr>
                <w:rFonts w:eastAsia="Times New Roman"/>
                <w:sz w:val="20"/>
                <w:szCs w:val="20"/>
              </w:rPr>
            </w:pPr>
            <w:r>
              <w:rPr>
                <w:rFonts w:eastAsia="Times New Roman"/>
                <w:sz w:val="20"/>
                <w:szCs w:val="20"/>
              </w:rPr>
              <w:t> </w:t>
            </w:r>
          </w:p>
        </w:tc>
        <w:tc>
          <w:tcPr>
            <w:tcW w:w="0" w:type="auto"/>
            <w:hideMark/>
          </w:tcPr>
          <w:p w14:paraId="60D71D06" w14:textId="77777777" w:rsidR="00000000" w:rsidRDefault="002F725F">
            <w:pPr>
              <w:rPr>
                <w:rFonts w:eastAsia="Times New Roman"/>
                <w:sz w:val="20"/>
                <w:szCs w:val="20"/>
              </w:rPr>
            </w:pPr>
            <w:r>
              <w:rPr>
                <w:rFonts w:eastAsia="Times New Roman"/>
                <w:sz w:val="20"/>
                <w:szCs w:val="20"/>
              </w:rPr>
              <w:t> </w:t>
            </w:r>
          </w:p>
        </w:tc>
        <w:tc>
          <w:tcPr>
            <w:tcW w:w="0" w:type="auto"/>
            <w:gridSpan w:val="2"/>
            <w:hideMark/>
          </w:tcPr>
          <w:p w14:paraId="3781511D" w14:textId="77777777" w:rsidR="00000000" w:rsidRDefault="002F725F">
            <w:pPr>
              <w:jc w:val="both"/>
              <w:rPr>
                <w:rFonts w:eastAsia="Times New Roman"/>
                <w:sz w:val="20"/>
                <w:szCs w:val="20"/>
              </w:rPr>
            </w:pPr>
            <w:r>
              <w:rPr>
                <w:rFonts w:eastAsia="Times New Roman"/>
                <w:sz w:val="20"/>
                <w:szCs w:val="20"/>
              </w:rPr>
              <w:t> </w:t>
            </w:r>
          </w:p>
        </w:tc>
      </w:tr>
      <w:tr w:rsidR="00000000" w14:paraId="117FBE4B" w14:textId="77777777">
        <w:trPr>
          <w:divId w:val="415980837"/>
          <w:tblCellSpacing w:w="0" w:type="dxa"/>
        </w:trPr>
        <w:tc>
          <w:tcPr>
            <w:tcW w:w="0" w:type="auto"/>
            <w:hideMark/>
          </w:tcPr>
          <w:p w14:paraId="76AF3EFD" w14:textId="77777777" w:rsidR="00000000" w:rsidRDefault="002F725F">
            <w:pPr>
              <w:jc w:val="both"/>
              <w:rPr>
                <w:rFonts w:eastAsia="Times New Roman"/>
                <w:sz w:val="20"/>
                <w:szCs w:val="20"/>
              </w:rPr>
            </w:pPr>
            <w:r>
              <w:rPr>
                <w:rFonts w:eastAsia="Times New Roman"/>
                <w:sz w:val="20"/>
                <w:szCs w:val="20"/>
              </w:rPr>
              <w:t> </w:t>
            </w:r>
          </w:p>
        </w:tc>
        <w:tc>
          <w:tcPr>
            <w:tcW w:w="0" w:type="auto"/>
            <w:hideMark/>
          </w:tcPr>
          <w:p w14:paraId="3C1066AC" w14:textId="77777777" w:rsidR="00000000" w:rsidRDefault="002F725F">
            <w:pPr>
              <w:rPr>
                <w:rFonts w:eastAsia="Times New Roman"/>
                <w:sz w:val="20"/>
                <w:szCs w:val="20"/>
              </w:rPr>
            </w:pPr>
            <w:r>
              <w:rPr>
                <w:rFonts w:eastAsia="Times New Roman"/>
                <w:sz w:val="20"/>
                <w:szCs w:val="20"/>
              </w:rPr>
              <w:t>By:</w:t>
            </w:r>
          </w:p>
        </w:tc>
        <w:tc>
          <w:tcPr>
            <w:tcW w:w="0" w:type="auto"/>
            <w:gridSpan w:val="2"/>
            <w:tcBorders>
              <w:bottom w:val="single" w:sz="12" w:space="0" w:color="000000"/>
            </w:tcBorders>
            <w:hideMark/>
          </w:tcPr>
          <w:p w14:paraId="5C3FAA93" w14:textId="77777777" w:rsidR="00000000" w:rsidRDefault="002F725F">
            <w:pPr>
              <w:jc w:val="both"/>
              <w:rPr>
                <w:rFonts w:eastAsia="Times New Roman"/>
                <w:sz w:val="20"/>
                <w:szCs w:val="20"/>
              </w:rPr>
            </w:pPr>
            <w:r>
              <w:rPr>
                <w:rFonts w:eastAsia="Times New Roman"/>
                <w:sz w:val="20"/>
                <w:szCs w:val="20"/>
              </w:rPr>
              <w:t>/s/ NAN Shaodeng</w:t>
            </w:r>
          </w:p>
        </w:tc>
      </w:tr>
      <w:tr w:rsidR="00000000" w14:paraId="734CCA8E" w14:textId="77777777">
        <w:trPr>
          <w:divId w:val="415980837"/>
          <w:tblCellSpacing w:w="0" w:type="dxa"/>
        </w:trPr>
        <w:tc>
          <w:tcPr>
            <w:tcW w:w="3000" w:type="pct"/>
            <w:hideMark/>
          </w:tcPr>
          <w:p w14:paraId="6CB40482" w14:textId="77777777" w:rsidR="00000000" w:rsidRDefault="002F725F">
            <w:pPr>
              <w:jc w:val="both"/>
              <w:rPr>
                <w:rFonts w:eastAsia="Times New Roman"/>
                <w:sz w:val="20"/>
                <w:szCs w:val="20"/>
              </w:rPr>
            </w:pPr>
            <w:r>
              <w:rPr>
                <w:rFonts w:eastAsia="Times New Roman"/>
                <w:sz w:val="20"/>
                <w:szCs w:val="20"/>
              </w:rPr>
              <w:t> </w:t>
            </w:r>
          </w:p>
        </w:tc>
        <w:tc>
          <w:tcPr>
            <w:tcW w:w="150" w:type="pct"/>
            <w:hideMark/>
          </w:tcPr>
          <w:p w14:paraId="511DD115" w14:textId="77777777" w:rsidR="00000000" w:rsidRDefault="002F725F">
            <w:pPr>
              <w:rPr>
                <w:rFonts w:eastAsia="Times New Roman"/>
                <w:sz w:val="20"/>
                <w:szCs w:val="20"/>
              </w:rPr>
            </w:pPr>
            <w:r>
              <w:rPr>
                <w:rFonts w:eastAsia="Times New Roman"/>
                <w:sz w:val="20"/>
                <w:szCs w:val="20"/>
              </w:rPr>
              <w:t> </w:t>
            </w:r>
          </w:p>
        </w:tc>
        <w:tc>
          <w:tcPr>
            <w:tcW w:w="250" w:type="pct"/>
            <w:hideMark/>
          </w:tcPr>
          <w:p w14:paraId="7FEAF528" w14:textId="77777777" w:rsidR="00000000" w:rsidRDefault="002F725F">
            <w:pPr>
              <w:jc w:val="both"/>
              <w:rPr>
                <w:rFonts w:eastAsia="Times New Roman"/>
                <w:sz w:val="20"/>
                <w:szCs w:val="20"/>
              </w:rPr>
            </w:pPr>
            <w:r>
              <w:rPr>
                <w:rFonts w:eastAsia="Times New Roman"/>
                <w:sz w:val="20"/>
                <w:szCs w:val="20"/>
              </w:rPr>
              <w:t>Name:</w:t>
            </w:r>
          </w:p>
        </w:tc>
        <w:tc>
          <w:tcPr>
            <w:tcW w:w="1600" w:type="pct"/>
            <w:hideMark/>
          </w:tcPr>
          <w:p w14:paraId="73CBFA43" w14:textId="77777777" w:rsidR="00000000" w:rsidRDefault="002F725F">
            <w:pPr>
              <w:jc w:val="both"/>
              <w:rPr>
                <w:rFonts w:eastAsia="Times New Roman"/>
                <w:sz w:val="20"/>
                <w:szCs w:val="20"/>
              </w:rPr>
            </w:pPr>
            <w:r>
              <w:rPr>
                <w:rFonts w:eastAsia="Times New Roman"/>
                <w:sz w:val="20"/>
                <w:szCs w:val="20"/>
              </w:rPr>
              <w:t>NAN Shaodeng</w:t>
            </w:r>
          </w:p>
        </w:tc>
      </w:tr>
      <w:tr w:rsidR="00000000" w14:paraId="69086374" w14:textId="77777777">
        <w:trPr>
          <w:divId w:val="415980837"/>
          <w:tblCellSpacing w:w="0" w:type="dxa"/>
        </w:trPr>
        <w:tc>
          <w:tcPr>
            <w:tcW w:w="0" w:type="auto"/>
            <w:hideMark/>
          </w:tcPr>
          <w:p w14:paraId="6403B147" w14:textId="77777777" w:rsidR="00000000" w:rsidRDefault="002F725F">
            <w:pPr>
              <w:jc w:val="both"/>
              <w:rPr>
                <w:rFonts w:eastAsia="Times New Roman"/>
                <w:sz w:val="20"/>
                <w:szCs w:val="20"/>
              </w:rPr>
            </w:pPr>
            <w:r>
              <w:rPr>
                <w:rFonts w:eastAsia="Times New Roman"/>
                <w:sz w:val="20"/>
                <w:szCs w:val="20"/>
              </w:rPr>
              <w:t> </w:t>
            </w:r>
          </w:p>
        </w:tc>
        <w:tc>
          <w:tcPr>
            <w:tcW w:w="0" w:type="auto"/>
            <w:hideMark/>
          </w:tcPr>
          <w:p w14:paraId="7CB4EF32" w14:textId="77777777" w:rsidR="00000000" w:rsidRDefault="002F725F">
            <w:pPr>
              <w:rPr>
                <w:rFonts w:eastAsia="Times New Roman"/>
                <w:sz w:val="20"/>
                <w:szCs w:val="20"/>
              </w:rPr>
            </w:pPr>
            <w:r>
              <w:rPr>
                <w:rFonts w:eastAsia="Times New Roman"/>
                <w:sz w:val="20"/>
                <w:szCs w:val="20"/>
              </w:rPr>
              <w:t> </w:t>
            </w:r>
          </w:p>
        </w:tc>
        <w:tc>
          <w:tcPr>
            <w:tcW w:w="0" w:type="auto"/>
            <w:hideMark/>
          </w:tcPr>
          <w:p w14:paraId="44493B6A" w14:textId="77777777" w:rsidR="00000000" w:rsidRDefault="002F725F">
            <w:pPr>
              <w:jc w:val="both"/>
              <w:rPr>
                <w:rFonts w:eastAsia="Times New Roman"/>
                <w:sz w:val="20"/>
                <w:szCs w:val="20"/>
              </w:rPr>
            </w:pPr>
            <w:r>
              <w:rPr>
                <w:rFonts w:eastAsia="Times New Roman"/>
                <w:sz w:val="20"/>
                <w:szCs w:val="20"/>
              </w:rPr>
              <w:t>Title:</w:t>
            </w:r>
          </w:p>
        </w:tc>
        <w:tc>
          <w:tcPr>
            <w:tcW w:w="0" w:type="auto"/>
            <w:hideMark/>
          </w:tcPr>
          <w:p w14:paraId="48791ADD" w14:textId="77777777" w:rsidR="00000000" w:rsidRDefault="002F725F">
            <w:pPr>
              <w:jc w:val="both"/>
              <w:rPr>
                <w:rFonts w:eastAsia="Times New Roman"/>
                <w:sz w:val="20"/>
                <w:szCs w:val="20"/>
              </w:rPr>
            </w:pPr>
            <w:r>
              <w:rPr>
                <w:rFonts w:eastAsia="Times New Roman"/>
                <w:sz w:val="20"/>
                <w:szCs w:val="20"/>
              </w:rPr>
              <w:t>Director</w:t>
            </w:r>
          </w:p>
        </w:tc>
      </w:tr>
      <w:tr w:rsidR="00000000" w14:paraId="61BAEA40" w14:textId="77777777">
        <w:trPr>
          <w:divId w:val="415980837"/>
          <w:tblCellSpacing w:w="0" w:type="dxa"/>
        </w:trPr>
        <w:tc>
          <w:tcPr>
            <w:tcW w:w="0" w:type="auto"/>
            <w:hideMark/>
          </w:tcPr>
          <w:p w14:paraId="01DC4AD0" w14:textId="77777777" w:rsidR="00000000" w:rsidRDefault="002F725F">
            <w:pPr>
              <w:jc w:val="both"/>
              <w:rPr>
                <w:rFonts w:eastAsia="Times New Roman"/>
                <w:sz w:val="20"/>
                <w:szCs w:val="20"/>
              </w:rPr>
            </w:pPr>
            <w:r>
              <w:rPr>
                <w:rFonts w:eastAsia="Times New Roman"/>
                <w:sz w:val="20"/>
                <w:szCs w:val="20"/>
              </w:rPr>
              <w:t> </w:t>
            </w:r>
          </w:p>
        </w:tc>
        <w:tc>
          <w:tcPr>
            <w:tcW w:w="0" w:type="auto"/>
            <w:hideMark/>
          </w:tcPr>
          <w:p w14:paraId="7B2EAFBA" w14:textId="77777777" w:rsidR="00000000" w:rsidRDefault="002F725F">
            <w:pPr>
              <w:rPr>
                <w:rFonts w:eastAsia="Times New Roman"/>
                <w:sz w:val="20"/>
                <w:szCs w:val="20"/>
              </w:rPr>
            </w:pPr>
            <w:r>
              <w:rPr>
                <w:rFonts w:eastAsia="Times New Roman"/>
                <w:sz w:val="20"/>
                <w:szCs w:val="20"/>
              </w:rPr>
              <w:t> </w:t>
            </w:r>
          </w:p>
        </w:tc>
        <w:tc>
          <w:tcPr>
            <w:tcW w:w="0" w:type="auto"/>
            <w:hideMark/>
          </w:tcPr>
          <w:p w14:paraId="49186C2E" w14:textId="77777777" w:rsidR="00000000" w:rsidRDefault="002F725F">
            <w:pPr>
              <w:jc w:val="both"/>
              <w:rPr>
                <w:rFonts w:eastAsia="Times New Roman"/>
                <w:sz w:val="20"/>
                <w:szCs w:val="20"/>
              </w:rPr>
            </w:pPr>
            <w:r>
              <w:rPr>
                <w:rFonts w:eastAsia="Times New Roman"/>
                <w:sz w:val="20"/>
                <w:szCs w:val="20"/>
              </w:rPr>
              <w:t> </w:t>
            </w:r>
          </w:p>
        </w:tc>
        <w:tc>
          <w:tcPr>
            <w:tcW w:w="0" w:type="auto"/>
            <w:hideMark/>
          </w:tcPr>
          <w:p w14:paraId="48FB09FC" w14:textId="77777777" w:rsidR="00000000" w:rsidRDefault="002F725F">
            <w:pPr>
              <w:jc w:val="both"/>
              <w:rPr>
                <w:rFonts w:eastAsia="Times New Roman"/>
                <w:sz w:val="20"/>
                <w:szCs w:val="20"/>
              </w:rPr>
            </w:pPr>
            <w:r>
              <w:rPr>
                <w:rFonts w:eastAsia="Times New Roman"/>
                <w:sz w:val="20"/>
                <w:szCs w:val="20"/>
              </w:rPr>
              <w:t> </w:t>
            </w:r>
          </w:p>
        </w:tc>
      </w:tr>
      <w:tr w:rsidR="00000000" w14:paraId="5596E4D3" w14:textId="77777777">
        <w:trPr>
          <w:divId w:val="415980837"/>
          <w:tblCellSpacing w:w="0" w:type="dxa"/>
        </w:trPr>
        <w:tc>
          <w:tcPr>
            <w:tcW w:w="0" w:type="auto"/>
            <w:hideMark/>
          </w:tcPr>
          <w:p w14:paraId="5AB9940E" w14:textId="77777777" w:rsidR="00000000" w:rsidRDefault="002F725F">
            <w:pPr>
              <w:jc w:val="both"/>
              <w:rPr>
                <w:rFonts w:eastAsia="Times New Roman"/>
                <w:sz w:val="20"/>
                <w:szCs w:val="20"/>
              </w:rPr>
            </w:pPr>
            <w:r>
              <w:rPr>
                <w:rFonts w:eastAsia="Times New Roman"/>
                <w:sz w:val="20"/>
                <w:szCs w:val="20"/>
              </w:rPr>
              <w:t> </w:t>
            </w:r>
          </w:p>
        </w:tc>
        <w:tc>
          <w:tcPr>
            <w:tcW w:w="0" w:type="auto"/>
            <w:gridSpan w:val="3"/>
            <w:hideMark/>
          </w:tcPr>
          <w:p w14:paraId="1C71D220" w14:textId="77777777" w:rsidR="00000000" w:rsidRDefault="002F725F">
            <w:pPr>
              <w:rPr>
                <w:rFonts w:eastAsia="Times New Roman"/>
                <w:sz w:val="20"/>
                <w:szCs w:val="20"/>
              </w:rPr>
            </w:pPr>
            <w:r>
              <w:rPr>
                <w:rFonts w:eastAsia="Times New Roman"/>
                <w:sz w:val="20"/>
                <w:szCs w:val="20"/>
              </w:rPr>
              <w:t>Oceanpine Merger Sub Inc.</w:t>
            </w:r>
          </w:p>
        </w:tc>
      </w:tr>
      <w:tr w:rsidR="00000000" w14:paraId="431BED75" w14:textId="77777777">
        <w:trPr>
          <w:divId w:val="415980837"/>
          <w:tblCellSpacing w:w="0" w:type="dxa"/>
        </w:trPr>
        <w:tc>
          <w:tcPr>
            <w:tcW w:w="0" w:type="auto"/>
            <w:hideMark/>
          </w:tcPr>
          <w:p w14:paraId="18D54C45" w14:textId="77777777" w:rsidR="00000000" w:rsidRDefault="002F725F">
            <w:pPr>
              <w:jc w:val="both"/>
              <w:rPr>
                <w:rFonts w:eastAsia="Times New Roman"/>
                <w:sz w:val="20"/>
                <w:szCs w:val="20"/>
              </w:rPr>
            </w:pPr>
            <w:r>
              <w:rPr>
                <w:rFonts w:eastAsia="Times New Roman"/>
                <w:sz w:val="20"/>
                <w:szCs w:val="20"/>
              </w:rPr>
              <w:t> </w:t>
            </w:r>
          </w:p>
        </w:tc>
        <w:tc>
          <w:tcPr>
            <w:tcW w:w="0" w:type="auto"/>
            <w:hideMark/>
          </w:tcPr>
          <w:p w14:paraId="49DBAFD5" w14:textId="77777777" w:rsidR="00000000" w:rsidRDefault="002F725F">
            <w:pPr>
              <w:rPr>
                <w:rFonts w:eastAsia="Times New Roman"/>
                <w:sz w:val="20"/>
                <w:szCs w:val="20"/>
              </w:rPr>
            </w:pPr>
            <w:r>
              <w:rPr>
                <w:rFonts w:eastAsia="Times New Roman"/>
                <w:sz w:val="20"/>
                <w:szCs w:val="20"/>
              </w:rPr>
              <w:t> </w:t>
            </w:r>
          </w:p>
        </w:tc>
        <w:tc>
          <w:tcPr>
            <w:tcW w:w="0" w:type="auto"/>
            <w:hideMark/>
          </w:tcPr>
          <w:p w14:paraId="0BF56423" w14:textId="77777777" w:rsidR="00000000" w:rsidRDefault="002F725F">
            <w:pPr>
              <w:jc w:val="both"/>
              <w:rPr>
                <w:rFonts w:eastAsia="Times New Roman"/>
                <w:sz w:val="20"/>
                <w:szCs w:val="20"/>
              </w:rPr>
            </w:pPr>
            <w:r>
              <w:rPr>
                <w:rFonts w:eastAsia="Times New Roman"/>
                <w:sz w:val="20"/>
                <w:szCs w:val="20"/>
              </w:rPr>
              <w:t> </w:t>
            </w:r>
          </w:p>
        </w:tc>
        <w:tc>
          <w:tcPr>
            <w:tcW w:w="0" w:type="auto"/>
            <w:hideMark/>
          </w:tcPr>
          <w:p w14:paraId="600F3973" w14:textId="77777777" w:rsidR="00000000" w:rsidRDefault="002F725F">
            <w:pPr>
              <w:jc w:val="both"/>
              <w:rPr>
                <w:rFonts w:eastAsia="Times New Roman"/>
                <w:sz w:val="20"/>
                <w:szCs w:val="20"/>
              </w:rPr>
            </w:pPr>
            <w:r>
              <w:rPr>
                <w:rFonts w:eastAsia="Times New Roman"/>
                <w:sz w:val="20"/>
                <w:szCs w:val="20"/>
              </w:rPr>
              <w:t> </w:t>
            </w:r>
          </w:p>
        </w:tc>
      </w:tr>
      <w:tr w:rsidR="00000000" w14:paraId="15717E47" w14:textId="77777777">
        <w:trPr>
          <w:divId w:val="415980837"/>
          <w:tblCellSpacing w:w="0" w:type="dxa"/>
        </w:trPr>
        <w:tc>
          <w:tcPr>
            <w:tcW w:w="0" w:type="auto"/>
            <w:hideMark/>
          </w:tcPr>
          <w:p w14:paraId="217184F0" w14:textId="77777777" w:rsidR="00000000" w:rsidRDefault="002F725F">
            <w:pPr>
              <w:jc w:val="both"/>
              <w:rPr>
                <w:rFonts w:eastAsia="Times New Roman"/>
                <w:sz w:val="20"/>
                <w:szCs w:val="20"/>
              </w:rPr>
            </w:pPr>
            <w:r>
              <w:rPr>
                <w:rFonts w:eastAsia="Times New Roman"/>
                <w:sz w:val="20"/>
                <w:szCs w:val="20"/>
              </w:rPr>
              <w:t> </w:t>
            </w:r>
          </w:p>
        </w:tc>
        <w:tc>
          <w:tcPr>
            <w:tcW w:w="0" w:type="auto"/>
            <w:hideMark/>
          </w:tcPr>
          <w:p w14:paraId="1B05A017" w14:textId="77777777" w:rsidR="00000000" w:rsidRDefault="002F725F">
            <w:pPr>
              <w:rPr>
                <w:rFonts w:eastAsia="Times New Roman"/>
                <w:sz w:val="20"/>
                <w:szCs w:val="20"/>
              </w:rPr>
            </w:pPr>
            <w:r>
              <w:rPr>
                <w:rFonts w:eastAsia="Times New Roman"/>
                <w:sz w:val="20"/>
                <w:szCs w:val="20"/>
              </w:rPr>
              <w:t>By:</w:t>
            </w:r>
          </w:p>
        </w:tc>
        <w:tc>
          <w:tcPr>
            <w:tcW w:w="0" w:type="auto"/>
            <w:gridSpan w:val="2"/>
            <w:tcBorders>
              <w:bottom w:val="single" w:sz="12" w:space="0" w:color="000000"/>
            </w:tcBorders>
            <w:hideMark/>
          </w:tcPr>
          <w:p w14:paraId="41DB4EF9" w14:textId="77777777" w:rsidR="00000000" w:rsidRDefault="002F725F">
            <w:pPr>
              <w:jc w:val="both"/>
              <w:rPr>
                <w:rFonts w:eastAsia="Times New Roman"/>
                <w:sz w:val="20"/>
                <w:szCs w:val="20"/>
              </w:rPr>
            </w:pPr>
            <w:r>
              <w:rPr>
                <w:rFonts w:eastAsia="Times New Roman"/>
                <w:sz w:val="20"/>
                <w:szCs w:val="20"/>
              </w:rPr>
              <w:t>/s/ NAN Shaodeng</w:t>
            </w:r>
          </w:p>
        </w:tc>
      </w:tr>
      <w:tr w:rsidR="00000000" w14:paraId="6E867CE3" w14:textId="77777777">
        <w:trPr>
          <w:divId w:val="415980837"/>
          <w:tblCellSpacing w:w="0" w:type="dxa"/>
        </w:trPr>
        <w:tc>
          <w:tcPr>
            <w:tcW w:w="0" w:type="auto"/>
            <w:hideMark/>
          </w:tcPr>
          <w:p w14:paraId="3E0618C6" w14:textId="77777777" w:rsidR="00000000" w:rsidRDefault="002F725F">
            <w:pPr>
              <w:jc w:val="both"/>
              <w:rPr>
                <w:rFonts w:eastAsia="Times New Roman"/>
                <w:sz w:val="20"/>
                <w:szCs w:val="20"/>
              </w:rPr>
            </w:pPr>
            <w:r>
              <w:rPr>
                <w:rFonts w:eastAsia="Times New Roman"/>
                <w:sz w:val="20"/>
                <w:szCs w:val="20"/>
              </w:rPr>
              <w:t> </w:t>
            </w:r>
          </w:p>
        </w:tc>
        <w:tc>
          <w:tcPr>
            <w:tcW w:w="0" w:type="auto"/>
            <w:hideMark/>
          </w:tcPr>
          <w:p w14:paraId="0AF13980" w14:textId="77777777" w:rsidR="00000000" w:rsidRDefault="002F725F">
            <w:pPr>
              <w:rPr>
                <w:rFonts w:eastAsia="Times New Roman"/>
                <w:sz w:val="20"/>
                <w:szCs w:val="20"/>
              </w:rPr>
            </w:pPr>
            <w:r>
              <w:rPr>
                <w:rFonts w:eastAsia="Times New Roman"/>
                <w:sz w:val="20"/>
                <w:szCs w:val="20"/>
              </w:rPr>
              <w:t> </w:t>
            </w:r>
          </w:p>
        </w:tc>
        <w:tc>
          <w:tcPr>
            <w:tcW w:w="0" w:type="auto"/>
            <w:hideMark/>
          </w:tcPr>
          <w:p w14:paraId="6337A79C" w14:textId="77777777" w:rsidR="00000000" w:rsidRDefault="002F725F">
            <w:pPr>
              <w:jc w:val="both"/>
              <w:rPr>
                <w:rFonts w:eastAsia="Times New Roman"/>
                <w:sz w:val="20"/>
                <w:szCs w:val="20"/>
              </w:rPr>
            </w:pPr>
            <w:r>
              <w:rPr>
                <w:rFonts w:eastAsia="Times New Roman"/>
                <w:sz w:val="20"/>
                <w:szCs w:val="20"/>
              </w:rPr>
              <w:t>Name:</w:t>
            </w:r>
          </w:p>
        </w:tc>
        <w:tc>
          <w:tcPr>
            <w:tcW w:w="0" w:type="auto"/>
            <w:hideMark/>
          </w:tcPr>
          <w:p w14:paraId="6925E9C8" w14:textId="77777777" w:rsidR="00000000" w:rsidRDefault="002F725F">
            <w:pPr>
              <w:jc w:val="both"/>
              <w:rPr>
                <w:rFonts w:eastAsia="Times New Roman"/>
                <w:sz w:val="20"/>
                <w:szCs w:val="20"/>
              </w:rPr>
            </w:pPr>
            <w:r>
              <w:rPr>
                <w:rFonts w:eastAsia="Times New Roman"/>
                <w:sz w:val="20"/>
                <w:szCs w:val="20"/>
              </w:rPr>
              <w:t>NAN Shaodeng</w:t>
            </w:r>
          </w:p>
        </w:tc>
      </w:tr>
      <w:tr w:rsidR="00000000" w14:paraId="4A474B53" w14:textId="77777777">
        <w:trPr>
          <w:divId w:val="415980837"/>
          <w:tblCellSpacing w:w="0" w:type="dxa"/>
        </w:trPr>
        <w:tc>
          <w:tcPr>
            <w:tcW w:w="0" w:type="auto"/>
            <w:hideMark/>
          </w:tcPr>
          <w:p w14:paraId="38720B7F" w14:textId="77777777" w:rsidR="00000000" w:rsidRDefault="002F725F">
            <w:pPr>
              <w:jc w:val="both"/>
              <w:rPr>
                <w:rFonts w:eastAsia="Times New Roman"/>
                <w:sz w:val="20"/>
                <w:szCs w:val="20"/>
              </w:rPr>
            </w:pPr>
            <w:r>
              <w:rPr>
                <w:rFonts w:eastAsia="Times New Roman"/>
                <w:sz w:val="20"/>
                <w:szCs w:val="20"/>
              </w:rPr>
              <w:t> </w:t>
            </w:r>
          </w:p>
        </w:tc>
        <w:tc>
          <w:tcPr>
            <w:tcW w:w="0" w:type="auto"/>
            <w:hideMark/>
          </w:tcPr>
          <w:p w14:paraId="0A2FEADF" w14:textId="77777777" w:rsidR="00000000" w:rsidRDefault="002F725F">
            <w:pPr>
              <w:rPr>
                <w:rFonts w:eastAsia="Times New Roman"/>
                <w:sz w:val="20"/>
                <w:szCs w:val="20"/>
              </w:rPr>
            </w:pPr>
            <w:r>
              <w:rPr>
                <w:rFonts w:eastAsia="Times New Roman"/>
                <w:sz w:val="20"/>
                <w:szCs w:val="20"/>
              </w:rPr>
              <w:t> </w:t>
            </w:r>
          </w:p>
        </w:tc>
        <w:tc>
          <w:tcPr>
            <w:tcW w:w="0" w:type="auto"/>
            <w:hideMark/>
          </w:tcPr>
          <w:p w14:paraId="6B52176B" w14:textId="77777777" w:rsidR="00000000" w:rsidRDefault="002F725F">
            <w:pPr>
              <w:jc w:val="both"/>
              <w:rPr>
                <w:rFonts w:eastAsia="Times New Roman"/>
                <w:sz w:val="20"/>
                <w:szCs w:val="20"/>
              </w:rPr>
            </w:pPr>
            <w:r>
              <w:rPr>
                <w:rFonts w:eastAsia="Times New Roman"/>
                <w:sz w:val="20"/>
                <w:szCs w:val="20"/>
              </w:rPr>
              <w:t>Title:</w:t>
            </w:r>
          </w:p>
        </w:tc>
        <w:tc>
          <w:tcPr>
            <w:tcW w:w="0" w:type="auto"/>
            <w:hideMark/>
          </w:tcPr>
          <w:p w14:paraId="47595CBB" w14:textId="77777777" w:rsidR="00000000" w:rsidRDefault="002F725F">
            <w:pPr>
              <w:jc w:val="both"/>
              <w:rPr>
                <w:rFonts w:eastAsia="Times New Roman"/>
                <w:sz w:val="20"/>
                <w:szCs w:val="20"/>
              </w:rPr>
            </w:pPr>
            <w:r>
              <w:rPr>
                <w:rFonts w:eastAsia="Times New Roman"/>
                <w:sz w:val="20"/>
                <w:szCs w:val="20"/>
              </w:rPr>
              <w:t>Director</w:t>
            </w:r>
          </w:p>
        </w:tc>
      </w:tr>
    </w:tbl>
    <w:p w14:paraId="2C217D61" w14:textId="77777777" w:rsidR="00000000" w:rsidRDefault="002F725F">
      <w:pPr>
        <w:pStyle w:val="NormalWeb"/>
        <w:spacing w:before="0" w:beforeAutospacing="0" w:after="0" w:afterAutospacing="0"/>
        <w:ind w:left="4320"/>
        <w:divId w:val="415980837"/>
        <w:rPr>
          <w:sz w:val="20"/>
          <w:szCs w:val="20"/>
        </w:rPr>
      </w:pPr>
      <w:r>
        <w:rPr>
          <w:sz w:val="20"/>
          <w:szCs w:val="20"/>
        </w:rPr>
        <w:t> </w:t>
      </w:r>
    </w:p>
    <w:p w14:paraId="1BD3BDFE" w14:textId="77777777" w:rsidR="00000000" w:rsidRDefault="002F725F">
      <w:pPr>
        <w:pStyle w:val="NormalWeb"/>
        <w:spacing w:before="0" w:beforeAutospacing="0" w:after="0" w:afterAutospacing="0"/>
        <w:jc w:val="center"/>
        <w:divId w:val="415980837"/>
        <w:rPr>
          <w:sz w:val="20"/>
          <w:szCs w:val="20"/>
        </w:rPr>
      </w:pPr>
      <w:r>
        <w:rPr>
          <w:sz w:val="20"/>
          <w:szCs w:val="20"/>
          <w:shd w:val="clear" w:color="auto" w:fill="FFFFFF"/>
        </w:rPr>
        <w:t xml:space="preserve">[Signature Page to Amendment </w:t>
      </w:r>
      <w:r>
        <w:rPr>
          <w:sz w:val="20"/>
          <w:szCs w:val="20"/>
          <w:shd w:val="clear" w:color="auto" w:fill="FFFFFF"/>
        </w:rPr>
        <w:t>No. 1 to Agreement and Plan of Merger]</w:t>
      </w:r>
    </w:p>
    <w:p w14:paraId="252C8541" w14:textId="77777777" w:rsidR="00000000" w:rsidRDefault="002F725F">
      <w:pPr>
        <w:pStyle w:val="NormalWeb"/>
        <w:spacing w:before="0" w:beforeAutospacing="0" w:after="0" w:afterAutospacing="0"/>
        <w:ind w:left="4320"/>
        <w:divId w:val="415980837"/>
        <w:rPr>
          <w:sz w:val="20"/>
          <w:szCs w:val="20"/>
        </w:rPr>
      </w:pPr>
      <w:r>
        <w:rPr>
          <w:sz w:val="20"/>
          <w:szCs w:val="20"/>
        </w:rPr>
        <w:t> </w:t>
      </w:r>
    </w:p>
    <w:p w14:paraId="3800C922" w14:textId="77777777" w:rsidR="00000000" w:rsidRDefault="002F725F">
      <w:pPr>
        <w:pStyle w:val="NormalWeb"/>
        <w:spacing w:before="0" w:beforeAutospacing="0" w:after="0" w:afterAutospacing="0"/>
        <w:jc w:val="center"/>
        <w:divId w:val="1113286162"/>
        <w:rPr>
          <w:sz w:val="20"/>
          <w:szCs w:val="20"/>
        </w:rPr>
      </w:pPr>
      <w:r>
        <w:rPr>
          <w:sz w:val="20"/>
          <w:szCs w:val="20"/>
        </w:rPr>
        <w:t>A</w:t>
      </w:r>
      <w:r>
        <w:rPr>
          <w:sz w:val="20"/>
          <w:szCs w:val="20"/>
        </w:rPr>
        <w:t>-</w:t>
      </w:r>
      <w:r>
        <w:rPr>
          <w:sz w:val="20"/>
          <w:szCs w:val="20"/>
        </w:rPr>
        <w:t>7</w:t>
      </w:r>
      <w:r>
        <w:rPr>
          <w:sz w:val="20"/>
          <w:szCs w:val="20"/>
        </w:rPr>
        <w:t>1</w:t>
      </w:r>
    </w:p>
    <w:p w14:paraId="1130F1E0" w14:textId="77777777" w:rsidR="00000000" w:rsidRDefault="002F725F">
      <w:pPr>
        <w:pStyle w:val="NormalWeb"/>
        <w:spacing w:before="0" w:beforeAutospacing="0" w:after="0" w:afterAutospacing="0"/>
        <w:divId w:val="1535390325"/>
        <w:rPr>
          <w:sz w:val="20"/>
          <w:szCs w:val="20"/>
        </w:rPr>
      </w:pPr>
      <w:r>
        <w:rPr>
          <w:sz w:val="20"/>
          <w:szCs w:val="20"/>
        </w:rPr>
        <w:t> </w:t>
      </w:r>
    </w:p>
    <w:p w14:paraId="1DBBCDA8"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8CD711C" w14:textId="77777777" w:rsidR="00000000" w:rsidRDefault="002F725F">
      <w:pPr>
        <w:pStyle w:val="NormalWeb"/>
        <w:spacing w:before="0" w:beforeAutospacing="0" w:after="0" w:afterAutospacing="0"/>
        <w:jc w:val="center"/>
        <w:divId w:val="415980837"/>
        <w:rPr>
          <w:sz w:val="20"/>
          <w:szCs w:val="20"/>
        </w:rPr>
      </w:pPr>
      <w:bookmarkStart w:id="36" w:name="gfpea028961701ex99-a1.htmB_01"/>
      <w:bookmarkEnd w:id="36"/>
      <w:r>
        <w:rPr>
          <w:b/>
          <w:bCs/>
          <w:sz w:val="20"/>
          <w:szCs w:val="20"/>
          <w:u w:val="single"/>
        </w:rPr>
        <w:t>Annex B</w:t>
      </w:r>
      <w:r>
        <w:rPr>
          <w:sz w:val="20"/>
          <w:szCs w:val="20"/>
        </w:rPr>
        <w:t> </w:t>
      </w:r>
    </w:p>
    <w:p w14:paraId="0C79192A"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1CC71981" w14:textId="77777777" w:rsidR="00000000" w:rsidRDefault="002F725F">
      <w:pPr>
        <w:pStyle w:val="NormalWeb"/>
        <w:spacing w:before="0" w:beforeAutospacing="0" w:after="0" w:afterAutospacing="0"/>
        <w:jc w:val="center"/>
        <w:divId w:val="415980837"/>
        <w:rPr>
          <w:sz w:val="20"/>
          <w:szCs w:val="20"/>
        </w:rPr>
      </w:pPr>
      <w:r>
        <w:rPr>
          <w:b/>
          <w:bCs/>
          <w:sz w:val="20"/>
          <w:szCs w:val="20"/>
        </w:rPr>
        <w:t xml:space="preserve">PLAN OF MERGER </w:t>
      </w:r>
    </w:p>
    <w:p w14:paraId="1D2A3B03"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826B110" w14:textId="77777777" w:rsidR="00000000" w:rsidRDefault="002F725F">
      <w:pPr>
        <w:pStyle w:val="NormalWeb"/>
        <w:spacing w:before="0" w:beforeAutospacing="0" w:after="0" w:afterAutospacing="0"/>
        <w:divId w:val="415980837"/>
        <w:rPr>
          <w:sz w:val="20"/>
          <w:szCs w:val="20"/>
        </w:rPr>
      </w:pPr>
      <w:r>
        <w:rPr>
          <w:b/>
          <w:bCs/>
          <w:sz w:val="20"/>
          <w:szCs w:val="20"/>
        </w:rPr>
        <w:t> </w:t>
      </w:r>
    </w:p>
    <w:p w14:paraId="7F639DE2" w14:textId="77777777" w:rsidR="00000000" w:rsidRDefault="002F725F">
      <w:pPr>
        <w:pStyle w:val="NormalWeb"/>
        <w:spacing w:before="0" w:beforeAutospacing="0" w:after="0" w:afterAutospacing="0"/>
        <w:divId w:val="415980837"/>
        <w:rPr>
          <w:sz w:val="20"/>
          <w:szCs w:val="20"/>
        </w:rPr>
      </w:pPr>
      <w:r>
        <w:rPr>
          <w:sz w:val="20"/>
          <w:szCs w:val="20"/>
        </w:rPr>
        <w:t> </w:t>
      </w:r>
    </w:p>
    <w:p w14:paraId="2BACD6AC" w14:textId="77777777" w:rsidR="00000000" w:rsidRDefault="002F725F">
      <w:pPr>
        <w:pStyle w:val="NormalWeb"/>
        <w:spacing w:before="0" w:beforeAutospacing="0" w:after="0" w:afterAutospacing="0"/>
        <w:jc w:val="center"/>
        <w:divId w:val="415980837"/>
        <w:rPr>
          <w:sz w:val="20"/>
          <w:szCs w:val="20"/>
        </w:rPr>
      </w:pPr>
      <w:r>
        <w:rPr>
          <w:b/>
          <w:bCs/>
          <w:caps/>
          <w:sz w:val="20"/>
          <w:szCs w:val="20"/>
        </w:rPr>
        <w:t>DATED ____________________</w:t>
      </w:r>
    </w:p>
    <w:p w14:paraId="20B449CC" w14:textId="77777777" w:rsidR="00000000" w:rsidRDefault="002F725F">
      <w:pPr>
        <w:pStyle w:val="NormalWeb"/>
        <w:spacing w:before="0" w:beforeAutospacing="0" w:after="0" w:afterAutospacing="0"/>
        <w:jc w:val="center"/>
        <w:divId w:val="415980837"/>
        <w:rPr>
          <w:sz w:val="20"/>
          <w:szCs w:val="20"/>
        </w:rPr>
      </w:pPr>
      <w:r>
        <w:rPr>
          <w:b/>
          <w:bCs/>
          <w:caps/>
          <w:sz w:val="20"/>
          <w:szCs w:val="20"/>
        </w:rPr>
        <w:t> </w:t>
      </w:r>
    </w:p>
    <w:p w14:paraId="3F7FCB43" w14:textId="77777777" w:rsidR="00000000" w:rsidRDefault="002F725F">
      <w:pPr>
        <w:pStyle w:val="NormalWeb"/>
        <w:spacing w:before="0" w:beforeAutospacing="0" w:after="0" w:afterAutospacing="0"/>
        <w:jc w:val="center"/>
        <w:divId w:val="415980837"/>
        <w:rPr>
          <w:sz w:val="20"/>
          <w:szCs w:val="20"/>
        </w:rPr>
      </w:pPr>
      <w:r>
        <w:rPr>
          <w:b/>
          <w:bCs/>
          <w:caps/>
          <w:sz w:val="20"/>
          <w:szCs w:val="20"/>
        </w:rPr>
        <w:t> </w:t>
      </w:r>
    </w:p>
    <w:p w14:paraId="24A58D01"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E1F13A9"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0942325C"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B929F8E"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2FFE3E6" w14:textId="77777777" w:rsidR="00000000" w:rsidRDefault="002F725F">
      <w:pPr>
        <w:pStyle w:val="NormalWeb"/>
        <w:spacing w:before="0" w:beforeAutospacing="0" w:after="0" w:afterAutospacing="0"/>
        <w:jc w:val="center"/>
        <w:divId w:val="415980837"/>
        <w:rPr>
          <w:sz w:val="20"/>
          <w:szCs w:val="20"/>
        </w:rPr>
      </w:pPr>
      <w:r>
        <w:rPr>
          <w:b/>
          <w:bCs/>
          <w:caps/>
          <w:sz w:val="20"/>
          <w:szCs w:val="20"/>
        </w:rPr>
        <w:t>lakeshore biopharma co., ltd</w:t>
      </w:r>
      <w:r>
        <w:rPr>
          <w:sz w:val="20"/>
          <w:szCs w:val="20"/>
        </w:rPr>
        <w:t xml:space="preserve"> </w:t>
      </w:r>
    </w:p>
    <w:p w14:paraId="3DD6DC2D"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76C97A38" w14:textId="77777777" w:rsidR="00000000" w:rsidRDefault="002F725F">
      <w:pPr>
        <w:pStyle w:val="NormalWeb"/>
        <w:spacing w:before="0" w:beforeAutospacing="0" w:after="0" w:afterAutospacing="0"/>
        <w:jc w:val="center"/>
        <w:divId w:val="415980837"/>
        <w:rPr>
          <w:sz w:val="20"/>
          <w:szCs w:val="20"/>
        </w:rPr>
      </w:pPr>
      <w:r>
        <w:rPr>
          <w:b/>
          <w:bCs/>
          <w:caps/>
          <w:sz w:val="20"/>
          <w:szCs w:val="20"/>
        </w:rPr>
        <w:t>and</w:t>
      </w:r>
      <w:r>
        <w:rPr>
          <w:sz w:val="20"/>
          <w:szCs w:val="20"/>
        </w:rPr>
        <w:t xml:space="preserve"> </w:t>
      </w:r>
    </w:p>
    <w:p w14:paraId="2A62A850"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25DFC32E" w14:textId="77777777" w:rsidR="00000000" w:rsidRDefault="002F725F">
      <w:pPr>
        <w:pStyle w:val="NormalWeb"/>
        <w:spacing w:before="0" w:beforeAutospacing="0" w:after="0" w:afterAutospacing="0"/>
        <w:jc w:val="center"/>
        <w:divId w:val="415980837"/>
        <w:rPr>
          <w:sz w:val="20"/>
          <w:szCs w:val="20"/>
        </w:rPr>
      </w:pPr>
      <w:r>
        <w:rPr>
          <w:b/>
          <w:bCs/>
          <w:sz w:val="20"/>
          <w:szCs w:val="20"/>
        </w:rPr>
        <w:t>OCEANPINE MERGER SUB INC.</w:t>
      </w:r>
    </w:p>
    <w:p w14:paraId="144F8572"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9BF0FB3"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1CA2317"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02B0F3C3"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984417A"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1D0C3A8"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00EEE8D0"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86632CD"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33B7C801"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C809206" w14:textId="77777777" w:rsidR="00000000" w:rsidRDefault="002F725F">
      <w:pPr>
        <w:divId w:val="1144736833"/>
        <w:rPr>
          <w:rFonts w:eastAsia="Times New Roman"/>
          <w:sz w:val="2"/>
          <w:szCs w:val="2"/>
        </w:rPr>
      </w:pPr>
      <w:r>
        <w:rPr>
          <w:rFonts w:eastAsia="Times New Roman"/>
          <w:sz w:val="2"/>
          <w:szCs w:val="2"/>
        </w:rPr>
        <w:t> </w:t>
      </w:r>
    </w:p>
    <w:p w14:paraId="5B6ECAD7"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4689211" w14:textId="77777777" w:rsidR="00000000" w:rsidRDefault="002F725F">
      <w:pPr>
        <w:pStyle w:val="NormalWeb"/>
        <w:spacing w:before="0" w:beforeAutospacing="0" w:after="0" w:afterAutospacing="0"/>
        <w:jc w:val="center"/>
        <w:divId w:val="415980837"/>
        <w:rPr>
          <w:sz w:val="20"/>
          <w:szCs w:val="20"/>
        </w:rPr>
      </w:pPr>
      <w:r>
        <w:rPr>
          <w:b/>
          <w:bCs/>
          <w:caps/>
          <w:sz w:val="20"/>
          <w:szCs w:val="20"/>
        </w:rPr>
        <w:t>PLAN OF MERGER</w:t>
      </w:r>
      <w:r>
        <w:rPr>
          <w:sz w:val="20"/>
          <w:szCs w:val="20"/>
        </w:rPr>
        <w:t xml:space="preserve"> </w:t>
      </w:r>
    </w:p>
    <w:p w14:paraId="7AB86898"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0F9187EE" w14:textId="77777777" w:rsidR="00000000" w:rsidRDefault="002F725F">
      <w:pPr>
        <w:divId w:val="1844735687"/>
        <w:rPr>
          <w:rFonts w:eastAsia="Times New Roman"/>
          <w:sz w:val="2"/>
          <w:szCs w:val="2"/>
        </w:rPr>
      </w:pPr>
      <w:r>
        <w:rPr>
          <w:rFonts w:eastAsia="Times New Roman"/>
          <w:sz w:val="2"/>
          <w:szCs w:val="2"/>
        </w:rPr>
        <w:t> </w:t>
      </w:r>
    </w:p>
    <w:p w14:paraId="5D1880EA" w14:textId="77777777" w:rsidR="00000000" w:rsidRDefault="002F725F">
      <w:pPr>
        <w:pStyle w:val="NormalWeb"/>
        <w:spacing w:before="0" w:beforeAutospacing="0" w:after="0" w:afterAutospacing="0"/>
        <w:divId w:val="415980837"/>
        <w:rPr>
          <w:sz w:val="20"/>
          <w:szCs w:val="20"/>
        </w:rPr>
      </w:pPr>
      <w:r>
        <w:rPr>
          <w:sz w:val="20"/>
          <w:szCs w:val="20"/>
        </w:rPr>
        <w:t> </w:t>
      </w:r>
    </w:p>
    <w:p w14:paraId="1016677A" w14:textId="77777777" w:rsidR="00000000" w:rsidRDefault="002F725F">
      <w:pPr>
        <w:pStyle w:val="NormalWeb"/>
        <w:spacing w:before="0" w:beforeAutospacing="0" w:after="0" w:afterAutospacing="0"/>
        <w:jc w:val="center"/>
        <w:divId w:val="645277662"/>
        <w:rPr>
          <w:sz w:val="20"/>
          <w:szCs w:val="20"/>
        </w:rPr>
      </w:pPr>
      <w:r>
        <w:rPr>
          <w:sz w:val="20"/>
          <w:szCs w:val="20"/>
        </w:rPr>
        <w:lastRenderedPageBreak/>
        <w:t>B</w:t>
      </w:r>
      <w:r>
        <w:rPr>
          <w:sz w:val="20"/>
          <w:szCs w:val="20"/>
        </w:rPr>
        <w:t>-</w:t>
      </w:r>
      <w:r>
        <w:rPr>
          <w:sz w:val="20"/>
          <w:szCs w:val="20"/>
        </w:rPr>
        <w:t>1</w:t>
      </w:r>
    </w:p>
    <w:p w14:paraId="468C7E53" w14:textId="77777777" w:rsidR="00000000" w:rsidRDefault="002F725F">
      <w:pPr>
        <w:pStyle w:val="NormalWeb"/>
        <w:spacing w:before="0" w:beforeAutospacing="0" w:after="0" w:afterAutospacing="0"/>
        <w:divId w:val="415980837"/>
        <w:rPr>
          <w:sz w:val="20"/>
          <w:szCs w:val="20"/>
        </w:rPr>
      </w:pPr>
      <w:r>
        <w:rPr>
          <w:sz w:val="20"/>
          <w:szCs w:val="20"/>
        </w:rPr>
        <w:t> </w:t>
      </w:r>
    </w:p>
    <w:p w14:paraId="16D7092D" w14:textId="77777777" w:rsidR="00000000" w:rsidRDefault="002F725F">
      <w:pPr>
        <w:pStyle w:val="NormalWeb"/>
        <w:spacing w:before="0" w:beforeAutospacing="0" w:after="0" w:afterAutospacing="0"/>
        <w:divId w:val="415980837"/>
        <w:rPr>
          <w:sz w:val="20"/>
          <w:szCs w:val="20"/>
        </w:rPr>
      </w:pPr>
      <w:r>
        <w:rPr>
          <w:b/>
          <w:bCs/>
          <w:sz w:val="20"/>
          <w:szCs w:val="20"/>
        </w:rPr>
        <w:t xml:space="preserve">THIS PLAN </w:t>
      </w:r>
      <w:r>
        <w:rPr>
          <w:b/>
          <w:bCs/>
          <w:sz w:val="20"/>
          <w:szCs w:val="20"/>
        </w:rPr>
        <w:t>OF MERGER</w:t>
      </w:r>
      <w:r>
        <w:rPr>
          <w:sz w:val="20"/>
          <w:szCs w:val="20"/>
        </w:rPr>
        <w:t xml:space="preserve"> is made on ___________________</w:t>
      </w:r>
    </w:p>
    <w:p w14:paraId="5287C0B7" w14:textId="77777777" w:rsidR="00000000" w:rsidRDefault="002F725F">
      <w:pPr>
        <w:pStyle w:val="NormalWeb"/>
        <w:spacing w:before="0" w:beforeAutospacing="0" w:after="0" w:afterAutospacing="0"/>
        <w:divId w:val="415980837"/>
        <w:rPr>
          <w:sz w:val="20"/>
          <w:szCs w:val="20"/>
        </w:rPr>
      </w:pPr>
      <w:r>
        <w:rPr>
          <w:sz w:val="20"/>
          <w:szCs w:val="20"/>
        </w:rPr>
        <w:t> </w:t>
      </w:r>
    </w:p>
    <w:p w14:paraId="3CF8FD41" w14:textId="77777777" w:rsidR="00000000" w:rsidRDefault="002F725F">
      <w:pPr>
        <w:pStyle w:val="NormalWeb"/>
        <w:spacing w:before="0" w:beforeAutospacing="0" w:after="0" w:afterAutospacing="0"/>
        <w:divId w:val="415980837"/>
        <w:rPr>
          <w:sz w:val="20"/>
          <w:szCs w:val="20"/>
        </w:rPr>
      </w:pPr>
      <w:r>
        <w:rPr>
          <w:b/>
          <w:bCs/>
          <w:sz w:val="20"/>
          <w:szCs w:val="20"/>
        </w:rPr>
        <w:t>BETWEEN</w:t>
      </w:r>
    </w:p>
    <w:p w14:paraId="3718791C" w14:textId="77777777" w:rsidR="00000000" w:rsidRDefault="002F725F">
      <w:pPr>
        <w:pStyle w:val="NormalWeb"/>
        <w:spacing w:before="0" w:beforeAutospacing="0" w:after="0" w:afterAutospacing="0"/>
        <w:divId w:val="415980837"/>
        <w:rPr>
          <w:sz w:val="20"/>
          <w:szCs w:val="20"/>
        </w:rPr>
      </w:pPr>
      <w:r>
        <w:rPr>
          <w:sz w:val="20"/>
          <w:szCs w:val="20"/>
        </w:rPr>
        <w:t> </w:t>
      </w:r>
    </w:p>
    <w:p w14:paraId="40EB007D" w14:textId="77777777" w:rsidR="00000000" w:rsidRDefault="002F725F">
      <w:pPr>
        <w:pStyle w:val="NormalWeb"/>
        <w:spacing w:before="0" w:beforeAutospacing="0" w:after="0" w:afterAutospacing="0"/>
        <w:jc w:val="both"/>
        <w:divId w:val="415980837"/>
        <w:rPr>
          <w:sz w:val="20"/>
          <w:szCs w:val="20"/>
        </w:rPr>
      </w:pPr>
      <w:r>
        <w:rPr>
          <w:b/>
          <w:bCs/>
          <w:sz w:val="20"/>
          <w:szCs w:val="20"/>
        </w:rPr>
        <w:t>LakeShore Biopharma Co., Ltd</w:t>
      </w:r>
      <w:r>
        <w:rPr>
          <w:sz w:val="20"/>
          <w:szCs w:val="20"/>
        </w:rPr>
        <w:t xml:space="preserve">, an exempted company with limited liability incorporated under the Laws of the Cayman Islands and formerly known as YishengBio Co., Ltd and YS Biopharma Co., Ltd. having its </w:t>
      </w:r>
      <w:r>
        <w:rPr>
          <w:sz w:val="20"/>
          <w:szCs w:val="20"/>
        </w:rPr>
        <w:t>registered office at the offices of Maples Corporate Services Limited, PO Box 309, Ugland House, Grand Cayman, KY1-1104, Cayman Islands (the “</w:t>
      </w:r>
      <w:r>
        <w:rPr>
          <w:b/>
          <w:bCs/>
          <w:sz w:val="20"/>
          <w:szCs w:val="20"/>
        </w:rPr>
        <w:t>Company</w:t>
      </w:r>
      <w:r>
        <w:rPr>
          <w:sz w:val="20"/>
          <w:szCs w:val="20"/>
        </w:rPr>
        <w:t>” or the “</w:t>
      </w:r>
      <w:r>
        <w:rPr>
          <w:b/>
          <w:bCs/>
          <w:sz w:val="20"/>
          <w:szCs w:val="20"/>
        </w:rPr>
        <w:t>Surviving Company</w:t>
      </w:r>
      <w:r>
        <w:rPr>
          <w:sz w:val="20"/>
          <w:szCs w:val="20"/>
        </w:rPr>
        <w:t>”); and</w:t>
      </w:r>
    </w:p>
    <w:p w14:paraId="127E82AC" w14:textId="77777777" w:rsidR="00000000" w:rsidRDefault="002F725F">
      <w:pPr>
        <w:pStyle w:val="NormalWeb"/>
        <w:spacing w:before="0" w:beforeAutospacing="0" w:after="0" w:afterAutospacing="0"/>
        <w:divId w:val="415980837"/>
        <w:rPr>
          <w:sz w:val="20"/>
          <w:szCs w:val="20"/>
        </w:rPr>
      </w:pPr>
      <w:r>
        <w:rPr>
          <w:sz w:val="20"/>
          <w:szCs w:val="20"/>
        </w:rPr>
        <w:t> </w:t>
      </w:r>
    </w:p>
    <w:p w14:paraId="1A67A9FF" w14:textId="77777777" w:rsidR="00000000" w:rsidRDefault="002F725F">
      <w:pPr>
        <w:pStyle w:val="NormalWeb"/>
        <w:spacing w:before="0" w:beforeAutospacing="0" w:after="0" w:afterAutospacing="0"/>
        <w:jc w:val="both"/>
        <w:divId w:val="415980837"/>
        <w:rPr>
          <w:sz w:val="20"/>
          <w:szCs w:val="20"/>
        </w:rPr>
      </w:pPr>
      <w:r>
        <w:rPr>
          <w:b/>
          <w:bCs/>
          <w:sz w:val="20"/>
          <w:szCs w:val="20"/>
        </w:rPr>
        <w:t>Oceanpine Merger Sub Inc.</w:t>
      </w:r>
      <w:r>
        <w:rPr>
          <w:sz w:val="20"/>
          <w:szCs w:val="20"/>
        </w:rPr>
        <w:t xml:space="preserve">, an exempted company with limited liability </w:t>
      </w:r>
      <w:r>
        <w:rPr>
          <w:sz w:val="20"/>
          <w:szCs w:val="20"/>
        </w:rPr>
        <w:t>incorporated under the Laws of the Cayman Islands having its registered office at the offices of Vistra (Cayman) Limited, P. O. Box 31119 Grand Pavilion, Hibiscus Way, 802 West Bay Road, Grand Cayman, KY1 - 1205 Cayman Islands (the “</w:t>
      </w:r>
      <w:r>
        <w:rPr>
          <w:b/>
          <w:bCs/>
          <w:sz w:val="20"/>
          <w:szCs w:val="20"/>
        </w:rPr>
        <w:t>Merging Company</w:t>
      </w:r>
      <w:r>
        <w:rPr>
          <w:sz w:val="20"/>
          <w:szCs w:val="20"/>
        </w:rPr>
        <w:t>” and to</w:t>
      </w:r>
      <w:r>
        <w:rPr>
          <w:sz w:val="20"/>
          <w:szCs w:val="20"/>
        </w:rPr>
        <w:t>gether with the Company, the “</w:t>
      </w:r>
      <w:r>
        <w:rPr>
          <w:b/>
          <w:bCs/>
          <w:sz w:val="20"/>
          <w:szCs w:val="20"/>
        </w:rPr>
        <w:t>Constituent Companies</w:t>
      </w:r>
      <w:r>
        <w:rPr>
          <w:sz w:val="20"/>
          <w:szCs w:val="20"/>
        </w:rPr>
        <w:t>”).</w:t>
      </w:r>
    </w:p>
    <w:p w14:paraId="15F1673E" w14:textId="77777777" w:rsidR="00000000" w:rsidRDefault="002F725F">
      <w:pPr>
        <w:pStyle w:val="NormalWeb"/>
        <w:spacing w:before="0" w:beforeAutospacing="0" w:after="0" w:afterAutospacing="0"/>
        <w:divId w:val="415980837"/>
        <w:rPr>
          <w:sz w:val="20"/>
          <w:szCs w:val="20"/>
        </w:rPr>
      </w:pPr>
      <w:r>
        <w:rPr>
          <w:sz w:val="20"/>
          <w:szCs w:val="20"/>
        </w:rPr>
        <w:t> </w:t>
      </w:r>
    </w:p>
    <w:p w14:paraId="69127390" w14:textId="77777777" w:rsidR="00000000" w:rsidRDefault="002F725F">
      <w:pPr>
        <w:pStyle w:val="NormalWeb"/>
        <w:spacing w:before="0" w:beforeAutospacing="0" w:after="0" w:afterAutospacing="0"/>
        <w:divId w:val="415980837"/>
        <w:rPr>
          <w:sz w:val="20"/>
          <w:szCs w:val="20"/>
        </w:rPr>
      </w:pPr>
      <w:r>
        <w:rPr>
          <w:b/>
          <w:bCs/>
          <w:sz w:val="20"/>
          <w:szCs w:val="20"/>
        </w:rPr>
        <w:t>WHEREAS</w:t>
      </w:r>
    </w:p>
    <w:p w14:paraId="03E84471"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66D60F50" w14:textId="77777777">
        <w:trPr>
          <w:divId w:val="415980837"/>
          <w:tblCellSpacing w:w="0" w:type="dxa"/>
        </w:trPr>
        <w:tc>
          <w:tcPr>
            <w:tcW w:w="6" w:type="dxa"/>
            <w:hideMark/>
          </w:tcPr>
          <w:p w14:paraId="00965076" w14:textId="77777777" w:rsidR="00000000" w:rsidRDefault="002F725F">
            <w:pPr>
              <w:rPr>
                <w:sz w:val="20"/>
                <w:szCs w:val="20"/>
              </w:rPr>
            </w:pPr>
          </w:p>
        </w:tc>
        <w:tc>
          <w:tcPr>
            <w:tcW w:w="720" w:type="dxa"/>
            <w:hideMark/>
          </w:tcPr>
          <w:p w14:paraId="21997531" w14:textId="77777777" w:rsidR="00000000" w:rsidRDefault="002F725F">
            <w:pPr>
              <w:rPr>
                <w:rFonts w:eastAsia="Times New Roman"/>
                <w:sz w:val="20"/>
                <w:szCs w:val="20"/>
              </w:rPr>
            </w:pPr>
            <w:r>
              <w:rPr>
                <w:rFonts w:eastAsia="Times New Roman"/>
                <w:sz w:val="20"/>
                <w:szCs w:val="20"/>
              </w:rPr>
              <w:t>(A)</w:t>
            </w:r>
          </w:p>
        </w:tc>
        <w:tc>
          <w:tcPr>
            <w:tcW w:w="0" w:type="auto"/>
            <w:hideMark/>
          </w:tcPr>
          <w:p w14:paraId="1731A6BB" w14:textId="77777777" w:rsidR="00000000" w:rsidRDefault="002F725F">
            <w:pPr>
              <w:jc w:val="both"/>
              <w:rPr>
                <w:rFonts w:eastAsia="Times New Roman"/>
                <w:sz w:val="20"/>
                <w:szCs w:val="20"/>
              </w:rPr>
            </w:pPr>
            <w:r>
              <w:rPr>
                <w:rFonts w:eastAsia="Times New Roman"/>
                <w:sz w:val="20"/>
                <w:szCs w:val="20"/>
              </w:rPr>
              <w:t>The respective boards of directors and shareholders of the Company and the Merging Company have approved the merger of the Constituent Companies, with the Company continuing as the sur</w:t>
            </w:r>
            <w:r>
              <w:rPr>
                <w:rFonts w:eastAsia="Times New Roman"/>
                <w:sz w:val="20"/>
                <w:szCs w:val="20"/>
              </w:rPr>
              <w:t>viving company (the “</w:t>
            </w:r>
            <w:r>
              <w:rPr>
                <w:rFonts w:eastAsia="Times New Roman"/>
                <w:b/>
                <w:bCs/>
                <w:sz w:val="20"/>
                <w:szCs w:val="20"/>
              </w:rPr>
              <w:t>Merger</w:t>
            </w:r>
            <w:r>
              <w:rPr>
                <w:rFonts w:eastAsia="Times New Roman"/>
                <w:sz w:val="20"/>
                <w:szCs w:val="20"/>
              </w:rPr>
              <w:t>”), upon the terms and subject to the conditions of the agreement and plan of merger dated November 4, 2025 among Oceanpine Skyline Inc., an exempted company with limited liability incorporated under the Laws of the Cayman Island</w:t>
            </w:r>
            <w:r>
              <w:rPr>
                <w:rFonts w:eastAsia="Times New Roman"/>
                <w:sz w:val="20"/>
                <w:szCs w:val="20"/>
              </w:rPr>
              <w:t>s (“</w:t>
            </w:r>
            <w:r>
              <w:rPr>
                <w:rFonts w:eastAsia="Times New Roman"/>
                <w:b/>
                <w:bCs/>
                <w:sz w:val="20"/>
                <w:szCs w:val="20"/>
              </w:rPr>
              <w:t>Parent</w:t>
            </w:r>
            <w:r>
              <w:rPr>
                <w:rFonts w:eastAsia="Times New Roman"/>
                <w:sz w:val="20"/>
                <w:szCs w:val="20"/>
              </w:rPr>
              <w:t>”), the Company and the Merging Company (as may be amended, supplemented or otherwise modified from time to time in accordance with its terms, the “</w:t>
            </w:r>
            <w:r>
              <w:rPr>
                <w:rFonts w:eastAsia="Times New Roman"/>
                <w:b/>
                <w:bCs/>
                <w:sz w:val="20"/>
                <w:szCs w:val="20"/>
              </w:rPr>
              <w:t>Merger Agreement</w:t>
            </w:r>
            <w:r>
              <w:rPr>
                <w:rFonts w:eastAsia="Times New Roman"/>
                <w:sz w:val="20"/>
                <w:szCs w:val="20"/>
              </w:rPr>
              <w:t>”) and this Plan of Merger pursuant to provisions of Part XVI of the Companies Act</w:t>
            </w:r>
            <w:r>
              <w:rPr>
                <w:rFonts w:eastAsia="Times New Roman"/>
                <w:sz w:val="20"/>
                <w:szCs w:val="20"/>
              </w:rPr>
              <w:t xml:space="preserve"> (As Revised) of the Cayman Islands (the “</w:t>
            </w:r>
            <w:r>
              <w:rPr>
                <w:rFonts w:eastAsia="Times New Roman"/>
                <w:b/>
                <w:bCs/>
                <w:sz w:val="20"/>
                <w:szCs w:val="20"/>
              </w:rPr>
              <w:t>Companies Act</w:t>
            </w:r>
            <w:r>
              <w:rPr>
                <w:rFonts w:eastAsia="Times New Roman"/>
                <w:sz w:val="20"/>
                <w:szCs w:val="20"/>
              </w:rPr>
              <w:t>”).</w:t>
            </w:r>
          </w:p>
        </w:tc>
      </w:tr>
    </w:tbl>
    <w:p w14:paraId="3D165B2C"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05CE57BE" w14:textId="77777777">
        <w:trPr>
          <w:divId w:val="415980837"/>
          <w:tblCellSpacing w:w="0" w:type="dxa"/>
        </w:trPr>
        <w:tc>
          <w:tcPr>
            <w:tcW w:w="6" w:type="dxa"/>
            <w:hideMark/>
          </w:tcPr>
          <w:p w14:paraId="1DB486BF" w14:textId="77777777" w:rsidR="00000000" w:rsidRDefault="002F725F">
            <w:pPr>
              <w:rPr>
                <w:sz w:val="20"/>
                <w:szCs w:val="20"/>
              </w:rPr>
            </w:pPr>
          </w:p>
        </w:tc>
        <w:tc>
          <w:tcPr>
            <w:tcW w:w="720" w:type="dxa"/>
            <w:hideMark/>
          </w:tcPr>
          <w:p w14:paraId="31A2061C" w14:textId="77777777" w:rsidR="00000000" w:rsidRDefault="002F725F">
            <w:pPr>
              <w:rPr>
                <w:rFonts w:eastAsia="Times New Roman"/>
                <w:sz w:val="20"/>
                <w:szCs w:val="20"/>
              </w:rPr>
            </w:pPr>
            <w:r>
              <w:rPr>
                <w:rFonts w:eastAsia="Times New Roman"/>
                <w:sz w:val="20"/>
                <w:szCs w:val="20"/>
              </w:rPr>
              <w:t>(B)</w:t>
            </w:r>
          </w:p>
        </w:tc>
        <w:tc>
          <w:tcPr>
            <w:tcW w:w="0" w:type="auto"/>
            <w:hideMark/>
          </w:tcPr>
          <w:p w14:paraId="2FD126E8" w14:textId="77777777" w:rsidR="00000000" w:rsidRDefault="002F725F">
            <w:pPr>
              <w:jc w:val="both"/>
              <w:rPr>
                <w:rFonts w:eastAsia="Times New Roman"/>
                <w:sz w:val="20"/>
                <w:szCs w:val="20"/>
              </w:rPr>
            </w:pPr>
            <w:r>
              <w:rPr>
                <w:rFonts w:eastAsia="Times New Roman"/>
                <w:sz w:val="20"/>
                <w:szCs w:val="20"/>
              </w:rPr>
              <w:t>Each of the Company and the Merging Company wishes to enter into this Plan of Merger pursuant to the provisions of Part XVI of the Companies Act.</w:t>
            </w:r>
          </w:p>
        </w:tc>
      </w:tr>
    </w:tbl>
    <w:p w14:paraId="5808D61C" w14:textId="77777777" w:rsidR="00000000" w:rsidRDefault="002F725F">
      <w:pPr>
        <w:pStyle w:val="NormalWeb"/>
        <w:spacing w:before="0" w:beforeAutospacing="0" w:after="0" w:afterAutospacing="0"/>
        <w:divId w:val="415980837"/>
        <w:rPr>
          <w:sz w:val="20"/>
          <w:szCs w:val="20"/>
        </w:rPr>
      </w:pPr>
      <w:r>
        <w:rPr>
          <w:sz w:val="20"/>
          <w:szCs w:val="20"/>
        </w:rPr>
        <w:t> </w:t>
      </w:r>
    </w:p>
    <w:p w14:paraId="660AD1F4" w14:textId="77777777" w:rsidR="00000000" w:rsidRDefault="002F725F">
      <w:pPr>
        <w:pStyle w:val="NormalWeb"/>
        <w:spacing w:before="0" w:beforeAutospacing="0" w:after="0" w:afterAutospacing="0"/>
        <w:divId w:val="415980837"/>
        <w:rPr>
          <w:sz w:val="20"/>
          <w:szCs w:val="20"/>
        </w:rPr>
      </w:pPr>
      <w:r>
        <w:rPr>
          <w:b/>
          <w:bCs/>
          <w:sz w:val="20"/>
          <w:szCs w:val="20"/>
        </w:rPr>
        <w:t>IT IS AGREED</w:t>
      </w:r>
    </w:p>
    <w:p w14:paraId="4825590E"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4D14E1DD" w14:textId="77777777">
        <w:trPr>
          <w:divId w:val="415980837"/>
          <w:tblCellSpacing w:w="0" w:type="dxa"/>
        </w:trPr>
        <w:tc>
          <w:tcPr>
            <w:tcW w:w="6" w:type="dxa"/>
            <w:hideMark/>
          </w:tcPr>
          <w:p w14:paraId="5BD638A3" w14:textId="77777777" w:rsidR="00000000" w:rsidRDefault="002F725F">
            <w:pPr>
              <w:rPr>
                <w:sz w:val="20"/>
                <w:szCs w:val="20"/>
              </w:rPr>
            </w:pPr>
          </w:p>
        </w:tc>
        <w:tc>
          <w:tcPr>
            <w:tcW w:w="720" w:type="dxa"/>
            <w:hideMark/>
          </w:tcPr>
          <w:p w14:paraId="4447BB27" w14:textId="77777777" w:rsidR="00000000" w:rsidRDefault="002F725F">
            <w:pPr>
              <w:rPr>
                <w:rFonts w:eastAsia="Times New Roman"/>
                <w:sz w:val="20"/>
                <w:szCs w:val="20"/>
              </w:rPr>
            </w:pPr>
            <w:r>
              <w:rPr>
                <w:rFonts w:eastAsia="Times New Roman"/>
                <w:b/>
                <w:bCs/>
                <w:caps/>
                <w:sz w:val="20"/>
                <w:szCs w:val="20"/>
              </w:rPr>
              <w:t>1</w:t>
            </w:r>
          </w:p>
        </w:tc>
        <w:tc>
          <w:tcPr>
            <w:tcW w:w="0" w:type="auto"/>
            <w:hideMark/>
          </w:tcPr>
          <w:p w14:paraId="0EE39D44" w14:textId="77777777" w:rsidR="00000000" w:rsidRDefault="002F725F">
            <w:pPr>
              <w:rPr>
                <w:rFonts w:eastAsia="Times New Roman"/>
                <w:sz w:val="20"/>
                <w:szCs w:val="20"/>
              </w:rPr>
            </w:pPr>
            <w:r>
              <w:rPr>
                <w:rFonts w:eastAsia="Times New Roman"/>
                <w:b/>
                <w:bCs/>
                <w:caps/>
                <w:sz w:val="20"/>
                <w:szCs w:val="20"/>
              </w:rPr>
              <w:t>Definitions and Interpretation</w:t>
            </w:r>
          </w:p>
        </w:tc>
      </w:tr>
    </w:tbl>
    <w:p w14:paraId="3529C2E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46DBD9B8" w14:textId="77777777">
        <w:trPr>
          <w:divId w:val="415980837"/>
          <w:tblCellSpacing w:w="0" w:type="dxa"/>
        </w:trPr>
        <w:tc>
          <w:tcPr>
            <w:tcW w:w="6" w:type="dxa"/>
            <w:hideMark/>
          </w:tcPr>
          <w:p w14:paraId="1E274681" w14:textId="77777777" w:rsidR="00000000" w:rsidRDefault="002F725F">
            <w:pPr>
              <w:rPr>
                <w:sz w:val="20"/>
                <w:szCs w:val="20"/>
              </w:rPr>
            </w:pPr>
          </w:p>
        </w:tc>
        <w:tc>
          <w:tcPr>
            <w:tcW w:w="720" w:type="dxa"/>
            <w:hideMark/>
          </w:tcPr>
          <w:p w14:paraId="63C87EE1" w14:textId="77777777" w:rsidR="00000000" w:rsidRDefault="002F725F">
            <w:pPr>
              <w:rPr>
                <w:rFonts w:eastAsia="Times New Roman"/>
                <w:sz w:val="20"/>
                <w:szCs w:val="20"/>
              </w:rPr>
            </w:pPr>
            <w:r>
              <w:rPr>
                <w:rFonts w:eastAsia="Times New Roman"/>
                <w:b/>
                <w:bCs/>
                <w:sz w:val="20"/>
                <w:szCs w:val="20"/>
              </w:rPr>
              <w:t>1.1</w:t>
            </w:r>
          </w:p>
        </w:tc>
        <w:tc>
          <w:tcPr>
            <w:tcW w:w="0" w:type="auto"/>
            <w:hideMark/>
          </w:tcPr>
          <w:p w14:paraId="1DB86A89" w14:textId="77777777" w:rsidR="00000000" w:rsidRDefault="002F725F">
            <w:pPr>
              <w:jc w:val="both"/>
              <w:rPr>
                <w:rFonts w:eastAsia="Times New Roman"/>
                <w:sz w:val="20"/>
                <w:szCs w:val="20"/>
              </w:rPr>
            </w:pPr>
            <w:r>
              <w:rPr>
                <w:rFonts w:eastAsia="Times New Roman"/>
                <w:sz w:val="20"/>
                <w:szCs w:val="20"/>
              </w:rPr>
              <w:t xml:space="preserve">Terms used in this Plan of Merger and not otherwise defined in this Plan of Merger shall have the meanings given to them in the Merger Agreement, a copy of which is annexed at </w:t>
            </w:r>
            <w:r>
              <w:rPr>
                <w:rFonts w:eastAsia="Times New Roman"/>
                <w:sz w:val="20"/>
                <w:szCs w:val="20"/>
                <w:u w:val="single"/>
              </w:rPr>
              <w:t>Annex 1</w:t>
            </w:r>
            <w:r>
              <w:rPr>
                <w:rFonts w:eastAsia="Times New Roman"/>
                <w:sz w:val="20"/>
                <w:szCs w:val="20"/>
              </w:rPr>
              <w:t xml:space="preserve"> hereto.</w:t>
            </w:r>
          </w:p>
        </w:tc>
      </w:tr>
    </w:tbl>
    <w:p w14:paraId="7B3C3A6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5BA826AA" w14:textId="77777777">
        <w:trPr>
          <w:divId w:val="415980837"/>
          <w:tblCellSpacing w:w="0" w:type="dxa"/>
        </w:trPr>
        <w:tc>
          <w:tcPr>
            <w:tcW w:w="6" w:type="dxa"/>
            <w:hideMark/>
          </w:tcPr>
          <w:p w14:paraId="5099D4CA" w14:textId="77777777" w:rsidR="00000000" w:rsidRDefault="002F725F">
            <w:pPr>
              <w:rPr>
                <w:sz w:val="20"/>
                <w:szCs w:val="20"/>
              </w:rPr>
            </w:pPr>
          </w:p>
        </w:tc>
        <w:tc>
          <w:tcPr>
            <w:tcW w:w="720" w:type="dxa"/>
            <w:hideMark/>
          </w:tcPr>
          <w:p w14:paraId="388532F5" w14:textId="77777777" w:rsidR="00000000" w:rsidRDefault="002F725F">
            <w:pPr>
              <w:rPr>
                <w:rFonts w:eastAsia="Times New Roman"/>
                <w:sz w:val="20"/>
                <w:szCs w:val="20"/>
              </w:rPr>
            </w:pPr>
            <w:r>
              <w:rPr>
                <w:rFonts w:eastAsia="Times New Roman"/>
                <w:b/>
                <w:bCs/>
                <w:caps/>
                <w:sz w:val="20"/>
                <w:szCs w:val="20"/>
              </w:rPr>
              <w:t>2</w:t>
            </w:r>
          </w:p>
        </w:tc>
        <w:tc>
          <w:tcPr>
            <w:tcW w:w="0" w:type="auto"/>
            <w:hideMark/>
          </w:tcPr>
          <w:p w14:paraId="6900B838" w14:textId="77777777" w:rsidR="00000000" w:rsidRDefault="002F725F">
            <w:pPr>
              <w:rPr>
                <w:rFonts w:eastAsia="Times New Roman"/>
                <w:sz w:val="20"/>
                <w:szCs w:val="20"/>
              </w:rPr>
            </w:pPr>
            <w:r>
              <w:rPr>
                <w:rFonts w:eastAsia="Times New Roman"/>
                <w:b/>
                <w:bCs/>
                <w:caps/>
                <w:sz w:val="20"/>
                <w:szCs w:val="20"/>
              </w:rPr>
              <w:t>Plan of Merger</w:t>
            </w:r>
          </w:p>
        </w:tc>
      </w:tr>
    </w:tbl>
    <w:p w14:paraId="5CE03E4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631681EE" w14:textId="77777777">
        <w:trPr>
          <w:divId w:val="415980837"/>
          <w:tblCellSpacing w:w="0" w:type="dxa"/>
        </w:trPr>
        <w:tc>
          <w:tcPr>
            <w:tcW w:w="6" w:type="dxa"/>
            <w:hideMark/>
          </w:tcPr>
          <w:p w14:paraId="21C2AAB9" w14:textId="77777777" w:rsidR="00000000" w:rsidRDefault="002F725F">
            <w:pPr>
              <w:rPr>
                <w:sz w:val="20"/>
                <w:szCs w:val="20"/>
              </w:rPr>
            </w:pPr>
          </w:p>
        </w:tc>
        <w:tc>
          <w:tcPr>
            <w:tcW w:w="720" w:type="dxa"/>
            <w:hideMark/>
          </w:tcPr>
          <w:p w14:paraId="441C4F20" w14:textId="77777777" w:rsidR="00000000" w:rsidRDefault="002F725F">
            <w:pPr>
              <w:rPr>
                <w:rFonts w:eastAsia="Times New Roman"/>
                <w:sz w:val="20"/>
                <w:szCs w:val="20"/>
              </w:rPr>
            </w:pPr>
            <w:r>
              <w:rPr>
                <w:rFonts w:eastAsia="Times New Roman"/>
                <w:b/>
                <w:bCs/>
                <w:sz w:val="20"/>
                <w:szCs w:val="20"/>
              </w:rPr>
              <w:t>2.1</w:t>
            </w:r>
          </w:p>
        </w:tc>
        <w:tc>
          <w:tcPr>
            <w:tcW w:w="0" w:type="auto"/>
            <w:hideMark/>
          </w:tcPr>
          <w:p w14:paraId="0D146940" w14:textId="77777777" w:rsidR="00000000" w:rsidRDefault="002F725F">
            <w:pPr>
              <w:rPr>
                <w:rFonts w:eastAsia="Times New Roman"/>
                <w:sz w:val="20"/>
                <w:szCs w:val="20"/>
              </w:rPr>
            </w:pPr>
            <w:r>
              <w:rPr>
                <w:rFonts w:eastAsia="Times New Roman"/>
                <w:b/>
                <w:bCs/>
                <w:sz w:val="20"/>
                <w:szCs w:val="20"/>
              </w:rPr>
              <w:t>Constituent Company Details</w:t>
            </w:r>
          </w:p>
        </w:tc>
      </w:tr>
    </w:tbl>
    <w:p w14:paraId="718384D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6AB7E76" w14:textId="77777777">
        <w:trPr>
          <w:divId w:val="415980837"/>
          <w:tblCellSpacing w:w="0" w:type="dxa"/>
        </w:trPr>
        <w:tc>
          <w:tcPr>
            <w:tcW w:w="720" w:type="dxa"/>
            <w:hideMark/>
          </w:tcPr>
          <w:p w14:paraId="5D8B1B58" w14:textId="77777777" w:rsidR="00000000" w:rsidRDefault="002F725F">
            <w:pPr>
              <w:rPr>
                <w:sz w:val="20"/>
                <w:szCs w:val="20"/>
              </w:rPr>
            </w:pPr>
          </w:p>
        </w:tc>
        <w:tc>
          <w:tcPr>
            <w:tcW w:w="360" w:type="dxa"/>
            <w:hideMark/>
          </w:tcPr>
          <w:p w14:paraId="3CA4DB81" w14:textId="77777777" w:rsidR="00000000" w:rsidRDefault="002F725F">
            <w:pPr>
              <w:rPr>
                <w:rFonts w:eastAsia="Times New Roman"/>
                <w:sz w:val="20"/>
                <w:szCs w:val="20"/>
              </w:rPr>
            </w:pPr>
            <w:r>
              <w:rPr>
                <w:rFonts w:eastAsia="Times New Roman"/>
                <w:sz w:val="20"/>
                <w:szCs w:val="20"/>
              </w:rPr>
              <w:t>(a)</w:t>
            </w:r>
          </w:p>
        </w:tc>
        <w:tc>
          <w:tcPr>
            <w:tcW w:w="0" w:type="auto"/>
            <w:hideMark/>
          </w:tcPr>
          <w:p w14:paraId="1B85CA38" w14:textId="77777777" w:rsidR="00000000" w:rsidRDefault="002F725F">
            <w:pPr>
              <w:jc w:val="both"/>
              <w:rPr>
                <w:rFonts w:eastAsia="Times New Roman"/>
                <w:sz w:val="20"/>
                <w:szCs w:val="20"/>
              </w:rPr>
            </w:pPr>
            <w:r>
              <w:rPr>
                <w:rFonts w:eastAsia="Times New Roman"/>
                <w:sz w:val="20"/>
                <w:szCs w:val="20"/>
              </w:rPr>
              <w:t>The constituent companies (as defined in the Companies Act) to the Merger are the Company and the Merging Company.</w:t>
            </w:r>
          </w:p>
        </w:tc>
      </w:tr>
    </w:tbl>
    <w:p w14:paraId="2C1F76F2"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F12289E" w14:textId="77777777">
        <w:trPr>
          <w:divId w:val="415980837"/>
          <w:tblCellSpacing w:w="0" w:type="dxa"/>
        </w:trPr>
        <w:tc>
          <w:tcPr>
            <w:tcW w:w="720" w:type="dxa"/>
            <w:hideMark/>
          </w:tcPr>
          <w:p w14:paraId="4E22E1FA" w14:textId="77777777" w:rsidR="00000000" w:rsidRDefault="002F725F">
            <w:pPr>
              <w:rPr>
                <w:sz w:val="20"/>
                <w:szCs w:val="20"/>
              </w:rPr>
            </w:pPr>
          </w:p>
        </w:tc>
        <w:tc>
          <w:tcPr>
            <w:tcW w:w="360" w:type="dxa"/>
            <w:hideMark/>
          </w:tcPr>
          <w:p w14:paraId="2B441946" w14:textId="77777777" w:rsidR="00000000" w:rsidRDefault="002F725F">
            <w:pPr>
              <w:rPr>
                <w:rFonts w:eastAsia="Times New Roman"/>
                <w:sz w:val="20"/>
                <w:szCs w:val="20"/>
              </w:rPr>
            </w:pPr>
            <w:r>
              <w:rPr>
                <w:rFonts w:eastAsia="Times New Roman"/>
                <w:sz w:val="20"/>
                <w:szCs w:val="20"/>
              </w:rPr>
              <w:t>(b)</w:t>
            </w:r>
          </w:p>
        </w:tc>
        <w:tc>
          <w:tcPr>
            <w:tcW w:w="0" w:type="auto"/>
            <w:hideMark/>
          </w:tcPr>
          <w:p w14:paraId="6E8A6A05" w14:textId="77777777" w:rsidR="00000000" w:rsidRDefault="002F725F">
            <w:pPr>
              <w:jc w:val="both"/>
              <w:rPr>
                <w:rFonts w:eastAsia="Times New Roman"/>
                <w:sz w:val="20"/>
                <w:szCs w:val="20"/>
              </w:rPr>
            </w:pPr>
            <w:r>
              <w:rPr>
                <w:rFonts w:eastAsia="Times New Roman"/>
                <w:sz w:val="20"/>
                <w:szCs w:val="20"/>
              </w:rPr>
              <w:t xml:space="preserve">The surviving company (as defined in the Companies Act) is the Company, which shall continue to be named </w:t>
            </w:r>
            <w:r>
              <w:rPr>
                <w:rFonts w:eastAsia="Times New Roman"/>
                <w:b/>
                <w:bCs/>
                <w:sz w:val="20"/>
                <w:szCs w:val="20"/>
              </w:rPr>
              <w:t>LakeShore Biopharma Co., Ltd</w:t>
            </w:r>
            <w:r>
              <w:rPr>
                <w:rFonts w:eastAsia="Times New Roman"/>
                <w:sz w:val="20"/>
                <w:szCs w:val="20"/>
              </w:rPr>
              <w:t>.</w:t>
            </w:r>
          </w:p>
        </w:tc>
      </w:tr>
    </w:tbl>
    <w:p w14:paraId="06AD1755"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3EBA265A" w14:textId="77777777">
        <w:trPr>
          <w:divId w:val="415980837"/>
          <w:tblCellSpacing w:w="0" w:type="dxa"/>
        </w:trPr>
        <w:tc>
          <w:tcPr>
            <w:tcW w:w="720" w:type="dxa"/>
            <w:hideMark/>
          </w:tcPr>
          <w:p w14:paraId="3964DADE" w14:textId="77777777" w:rsidR="00000000" w:rsidRDefault="002F725F">
            <w:pPr>
              <w:rPr>
                <w:sz w:val="20"/>
                <w:szCs w:val="20"/>
              </w:rPr>
            </w:pPr>
          </w:p>
        </w:tc>
        <w:tc>
          <w:tcPr>
            <w:tcW w:w="360" w:type="dxa"/>
            <w:hideMark/>
          </w:tcPr>
          <w:p w14:paraId="6D2D38F5" w14:textId="77777777" w:rsidR="00000000" w:rsidRDefault="002F725F">
            <w:pPr>
              <w:rPr>
                <w:rFonts w:eastAsia="Times New Roman"/>
                <w:sz w:val="20"/>
                <w:szCs w:val="20"/>
              </w:rPr>
            </w:pPr>
            <w:r>
              <w:rPr>
                <w:rFonts w:eastAsia="Times New Roman"/>
                <w:sz w:val="20"/>
                <w:szCs w:val="20"/>
              </w:rPr>
              <w:t>(c)</w:t>
            </w:r>
          </w:p>
        </w:tc>
        <w:tc>
          <w:tcPr>
            <w:tcW w:w="0" w:type="auto"/>
            <w:hideMark/>
          </w:tcPr>
          <w:p w14:paraId="7AEF05B0" w14:textId="77777777" w:rsidR="00000000" w:rsidRDefault="002F725F">
            <w:pPr>
              <w:jc w:val="both"/>
              <w:rPr>
                <w:rFonts w:eastAsia="Times New Roman"/>
                <w:sz w:val="20"/>
                <w:szCs w:val="20"/>
              </w:rPr>
            </w:pPr>
            <w:r>
              <w:rPr>
                <w:rFonts w:eastAsia="Times New Roman"/>
                <w:sz w:val="20"/>
                <w:szCs w:val="20"/>
              </w:rPr>
              <w:t>The registered office of the Company is at the offices of Maples Corporate Services Limited, PO Box 309, Ugland House, Grand Cayman KY1-1104, Cayman Islands. The registered office of the Merging Company is at the offices of Vistra (Cayman) Limite</w:t>
            </w:r>
            <w:r>
              <w:rPr>
                <w:rFonts w:eastAsia="Times New Roman"/>
                <w:sz w:val="20"/>
                <w:szCs w:val="20"/>
              </w:rPr>
              <w:t>d, P. O. Box 31119 Grand Pavilion, Hibiscus Way, 802 West Bay Road, Grand Cayman, KY1 - 1205 Cayman Islands. Following the Effective Time (as defined below), the registered office of the Surviving Company will be at the offices of Maples Corporate Services</w:t>
            </w:r>
            <w:r>
              <w:rPr>
                <w:rFonts w:eastAsia="Times New Roman"/>
                <w:sz w:val="20"/>
                <w:szCs w:val="20"/>
              </w:rPr>
              <w:t xml:space="preserve"> Limited, PO Box 309, Ugland House, Grand Cayman KY1-1104, Cayman Islands.</w:t>
            </w:r>
          </w:p>
        </w:tc>
      </w:tr>
    </w:tbl>
    <w:p w14:paraId="065E1674" w14:textId="77777777" w:rsidR="00000000" w:rsidRDefault="002F725F">
      <w:pPr>
        <w:pStyle w:val="NormalWeb"/>
        <w:spacing w:before="0" w:beforeAutospacing="0" w:after="0" w:afterAutospacing="0"/>
        <w:divId w:val="415980837"/>
        <w:rPr>
          <w:sz w:val="20"/>
          <w:szCs w:val="20"/>
        </w:rPr>
      </w:pPr>
      <w:r>
        <w:rPr>
          <w:sz w:val="20"/>
          <w:szCs w:val="20"/>
        </w:rPr>
        <w:t> </w:t>
      </w:r>
    </w:p>
    <w:p w14:paraId="629005C1" w14:textId="77777777" w:rsidR="00000000" w:rsidRDefault="002F725F">
      <w:pPr>
        <w:pStyle w:val="NormalWeb"/>
        <w:spacing w:before="0" w:beforeAutospacing="0" w:after="0" w:afterAutospacing="0"/>
        <w:jc w:val="center"/>
        <w:divId w:val="1627812286"/>
        <w:rPr>
          <w:sz w:val="20"/>
          <w:szCs w:val="20"/>
        </w:rPr>
      </w:pPr>
      <w:r>
        <w:rPr>
          <w:sz w:val="20"/>
          <w:szCs w:val="20"/>
        </w:rPr>
        <w:lastRenderedPageBreak/>
        <w:t>B</w:t>
      </w:r>
      <w:r>
        <w:rPr>
          <w:sz w:val="20"/>
          <w:szCs w:val="20"/>
        </w:rPr>
        <w:t>-</w:t>
      </w:r>
      <w:r>
        <w:rPr>
          <w:sz w:val="20"/>
          <w:szCs w:val="20"/>
        </w:rPr>
        <w:t>2</w:t>
      </w:r>
    </w:p>
    <w:p w14:paraId="4A399DFF"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CA3CC97" w14:textId="77777777">
        <w:trPr>
          <w:divId w:val="415980837"/>
          <w:tblCellSpacing w:w="0" w:type="dxa"/>
        </w:trPr>
        <w:tc>
          <w:tcPr>
            <w:tcW w:w="720" w:type="dxa"/>
            <w:hideMark/>
          </w:tcPr>
          <w:p w14:paraId="1F6F1428" w14:textId="77777777" w:rsidR="00000000" w:rsidRDefault="002F725F">
            <w:pPr>
              <w:rPr>
                <w:sz w:val="20"/>
                <w:szCs w:val="20"/>
              </w:rPr>
            </w:pPr>
          </w:p>
        </w:tc>
        <w:tc>
          <w:tcPr>
            <w:tcW w:w="360" w:type="dxa"/>
            <w:hideMark/>
          </w:tcPr>
          <w:p w14:paraId="0365182E" w14:textId="77777777" w:rsidR="00000000" w:rsidRDefault="002F725F">
            <w:pPr>
              <w:rPr>
                <w:rFonts w:eastAsia="Times New Roman"/>
                <w:sz w:val="20"/>
                <w:szCs w:val="20"/>
              </w:rPr>
            </w:pPr>
            <w:r>
              <w:rPr>
                <w:rFonts w:eastAsia="Times New Roman"/>
                <w:sz w:val="20"/>
                <w:szCs w:val="20"/>
              </w:rPr>
              <w:t>(d)</w:t>
            </w:r>
          </w:p>
        </w:tc>
        <w:tc>
          <w:tcPr>
            <w:tcW w:w="0" w:type="auto"/>
            <w:hideMark/>
          </w:tcPr>
          <w:p w14:paraId="585D416D" w14:textId="77777777" w:rsidR="00000000" w:rsidRDefault="002F725F">
            <w:pPr>
              <w:jc w:val="both"/>
              <w:rPr>
                <w:rFonts w:eastAsia="Times New Roman"/>
                <w:sz w:val="20"/>
                <w:szCs w:val="20"/>
              </w:rPr>
            </w:pPr>
            <w:r>
              <w:rPr>
                <w:rFonts w:eastAsia="Times New Roman"/>
                <w:sz w:val="20"/>
                <w:szCs w:val="20"/>
              </w:rPr>
              <w:t xml:space="preserve">Immediately prior to the Effective Time (as defined below), the authorised share capital of the Company is </w:t>
            </w:r>
            <w:r>
              <w:rPr>
                <w:rFonts w:eastAsia="Times New Roman"/>
                <w:sz w:val="20"/>
                <w:szCs w:val="20"/>
              </w:rPr>
              <w:t>US$50,000 divided into 250,000,000 ordinary shares of a par value of US$0.0002 each.</w:t>
            </w:r>
          </w:p>
        </w:tc>
      </w:tr>
    </w:tbl>
    <w:p w14:paraId="02EC761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38176CD" w14:textId="77777777">
        <w:trPr>
          <w:divId w:val="415980837"/>
          <w:tblCellSpacing w:w="0" w:type="dxa"/>
        </w:trPr>
        <w:tc>
          <w:tcPr>
            <w:tcW w:w="720" w:type="dxa"/>
            <w:hideMark/>
          </w:tcPr>
          <w:p w14:paraId="447B9498" w14:textId="77777777" w:rsidR="00000000" w:rsidRDefault="002F725F">
            <w:pPr>
              <w:rPr>
                <w:sz w:val="20"/>
                <w:szCs w:val="20"/>
              </w:rPr>
            </w:pPr>
          </w:p>
        </w:tc>
        <w:tc>
          <w:tcPr>
            <w:tcW w:w="360" w:type="dxa"/>
            <w:hideMark/>
          </w:tcPr>
          <w:p w14:paraId="54005A32" w14:textId="77777777" w:rsidR="00000000" w:rsidRDefault="002F725F">
            <w:pPr>
              <w:rPr>
                <w:rFonts w:eastAsia="Times New Roman"/>
                <w:sz w:val="20"/>
                <w:szCs w:val="20"/>
              </w:rPr>
            </w:pPr>
            <w:r>
              <w:rPr>
                <w:rFonts w:eastAsia="Times New Roman"/>
                <w:sz w:val="20"/>
                <w:szCs w:val="20"/>
              </w:rPr>
              <w:t>(e)</w:t>
            </w:r>
          </w:p>
        </w:tc>
        <w:tc>
          <w:tcPr>
            <w:tcW w:w="0" w:type="auto"/>
            <w:hideMark/>
          </w:tcPr>
          <w:p w14:paraId="2C910BE1" w14:textId="77777777" w:rsidR="00000000" w:rsidRDefault="002F725F">
            <w:pPr>
              <w:jc w:val="both"/>
              <w:rPr>
                <w:rFonts w:eastAsia="Times New Roman"/>
                <w:sz w:val="20"/>
                <w:szCs w:val="20"/>
              </w:rPr>
            </w:pPr>
            <w:r>
              <w:rPr>
                <w:rFonts w:eastAsia="Times New Roman"/>
                <w:sz w:val="20"/>
                <w:szCs w:val="20"/>
              </w:rPr>
              <w:t>Immediately prior to the Effective Time, the authorised share capital of the Merging Company is US$50,000 divided into 500,000,000 shares of a par value of US$0.00</w:t>
            </w:r>
            <w:r>
              <w:rPr>
                <w:rFonts w:eastAsia="Times New Roman"/>
                <w:sz w:val="20"/>
                <w:szCs w:val="20"/>
              </w:rPr>
              <w:t>01 each.</w:t>
            </w:r>
          </w:p>
        </w:tc>
      </w:tr>
    </w:tbl>
    <w:p w14:paraId="28B77BED"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61A99634" w14:textId="77777777">
        <w:trPr>
          <w:divId w:val="415980837"/>
          <w:tblCellSpacing w:w="0" w:type="dxa"/>
        </w:trPr>
        <w:tc>
          <w:tcPr>
            <w:tcW w:w="720" w:type="dxa"/>
            <w:hideMark/>
          </w:tcPr>
          <w:p w14:paraId="221A0AB1" w14:textId="77777777" w:rsidR="00000000" w:rsidRDefault="002F725F">
            <w:pPr>
              <w:rPr>
                <w:sz w:val="20"/>
                <w:szCs w:val="20"/>
              </w:rPr>
            </w:pPr>
          </w:p>
        </w:tc>
        <w:tc>
          <w:tcPr>
            <w:tcW w:w="360" w:type="dxa"/>
            <w:hideMark/>
          </w:tcPr>
          <w:p w14:paraId="5C18E8BD" w14:textId="77777777" w:rsidR="00000000" w:rsidRDefault="002F725F">
            <w:pPr>
              <w:rPr>
                <w:rFonts w:eastAsia="Times New Roman"/>
                <w:sz w:val="20"/>
                <w:szCs w:val="20"/>
              </w:rPr>
            </w:pPr>
            <w:r>
              <w:rPr>
                <w:rFonts w:eastAsia="Times New Roman"/>
                <w:sz w:val="20"/>
                <w:szCs w:val="20"/>
              </w:rPr>
              <w:t>(f)</w:t>
            </w:r>
          </w:p>
        </w:tc>
        <w:tc>
          <w:tcPr>
            <w:tcW w:w="0" w:type="auto"/>
            <w:hideMark/>
          </w:tcPr>
          <w:p w14:paraId="42A57C97" w14:textId="77777777" w:rsidR="00000000" w:rsidRDefault="002F725F">
            <w:pPr>
              <w:jc w:val="both"/>
              <w:rPr>
                <w:rFonts w:eastAsia="Times New Roman"/>
                <w:sz w:val="20"/>
                <w:szCs w:val="20"/>
              </w:rPr>
            </w:pPr>
            <w:r>
              <w:rPr>
                <w:rFonts w:eastAsia="Times New Roman"/>
                <w:sz w:val="20"/>
                <w:szCs w:val="20"/>
              </w:rPr>
              <w:t>At the Effective Time, the authorised share capital of the Surviving Company shall be [US$50,000 divided into 500,000,000 shares of a par value of US$0.0001 each].</w:t>
            </w:r>
          </w:p>
        </w:tc>
      </w:tr>
    </w:tbl>
    <w:p w14:paraId="41F43191"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0FE4796E" w14:textId="77777777">
        <w:trPr>
          <w:divId w:val="415980837"/>
          <w:tblCellSpacing w:w="0" w:type="dxa"/>
        </w:trPr>
        <w:tc>
          <w:tcPr>
            <w:tcW w:w="6" w:type="dxa"/>
            <w:hideMark/>
          </w:tcPr>
          <w:p w14:paraId="501E5800" w14:textId="77777777" w:rsidR="00000000" w:rsidRDefault="002F725F">
            <w:pPr>
              <w:rPr>
                <w:sz w:val="20"/>
                <w:szCs w:val="20"/>
              </w:rPr>
            </w:pPr>
          </w:p>
        </w:tc>
        <w:tc>
          <w:tcPr>
            <w:tcW w:w="720" w:type="dxa"/>
            <w:hideMark/>
          </w:tcPr>
          <w:p w14:paraId="3722C70D" w14:textId="77777777" w:rsidR="00000000" w:rsidRDefault="002F725F">
            <w:pPr>
              <w:rPr>
                <w:rFonts w:eastAsia="Times New Roman"/>
                <w:sz w:val="20"/>
                <w:szCs w:val="20"/>
              </w:rPr>
            </w:pPr>
            <w:r>
              <w:rPr>
                <w:rFonts w:eastAsia="Times New Roman"/>
                <w:b/>
                <w:bCs/>
                <w:sz w:val="20"/>
                <w:szCs w:val="20"/>
              </w:rPr>
              <w:t>2.2</w:t>
            </w:r>
          </w:p>
        </w:tc>
        <w:tc>
          <w:tcPr>
            <w:tcW w:w="0" w:type="auto"/>
            <w:hideMark/>
          </w:tcPr>
          <w:p w14:paraId="4C3B0966" w14:textId="77777777" w:rsidR="00000000" w:rsidRDefault="002F725F">
            <w:pPr>
              <w:rPr>
                <w:rFonts w:eastAsia="Times New Roman"/>
                <w:sz w:val="20"/>
                <w:szCs w:val="20"/>
              </w:rPr>
            </w:pPr>
            <w:r>
              <w:rPr>
                <w:rFonts w:eastAsia="Times New Roman"/>
                <w:b/>
                <w:bCs/>
                <w:sz w:val="20"/>
                <w:szCs w:val="20"/>
              </w:rPr>
              <w:t>Effective Time</w:t>
            </w:r>
          </w:p>
        </w:tc>
      </w:tr>
    </w:tbl>
    <w:p w14:paraId="4B132F9A" w14:textId="77777777" w:rsidR="00000000" w:rsidRDefault="002F725F">
      <w:pPr>
        <w:pStyle w:val="NormalWeb"/>
        <w:spacing w:before="0" w:beforeAutospacing="0" w:after="0" w:afterAutospacing="0"/>
        <w:divId w:val="415980837"/>
        <w:rPr>
          <w:sz w:val="20"/>
          <w:szCs w:val="20"/>
        </w:rPr>
      </w:pPr>
      <w:r>
        <w:rPr>
          <w:sz w:val="20"/>
          <w:szCs w:val="20"/>
        </w:rPr>
        <w:t> </w:t>
      </w:r>
    </w:p>
    <w:p w14:paraId="3A15FB17" w14:textId="77777777" w:rsidR="00000000" w:rsidRDefault="002F725F">
      <w:pPr>
        <w:pStyle w:val="NormalWeb"/>
        <w:spacing w:before="0" w:beforeAutospacing="0" w:after="0" w:afterAutospacing="0"/>
        <w:ind w:left="720" w:hanging="1"/>
        <w:jc w:val="both"/>
        <w:divId w:val="415980837"/>
        <w:rPr>
          <w:sz w:val="20"/>
          <w:szCs w:val="20"/>
        </w:rPr>
      </w:pPr>
      <w:r>
        <w:rPr>
          <w:sz w:val="20"/>
          <w:szCs w:val="20"/>
        </w:rPr>
        <w:t>In accordance with section 233(13) of the Compani</w:t>
      </w:r>
      <w:r>
        <w:rPr>
          <w:sz w:val="20"/>
          <w:szCs w:val="20"/>
        </w:rPr>
        <w:t>es Act, the Merger shall be effective on the date that this Plan of Merger is registered by the Registrar of Companies of the Cayman Islands (the “</w:t>
      </w:r>
      <w:r>
        <w:rPr>
          <w:b/>
          <w:bCs/>
          <w:sz w:val="20"/>
          <w:szCs w:val="20"/>
        </w:rPr>
        <w:t>Effective Time</w:t>
      </w:r>
      <w:r>
        <w:rPr>
          <w:sz w:val="20"/>
          <w:szCs w:val="20"/>
        </w:rPr>
        <w:t>”).</w:t>
      </w:r>
    </w:p>
    <w:p w14:paraId="784E7A84" w14:textId="77777777" w:rsidR="00000000" w:rsidRDefault="002F725F">
      <w:pPr>
        <w:pStyle w:val="NormalWeb"/>
        <w:spacing w:before="0" w:beforeAutospacing="0" w:after="0" w:afterAutospacing="0"/>
        <w:ind w:left="567" w:hanging="1"/>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4DD9B7F5" w14:textId="77777777">
        <w:trPr>
          <w:divId w:val="415980837"/>
          <w:tblCellSpacing w:w="0" w:type="dxa"/>
        </w:trPr>
        <w:tc>
          <w:tcPr>
            <w:tcW w:w="6" w:type="dxa"/>
            <w:hideMark/>
          </w:tcPr>
          <w:p w14:paraId="75BF1FFF" w14:textId="77777777" w:rsidR="00000000" w:rsidRDefault="002F725F">
            <w:pPr>
              <w:rPr>
                <w:sz w:val="20"/>
                <w:szCs w:val="20"/>
              </w:rPr>
            </w:pPr>
          </w:p>
        </w:tc>
        <w:tc>
          <w:tcPr>
            <w:tcW w:w="720" w:type="dxa"/>
            <w:hideMark/>
          </w:tcPr>
          <w:p w14:paraId="403B7831" w14:textId="77777777" w:rsidR="00000000" w:rsidRDefault="002F725F">
            <w:pPr>
              <w:rPr>
                <w:rFonts w:eastAsia="Times New Roman"/>
                <w:sz w:val="20"/>
                <w:szCs w:val="20"/>
              </w:rPr>
            </w:pPr>
            <w:r>
              <w:rPr>
                <w:rFonts w:eastAsia="Times New Roman"/>
                <w:b/>
                <w:bCs/>
                <w:sz w:val="20"/>
                <w:szCs w:val="20"/>
              </w:rPr>
              <w:t>2.3</w:t>
            </w:r>
          </w:p>
        </w:tc>
        <w:tc>
          <w:tcPr>
            <w:tcW w:w="0" w:type="auto"/>
            <w:hideMark/>
          </w:tcPr>
          <w:p w14:paraId="447EC1B3" w14:textId="77777777" w:rsidR="00000000" w:rsidRDefault="002F725F">
            <w:pPr>
              <w:rPr>
                <w:rFonts w:eastAsia="Times New Roman"/>
                <w:sz w:val="20"/>
                <w:szCs w:val="20"/>
              </w:rPr>
            </w:pPr>
            <w:r>
              <w:rPr>
                <w:rFonts w:eastAsia="Times New Roman"/>
                <w:b/>
                <w:bCs/>
                <w:sz w:val="20"/>
                <w:szCs w:val="20"/>
              </w:rPr>
              <w:t>Terms and Conditions; Share Rights</w:t>
            </w:r>
          </w:p>
        </w:tc>
      </w:tr>
    </w:tbl>
    <w:p w14:paraId="34731A3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5BA668E3" w14:textId="77777777">
        <w:trPr>
          <w:divId w:val="415980837"/>
          <w:tblCellSpacing w:w="0" w:type="dxa"/>
        </w:trPr>
        <w:tc>
          <w:tcPr>
            <w:tcW w:w="720" w:type="dxa"/>
            <w:hideMark/>
          </w:tcPr>
          <w:p w14:paraId="3EC2164F" w14:textId="77777777" w:rsidR="00000000" w:rsidRDefault="002F725F">
            <w:pPr>
              <w:rPr>
                <w:sz w:val="20"/>
                <w:szCs w:val="20"/>
              </w:rPr>
            </w:pPr>
          </w:p>
        </w:tc>
        <w:tc>
          <w:tcPr>
            <w:tcW w:w="360" w:type="dxa"/>
            <w:hideMark/>
          </w:tcPr>
          <w:p w14:paraId="36DEBC7A" w14:textId="77777777" w:rsidR="00000000" w:rsidRDefault="002F725F">
            <w:pPr>
              <w:rPr>
                <w:rFonts w:eastAsia="Times New Roman"/>
                <w:sz w:val="20"/>
                <w:szCs w:val="20"/>
              </w:rPr>
            </w:pPr>
            <w:r>
              <w:rPr>
                <w:rFonts w:eastAsia="Times New Roman"/>
                <w:sz w:val="20"/>
                <w:szCs w:val="20"/>
              </w:rPr>
              <w:t>(a)</w:t>
            </w:r>
          </w:p>
        </w:tc>
        <w:tc>
          <w:tcPr>
            <w:tcW w:w="0" w:type="auto"/>
            <w:hideMark/>
          </w:tcPr>
          <w:p w14:paraId="19F15DC1" w14:textId="77777777" w:rsidR="00000000" w:rsidRDefault="002F725F">
            <w:pPr>
              <w:jc w:val="both"/>
              <w:rPr>
                <w:rFonts w:eastAsia="Times New Roman"/>
                <w:sz w:val="20"/>
                <w:szCs w:val="20"/>
              </w:rPr>
            </w:pPr>
            <w:r>
              <w:rPr>
                <w:rFonts w:eastAsia="Times New Roman"/>
                <w:sz w:val="20"/>
                <w:szCs w:val="20"/>
              </w:rPr>
              <w:t>The terms and conditions of the Merger, including the manner and basis of converting shares in each Constituent Company into shares in the Surviving Company or into other property, are set out in the Merger Agreement.</w:t>
            </w:r>
          </w:p>
        </w:tc>
      </w:tr>
    </w:tbl>
    <w:p w14:paraId="1A12BA03"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A74B87F" w14:textId="77777777">
        <w:trPr>
          <w:divId w:val="415980837"/>
          <w:tblCellSpacing w:w="0" w:type="dxa"/>
        </w:trPr>
        <w:tc>
          <w:tcPr>
            <w:tcW w:w="720" w:type="dxa"/>
            <w:hideMark/>
          </w:tcPr>
          <w:p w14:paraId="5B76CDFE" w14:textId="77777777" w:rsidR="00000000" w:rsidRDefault="002F725F">
            <w:pPr>
              <w:rPr>
                <w:sz w:val="20"/>
                <w:szCs w:val="20"/>
              </w:rPr>
            </w:pPr>
          </w:p>
        </w:tc>
        <w:tc>
          <w:tcPr>
            <w:tcW w:w="360" w:type="dxa"/>
            <w:hideMark/>
          </w:tcPr>
          <w:p w14:paraId="77C97F5B" w14:textId="77777777" w:rsidR="00000000" w:rsidRDefault="002F725F">
            <w:pPr>
              <w:rPr>
                <w:rFonts w:eastAsia="Times New Roman"/>
                <w:sz w:val="20"/>
                <w:szCs w:val="20"/>
              </w:rPr>
            </w:pPr>
            <w:r>
              <w:rPr>
                <w:rFonts w:eastAsia="Times New Roman"/>
                <w:sz w:val="20"/>
                <w:szCs w:val="20"/>
              </w:rPr>
              <w:t>(b)</w:t>
            </w:r>
          </w:p>
        </w:tc>
        <w:tc>
          <w:tcPr>
            <w:tcW w:w="0" w:type="auto"/>
            <w:hideMark/>
          </w:tcPr>
          <w:p w14:paraId="0827D074" w14:textId="77777777" w:rsidR="00000000" w:rsidRDefault="002F725F">
            <w:pPr>
              <w:jc w:val="both"/>
              <w:rPr>
                <w:rFonts w:eastAsia="Times New Roman"/>
                <w:sz w:val="20"/>
                <w:szCs w:val="20"/>
              </w:rPr>
            </w:pPr>
            <w:r>
              <w:rPr>
                <w:rFonts w:eastAsia="Times New Roman"/>
                <w:sz w:val="20"/>
                <w:szCs w:val="20"/>
              </w:rPr>
              <w:t>The rights and restrictions at</w:t>
            </w:r>
            <w:r>
              <w:rPr>
                <w:rFonts w:eastAsia="Times New Roman"/>
                <w:sz w:val="20"/>
                <w:szCs w:val="20"/>
              </w:rPr>
              <w:t>taching to the shares in the Surviving Company at and after the Effective Time shall be as set out in the Amended and Restated Memorandum and Articles of Association (as defined below).</w:t>
            </w:r>
          </w:p>
        </w:tc>
      </w:tr>
    </w:tbl>
    <w:p w14:paraId="6AD6CF7A"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4DE636FF" w14:textId="77777777">
        <w:trPr>
          <w:divId w:val="415980837"/>
          <w:tblCellSpacing w:w="0" w:type="dxa"/>
        </w:trPr>
        <w:tc>
          <w:tcPr>
            <w:tcW w:w="720" w:type="dxa"/>
            <w:hideMark/>
          </w:tcPr>
          <w:p w14:paraId="4DE27886" w14:textId="77777777" w:rsidR="00000000" w:rsidRDefault="002F725F">
            <w:pPr>
              <w:rPr>
                <w:sz w:val="20"/>
                <w:szCs w:val="20"/>
              </w:rPr>
            </w:pPr>
          </w:p>
        </w:tc>
        <w:tc>
          <w:tcPr>
            <w:tcW w:w="360" w:type="dxa"/>
            <w:hideMark/>
          </w:tcPr>
          <w:p w14:paraId="04369A9A" w14:textId="77777777" w:rsidR="00000000" w:rsidRDefault="002F725F">
            <w:pPr>
              <w:rPr>
                <w:rFonts w:eastAsia="Times New Roman"/>
                <w:sz w:val="20"/>
                <w:szCs w:val="20"/>
              </w:rPr>
            </w:pPr>
            <w:r>
              <w:rPr>
                <w:rFonts w:eastAsia="Times New Roman"/>
                <w:sz w:val="20"/>
                <w:szCs w:val="20"/>
              </w:rPr>
              <w:t>(c)</w:t>
            </w:r>
          </w:p>
        </w:tc>
        <w:tc>
          <w:tcPr>
            <w:tcW w:w="0" w:type="auto"/>
            <w:hideMark/>
          </w:tcPr>
          <w:p w14:paraId="3DD5CB54" w14:textId="77777777" w:rsidR="00000000" w:rsidRDefault="002F725F">
            <w:pPr>
              <w:jc w:val="both"/>
              <w:rPr>
                <w:rFonts w:eastAsia="Times New Roman"/>
                <w:sz w:val="20"/>
                <w:szCs w:val="20"/>
              </w:rPr>
            </w:pPr>
            <w:r>
              <w:rPr>
                <w:rFonts w:eastAsia="Times New Roman"/>
                <w:sz w:val="20"/>
                <w:szCs w:val="20"/>
              </w:rPr>
              <w:t>At the Effective Time, the memorandum and articles of associat</w:t>
            </w:r>
            <w:r>
              <w:rPr>
                <w:rFonts w:eastAsia="Times New Roman"/>
                <w:sz w:val="20"/>
                <w:szCs w:val="20"/>
              </w:rPr>
              <w:t xml:space="preserve">ion of the Surviving Company shall be amended and restated by their deletion in their entirety and the substitution in their place of the amended and restated memorandum and articles of association in the form annexed at </w:t>
            </w:r>
            <w:r>
              <w:rPr>
                <w:rFonts w:eastAsia="Times New Roman"/>
                <w:sz w:val="20"/>
                <w:szCs w:val="20"/>
                <w:u w:val="single"/>
              </w:rPr>
              <w:t>Annex 2</w:t>
            </w:r>
            <w:r>
              <w:rPr>
                <w:rFonts w:eastAsia="Times New Roman"/>
                <w:sz w:val="20"/>
                <w:szCs w:val="20"/>
              </w:rPr>
              <w:t xml:space="preserve"> hereto (the “</w:t>
            </w:r>
            <w:r>
              <w:rPr>
                <w:rFonts w:eastAsia="Times New Roman"/>
                <w:b/>
                <w:bCs/>
                <w:sz w:val="20"/>
                <w:szCs w:val="20"/>
              </w:rPr>
              <w:t>Amended and Re</w:t>
            </w:r>
            <w:r>
              <w:rPr>
                <w:rFonts w:eastAsia="Times New Roman"/>
                <w:b/>
                <w:bCs/>
                <w:sz w:val="20"/>
                <w:szCs w:val="20"/>
              </w:rPr>
              <w:t>stated Memorandum and Articles of Association</w:t>
            </w:r>
            <w:r>
              <w:rPr>
                <w:rFonts w:eastAsia="Times New Roman"/>
                <w:sz w:val="20"/>
                <w:szCs w:val="20"/>
              </w:rPr>
              <w:t>”).</w:t>
            </w:r>
          </w:p>
        </w:tc>
      </w:tr>
    </w:tbl>
    <w:p w14:paraId="13D8BA8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29DB0873" w14:textId="77777777">
        <w:trPr>
          <w:divId w:val="415980837"/>
          <w:tblCellSpacing w:w="0" w:type="dxa"/>
        </w:trPr>
        <w:tc>
          <w:tcPr>
            <w:tcW w:w="6" w:type="dxa"/>
            <w:hideMark/>
          </w:tcPr>
          <w:p w14:paraId="7C791B2B" w14:textId="77777777" w:rsidR="00000000" w:rsidRDefault="002F725F">
            <w:pPr>
              <w:rPr>
                <w:sz w:val="20"/>
                <w:szCs w:val="20"/>
              </w:rPr>
            </w:pPr>
          </w:p>
        </w:tc>
        <w:tc>
          <w:tcPr>
            <w:tcW w:w="720" w:type="dxa"/>
            <w:hideMark/>
          </w:tcPr>
          <w:p w14:paraId="4D14350F" w14:textId="77777777" w:rsidR="00000000" w:rsidRDefault="002F725F">
            <w:pPr>
              <w:rPr>
                <w:rFonts w:eastAsia="Times New Roman"/>
                <w:sz w:val="20"/>
                <w:szCs w:val="20"/>
              </w:rPr>
            </w:pPr>
            <w:r>
              <w:rPr>
                <w:rFonts w:eastAsia="Times New Roman"/>
                <w:b/>
                <w:bCs/>
                <w:sz w:val="20"/>
                <w:szCs w:val="20"/>
              </w:rPr>
              <w:t>2.4</w:t>
            </w:r>
          </w:p>
        </w:tc>
        <w:tc>
          <w:tcPr>
            <w:tcW w:w="0" w:type="auto"/>
            <w:hideMark/>
          </w:tcPr>
          <w:p w14:paraId="1B4464C8" w14:textId="77777777" w:rsidR="00000000" w:rsidRDefault="002F725F">
            <w:pPr>
              <w:rPr>
                <w:rFonts w:eastAsia="Times New Roman"/>
                <w:sz w:val="20"/>
                <w:szCs w:val="20"/>
              </w:rPr>
            </w:pPr>
            <w:r>
              <w:rPr>
                <w:rFonts w:eastAsia="Times New Roman"/>
                <w:b/>
                <w:bCs/>
                <w:sz w:val="20"/>
                <w:szCs w:val="20"/>
              </w:rPr>
              <w:t>Directors’ Interests in the Merger</w:t>
            </w:r>
          </w:p>
        </w:tc>
      </w:tr>
    </w:tbl>
    <w:p w14:paraId="52DFFBA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EA9EEF8" w14:textId="77777777">
        <w:trPr>
          <w:divId w:val="415980837"/>
          <w:tblCellSpacing w:w="0" w:type="dxa"/>
        </w:trPr>
        <w:tc>
          <w:tcPr>
            <w:tcW w:w="720" w:type="dxa"/>
            <w:hideMark/>
          </w:tcPr>
          <w:p w14:paraId="75C6AB6E" w14:textId="77777777" w:rsidR="00000000" w:rsidRDefault="002F725F">
            <w:pPr>
              <w:rPr>
                <w:sz w:val="20"/>
                <w:szCs w:val="20"/>
              </w:rPr>
            </w:pPr>
          </w:p>
        </w:tc>
        <w:tc>
          <w:tcPr>
            <w:tcW w:w="360" w:type="dxa"/>
            <w:hideMark/>
          </w:tcPr>
          <w:p w14:paraId="61AB92C5" w14:textId="77777777" w:rsidR="00000000" w:rsidRDefault="002F725F">
            <w:pPr>
              <w:rPr>
                <w:rFonts w:eastAsia="Times New Roman"/>
                <w:sz w:val="20"/>
                <w:szCs w:val="20"/>
              </w:rPr>
            </w:pPr>
            <w:r>
              <w:rPr>
                <w:rFonts w:eastAsia="Times New Roman"/>
                <w:sz w:val="20"/>
                <w:szCs w:val="20"/>
              </w:rPr>
              <w:t>(a)</w:t>
            </w:r>
          </w:p>
        </w:tc>
        <w:tc>
          <w:tcPr>
            <w:tcW w:w="0" w:type="auto"/>
            <w:hideMark/>
          </w:tcPr>
          <w:p w14:paraId="0E2A7A7E" w14:textId="77777777" w:rsidR="00000000" w:rsidRDefault="002F725F">
            <w:pPr>
              <w:rPr>
                <w:rFonts w:eastAsia="Times New Roman"/>
                <w:sz w:val="20"/>
                <w:szCs w:val="20"/>
              </w:rPr>
            </w:pPr>
            <w:r>
              <w:rPr>
                <w:rFonts w:eastAsia="Times New Roman"/>
                <w:sz w:val="20"/>
                <w:szCs w:val="20"/>
              </w:rPr>
              <w:t>The names and addresses of each director of the Surviving Company upon the Merger becoming effective are as follows:</w:t>
            </w:r>
          </w:p>
        </w:tc>
      </w:tr>
    </w:tbl>
    <w:p w14:paraId="2841669A"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4670"/>
        <w:gridCol w:w="4670"/>
      </w:tblGrid>
      <w:tr w:rsidR="00000000" w14:paraId="27CB8108" w14:textId="77777777">
        <w:trPr>
          <w:divId w:val="415980837"/>
        </w:trPr>
        <w:tc>
          <w:tcPr>
            <w:tcW w:w="2500"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009F8DC" w14:textId="77777777" w:rsidR="00000000" w:rsidRDefault="002F725F">
            <w:pPr>
              <w:rPr>
                <w:rFonts w:eastAsia="Times New Roman"/>
                <w:sz w:val="20"/>
                <w:szCs w:val="20"/>
              </w:rPr>
            </w:pPr>
            <w:r>
              <w:rPr>
                <w:rFonts w:eastAsia="Times New Roman"/>
                <w:b/>
                <w:bCs/>
                <w:sz w:val="20"/>
                <w:szCs w:val="20"/>
              </w:rPr>
              <w:t>NAME</w:t>
            </w:r>
          </w:p>
        </w:tc>
        <w:tc>
          <w:tcPr>
            <w:tcW w:w="2500" w:type="pct"/>
            <w:tcBorders>
              <w:top w:val="single" w:sz="8" w:space="0" w:color="000000"/>
              <w:bottom w:val="single" w:sz="8" w:space="0" w:color="000000"/>
              <w:right w:val="single" w:sz="8" w:space="0" w:color="000000"/>
            </w:tcBorders>
            <w:tcMar>
              <w:top w:w="0" w:type="dxa"/>
              <w:left w:w="108" w:type="dxa"/>
              <w:bottom w:w="0" w:type="dxa"/>
              <w:right w:w="108" w:type="dxa"/>
            </w:tcMar>
            <w:hideMark/>
          </w:tcPr>
          <w:p w14:paraId="499D04BC" w14:textId="77777777" w:rsidR="00000000" w:rsidRDefault="002F725F">
            <w:pPr>
              <w:rPr>
                <w:rFonts w:eastAsia="Times New Roman"/>
                <w:sz w:val="20"/>
                <w:szCs w:val="20"/>
              </w:rPr>
            </w:pPr>
            <w:r>
              <w:rPr>
                <w:rFonts w:eastAsia="Times New Roman"/>
                <w:b/>
                <w:bCs/>
                <w:sz w:val="20"/>
                <w:szCs w:val="20"/>
              </w:rPr>
              <w:t>ADDRESS</w:t>
            </w:r>
          </w:p>
        </w:tc>
      </w:tr>
      <w:tr w:rsidR="00000000" w14:paraId="12D7C8F1" w14:textId="77777777">
        <w:trPr>
          <w:divId w:val="415980837"/>
        </w:trPr>
        <w:tc>
          <w:tcPr>
            <w:tcW w:w="0" w:type="auto"/>
            <w:tcBorders>
              <w:left w:val="single" w:sz="8" w:space="0" w:color="000000"/>
              <w:bottom w:val="single" w:sz="8" w:space="0" w:color="000000"/>
              <w:right w:val="single" w:sz="8" w:space="0" w:color="000000"/>
            </w:tcBorders>
            <w:tcMar>
              <w:top w:w="0" w:type="dxa"/>
              <w:left w:w="108" w:type="dxa"/>
              <w:bottom w:w="0" w:type="dxa"/>
              <w:right w:w="108" w:type="dxa"/>
            </w:tcMar>
            <w:hideMark/>
          </w:tcPr>
          <w:p w14:paraId="4521D67D" w14:textId="77777777" w:rsidR="00000000" w:rsidRDefault="002F725F">
            <w:pPr>
              <w:rPr>
                <w:rFonts w:eastAsia="Times New Roman"/>
                <w:sz w:val="20"/>
                <w:szCs w:val="20"/>
              </w:rPr>
            </w:pPr>
            <w:r>
              <w:rPr>
                <w:rFonts w:eastAsia="Times New Roman"/>
                <w:sz w:val="20"/>
                <w:szCs w:val="20"/>
              </w:rPr>
              <w:t>[</w:t>
            </w:r>
            <w:r>
              <w:rPr>
                <w:rFonts w:eastAsia="Times New Roman"/>
                <w:sz w:val="20"/>
                <w:szCs w:val="20"/>
              </w:rPr>
              <w:t>●</w:t>
            </w:r>
            <w:r>
              <w:rPr>
                <w:rFonts w:eastAsia="Times New Roman"/>
                <w:sz w:val="20"/>
                <w:szCs w:val="20"/>
              </w:rPr>
              <w:t>]</w:t>
            </w:r>
          </w:p>
        </w:tc>
        <w:tc>
          <w:tcPr>
            <w:tcW w:w="0" w:type="auto"/>
            <w:tcBorders>
              <w:bottom w:val="single" w:sz="8" w:space="0" w:color="000000"/>
              <w:right w:val="single" w:sz="8" w:space="0" w:color="000000"/>
            </w:tcBorders>
            <w:tcMar>
              <w:top w:w="0" w:type="dxa"/>
              <w:left w:w="108" w:type="dxa"/>
              <w:bottom w:w="0" w:type="dxa"/>
              <w:right w:w="108" w:type="dxa"/>
            </w:tcMar>
            <w:hideMark/>
          </w:tcPr>
          <w:p w14:paraId="3E2E574C" w14:textId="77777777" w:rsidR="00000000" w:rsidRDefault="002F725F">
            <w:pPr>
              <w:rPr>
                <w:rFonts w:eastAsia="Times New Roman"/>
                <w:sz w:val="20"/>
                <w:szCs w:val="20"/>
              </w:rPr>
            </w:pPr>
            <w:r>
              <w:rPr>
                <w:rFonts w:eastAsia="Times New Roman"/>
                <w:sz w:val="20"/>
                <w:szCs w:val="20"/>
              </w:rPr>
              <w:t>[</w:t>
            </w:r>
            <w:r>
              <w:rPr>
                <w:rFonts w:eastAsia="Times New Roman"/>
                <w:sz w:val="20"/>
                <w:szCs w:val="20"/>
              </w:rPr>
              <w:t>●</w:t>
            </w:r>
            <w:r>
              <w:rPr>
                <w:rFonts w:eastAsia="Times New Roman"/>
                <w:sz w:val="20"/>
                <w:szCs w:val="20"/>
              </w:rPr>
              <w:t>]</w:t>
            </w:r>
          </w:p>
        </w:tc>
      </w:tr>
    </w:tbl>
    <w:p w14:paraId="7B448037"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52A85C4" w14:textId="77777777">
        <w:trPr>
          <w:divId w:val="415980837"/>
          <w:tblCellSpacing w:w="0" w:type="dxa"/>
        </w:trPr>
        <w:tc>
          <w:tcPr>
            <w:tcW w:w="720" w:type="dxa"/>
            <w:hideMark/>
          </w:tcPr>
          <w:p w14:paraId="0DF7C6CE" w14:textId="77777777" w:rsidR="00000000" w:rsidRDefault="002F725F">
            <w:pPr>
              <w:rPr>
                <w:sz w:val="20"/>
                <w:szCs w:val="20"/>
              </w:rPr>
            </w:pPr>
          </w:p>
        </w:tc>
        <w:tc>
          <w:tcPr>
            <w:tcW w:w="360" w:type="dxa"/>
            <w:hideMark/>
          </w:tcPr>
          <w:p w14:paraId="75927405" w14:textId="77777777" w:rsidR="00000000" w:rsidRDefault="002F725F">
            <w:pPr>
              <w:rPr>
                <w:rFonts w:eastAsia="Times New Roman"/>
                <w:sz w:val="20"/>
                <w:szCs w:val="20"/>
              </w:rPr>
            </w:pPr>
            <w:r>
              <w:rPr>
                <w:rFonts w:eastAsia="Times New Roman"/>
                <w:sz w:val="20"/>
                <w:szCs w:val="20"/>
              </w:rPr>
              <w:t>(b)</w:t>
            </w:r>
          </w:p>
        </w:tc>
        <w:tc>
          <w:tcPr>
            <w:tcW w:w="0" w:type="auto"/>
            <w:hideMark/>
          </w:tcPr>
          <w:p w14:paraId="0E79E3F2" w14:textId="77777777" w:rsidR="00000000" w:rsidRDefault="002F725F">
            <w:pPr>
              <w:jc w:val="both"/>
              <w:rPr>
                <w:rFonts w:eastAsia="Times New Roman"/>
                <w:sz w:val="20"/>
                <w:szCs w:val="20"/>
              </w:rPr>
            </w:pPr>
            <w:r>
              <w:rPr>
                <w:rFonts w:eastAsia="Times New Roman"/>
                <w:sz w:val="20"/>
                <w:szCs w:val="20"/>
              </w:rPr>
              <w:t>[There are no amounts or benefits which are or shall be paid or payable to any director of either of the C</w:t>
            </w:r>
            <w:r>
              <w:rPr>
                <w:rFonts w:eastAsia="Times New Roman"/>
                <w:sz w:val="20"/>
                <w:szCs w:val="20"/>
              </w:rPr>
              <w:t>onstituent Companies or the Surviving Company consequent upon the Merger.]</w:t>
            </w:r>
          </w:p>
        </w:tc>
      </w:tr>
    </w:tbl>
    <w:p w14:paraId="7B5A9BA6" w14:textId="77777777" w:rsidR="00000000" w:rsidRDefault="002F725F">
      <w:pPr>
        <w:pStyle w:val="NormalWeb"/>
        <w:spacing w:before="0" w:beforeAutospacing="0" w:after="0" w:afterAutospacing="0"/>
        <w:divId w:val="415980837"/>
        <w:rPr>
          <w:sz w:val="20"/>
          <w:szCs w:val="20"/>
        </w:rPr>
      </w:pPr>
      <w:r>
        <w:rPr>
          <w:sz w:val="20"/>
          <w:szCs w:val="20"/>
        </w:rPr>
        <w:t> </w:t>
      </w:r>
    </w:p>
    <w:p w14:paraId="5E121B6D" w14:textId="77777777" w:rsidR="00000000" w:rsidRDefault="002F725F">
      <w:pPr>
        <w:pStyle w:val="NormalWeb"/>
        <w:spacing w:before="0" w:beforeAutospacing="0" w:after="0" w:afterAutospacing="0"/>
        <w:jc w:val="center"/>
        <w:divId w:val="166289414"/>
        <w:rPr>
          <w:sz w:val="20"/>
          <w:szCs w:val="20"/>
        </w:rPr>
      </w:pPr>
      <w:r>
        <w:rPr>
          <w:sz w:val="20"/>
          <w:szCs w:val="20"/>
        </w:rPr>
        <w:t>B</w:t>
      </w:r>
      <w:r>
        <w:rPr>
          <w:sz w:val="20"/>
          <w:szCs w:val="20"/>
        </w:rPr>
        <w:t>-</w:t>
      </w:r>
      <w:r>
        <w:rPr>
          <w:sz w:val="20"/>
          <w:szCs w:val="20"/>
        </w:rPr>
        <w:t>3</w:t>
      </w:r>
    </w:p>
    <w:p w14:paraId="77B302A1"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33910895" w14:textId="77777777">
        <w:trPr>
          <w:divId w:val="415980837"/>
          <w:tblCellSpacing w:w="0" w:type="dxa"/>
        </w:trPr>
        <w:tc>
          <w:tcPr>
            <w:tcW w:w="6" w:type="dxa"/>
            <w:hideMark/>
          </w:tcPr>
          <w:p w14:paraId="2978D91E" w14:textId="77777777" w:rsidR="00000000" w:rsidRDefault="002F725F">
            <w:pPr>
              <w:rPr>
                <w:sz w:val="20"/>
                <w:szCs w:val="20"/>
              </w:rPr>
            </w:pPr>
          </w:p>
        </w:tc>
        <w:tc>
          <w:tcPr>
            <w:tcW w:w="720" w:type="dxa"/>
            <w:hideMark/>
          </w:tcPr>
          <w:p w14:paraId="1C2E2CD7" w14:textId="77777777" w:rsidR="00000000" w:rsidRDefault="002F725F">
            <w:pPr>
              <w:rPr>
                <w:rFonts w:eastAsia="Times New Roman"/>
                <w:sz w:val="20"/>
                <w:szCs w:val="20"/>
              </w:rPr>
            </w:pPr>
            <w:r>
              <w:rPr>
                <w:rFonts w:eastAsia="Times New Roman"/>
                <w:b/>
                <w:bCs/>
                <w:sz w:val="20"/>
                <w:szCs w:val="20"/>
              </w:rPr>
              <w:t>2.5</w:t>
            </w:r>
          </w:p>
        </w:tc>
        <w:tc>
          <w:tcPr>
            <w:tcW w:w="0" w:type="auto"/>
            <w:hideMark/>
          </w:tcPr>
          <w:p w14:paraId="327AFEE3" w14:textId="77777777" w:rsidR="00000000" w:rsidRDefault="002F725F">
            <w:pPr>
              <w:rPr>
                <w:rFonts w:eastAsia="Times New Roman"/>
                <w:sz w:val="20"/>
                <w:szCs w:val="20"/>
              </w:rPr>
            </w:pPr>
            <w:r>
              <w:rPr>
                <w:rFonts w:eastAsia="Times New Roman"/>
                <w:b/>
                <w:bCs/>
                <w:sz w:val="20"/>
                <w:szCs w:val="20"/>
              </w:rPr>
              <w:t>Secured Creditors</w:t>
            </w:r>
          </w:p>
        </w:tc>
      </w:tr>
    </w:tbl>
    <w:p w14:paraId="5E0305D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089B25D6" w14:textId="77777777">
        <w:trPr>
          <w:divId w:val="415980837"/>
          <w:tblCellSpacing w:w="0" w:type="dxa"/>
        </w:trPr>
        <w:tc>
          <w:tcPr>
            <w:tcW w:w="720" w:type="dxa"/>
            <w:hideMark/>
          </w:tcPr>
          <w:p w14:paraId="35049892" w14:textId="77777777" w:rsidR="00000000" w:rsidRDefault="002F725F">
            <w:pPr>
              <w:rPr>
                <w:sz w:val="20"/>
                <w:szCs w:val="20"/>
              </w:rPr>
            </w:pPr>
          </w:p>
        </w:tc>
        <w:tc>
          <w:tcPr>
            <w:tcW w:w="360" w:type="dxa"/>
            <w:hideMark/>
          </w:tcPr>
          <w:p w14:paraId="0C5DF61A" w14:textId="77777777" w:rsidR="00000000" w:rsidRDefault="002F725F">
            <w:pPr>
              <w:rPr>
                <w:rFonts w:eastAsia="Times New Roman"/>
                <w:sz w:val="20"/>
                <w:szCs w:val="20"/>
              </w:rPr>
            </w:pPr>
            <w:r>
              <w:rPr>
                <w:rFonts w:eastAsia="Times New Roman"/>
                <w:sz w:val="20"/>
                <w:szCs w:val="20"/>
              </w:rPr>
              <w:t>(a)</w:t>
            </w:r>
          </w:p>
        </w:tc>
        <w:tc>
          <w:tcPr>
            <w:tcW w:w="0" w:type="auto"/>
            <w:hideMark/>
          </w:tcPr>
          <w:p w14:paraId="0BB70DDA" w14:textId="77777777" w:rsidR="00000000" w:rsidRDefault="002F725F">
            <w:pPr>
              <w:jc w:val="both"/>
              <w:rPr>
                <w:rFonts w:eastAsia="Times New Roman"/>
                <w:sz w:val="20"/>
                <w:szCs w:val="20"/>
              </w:rPr>
            </w:pPr>
            <w:r>
              <w:rPr>
                <w:rFonts w:eastAsia="Times New Roman"/>
                <w:sz w:val="20"/>
                <w:szCs w:val="20"/>
              </w:rPr>
              <w:t>The Company has no secured creditors and has granted no fixed or floating security interests that are outstanding as at the date of this Plan of Merger, or which will be outstanding at the Effective Time.</w:t>
            </w:r>
          </w:p>
        </w:tc>
      </w:tr>
    </w:tbl>
    <w:p w14:paraId="43073AB7"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0BA948E" w14:textId="77777777">
        <w:trPr>
          <w:divId w:val="415980837"/>
          <w:tblCellSpacing w:w="0" w:type="dxa"/>
        </w:trPr>
        <w:tc>
          <w:tcPr>
            <w:tcW w:w="720" w:type="dxa"/>
            <w:hideMark/>
          </w:tcPr>
          <w:p w14:paraId="07644C43" w14:textId="77777777" w:rsidR="00000000" w:rsidRDefault="002F725F">
            <w:pPr>
              <w:rPr>
                <w:sz w:val="20"/>
                <w:szCs w:val="20"/>
              </w:rPr>
            </w:pPr>
          </w:p>
        </w:tc>
        <w:tc>
          <w:tcPr>
            <w:tcW w:w="360" w:type="dxa"/>
            <w:hideMark/>
          </w:tcPr>
          <w:p w14:paraId="2DCE4849" w14:textId="77777777" w:rsidR="00000000" w:rsidRDefault="002F725F">
            <w:pPr>
              <w:rPr>
                <w:rFonts w:eastAsia="Times New Roman"/>
                <w:sz w:val="20"/>
                <w:szCs w:val="20"/>
              </w:rPr>
            </w:pPr>
            <w:r>
              <w:rPr>
                <w:rFonts w:eastAsia="Times New Roman"/>
                <w:sz w:val="20"/>
                <w:szCs w:val="20"/>
              </w:rPr>
              <w:t>(b)</w:t>
            </w:r>
          </w:p>
        </w:tc>
        <w:tc>
          <w:tcPr>
            <w:tcW w:w="0" w:type="auto"/>
            <w:hideMark/>
          </w:tcPr>
          <w:p w14:paraId="5DB7D6DC" w14:textId="77777777" w:rsidR="00000000" w:rsidRDefault="002F725F">
            <w:pPr>
              <w:jc w:val="both"/>
              <w:rPr>
                <w:rFonts w:eastAsia="Times New Roman"/>
                <w:sz w:val="20"/>
                <w:szCs w:val="20"/>
              </w:rPr>
            </w:pPr>
            <w:r>
              <w:rPr>
                <w:rFonts w:eastAsia="Times New Roman"/>
                <w:sz w:val="20"/>
                <w:szCs w:val="20"/>
              </w:rPr>
              <w:t>The Merging Company has no secured creditor</w:t>
            </w:r>
            <w:r>
              <w:rPr>
                <w:rFonts w:eastAsia="Times New Roman"/>
                <w:sz w:val="20"/>
                <w:szCs w:val="20"/>
              </w:rPr>
              <w:t>s and has granted no fixed or floating security interests that are outstanding as at the date of this Plan of Merger, or which will be outstanding at the Effective Time.</w:t>
            </w:r>
          </w:p>
        </w:tc>
      </w:tr>
    </w:tbl>
    <w:p w14:paraId="40E1F53C"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15599AF4" w14:textId="77777777">
        <w:trPr>
          <w:divId w:val="415980837"/>
          <w:tblCellSpacing w:w="0" w:type="dxa"/>
        </w:trPr>
        <w:tc>
          <w:tcPr>
            <w:tcW w:w="6" w:type="dxa"/>
            <w:hideMark/>
          </w:tcPr>
          <w:p w14:paraId="3789DD22" w14:textId="77777777" w:rsidR="00000000" w:rsidRDefault="002F725F">
            <w:pPr>
              <w:rPr>
                <w:sz w:val="20"/>
                <w:szCs w:val="20"/>
              </w:rPr>
            </w:pPr>
          </w:p>
        </w:tc>
        <w:tc>
          <w:tcPr>
            <w:tcW w:w="720" w:type="dxa"/>
            <w:hideMark/>
          </w:tcPr>
          <w:p w14:paraId="3EF52F21" w14:textId="77777777" w:rsidR="00000000" w:rsidRDefault="002F725F">
            <w:pPr>
              <w:rPr>
                <w:rFonts w:eastAsia="Times New Roman"/>
                <w:sz w:val="20"/>
                <w:szCs w:val="20"/>
              </w:rPr>
            </w:pPr>
            <w:r>
              <w:rPr>
                <w:rFonts w:eastAsia="Times New Roman"/>
                <w:b/>
                <w:bCs/>
                <w:sz w:val="20"/>
                <w:szCs w:val="20"/>
              </w:rPr>
              <w:t>2.6</w:t>
            </w:r>
          </w:p>
        </w:tc>
        <w:tc>
          <w:tcPr>
            <w:tcW w:w="0" w:type="auto"/>
            <w:hideMark/>
          </w:tcPr>
          <w:p w14:paraId="5F1DCD4B" w14:textId="77777777" w:rsidR="00000000" w:rsidRDefault="002F725F">
            <w:pPr>
              <w:rPr>
                <w:rFonts w:eastAsia="Times New Roman"/>
                <w:sz w:val="20"/>
                <w:szCs w:val="20"/>
              </w:rPr>
            </w:pPr>
            <w:r>
              <w:rPr>
                <w:rFonts w:eastAsia="Times New Roman"/>
                <w:b/>
                <w:bCs/>
                <w:sz w:val="20"/>
                <w:szCs w:val="20"/>
              </w:rPr>
              <w:t>Property</w:t>
            </w:r>
          </w:p>
        </w:tc>
      </w:tr>
    </w:tbl>
    <w:p w14:paraId="299A3AEA" w14:textId="77777777" w:rsidR="00000000" w:rsidRDefault="002F725F">
      <w:pPr>
        <w:pStyle w:val="NormalWeb"/>
        <w:spacing w:before="0" w:beforeAutospacing="0" w:after="0" w:afterAutospacing="0"/>
        <w:divId w:val="415980837"/>
        <w:rPr>
          <w:sz w:val="20"/>
          <w:szCs w:val="20"/>
        </w:rPr>
      </w:pPr>
      <w:r>
        <w:rPr>
          <w:sz w:val="20"/>
          <w:szCs w:val="20"/>
        </w:rPr>
        <w:t> </w:t>
      </w:r>
    </w:p>
    <w:p w14:paraId="1CD2E64C" w14:textId="77777777" w:rsidR="00000000" w:rsidRDefault="002F725F">
      <w:pPr>
        <w:pStyle w:val="NormalWeb"/>
        <w:spacing w:before="0" w:beforeAutospacing="0" w:after="0" w:afterAutospacing="0"/>
        <w:ind w:left="720"/>
        <w:jc w:val="both"/>
        <w:divId w:val="415980837"/>
        <w:rPr>
          <w:sz w:val="20"/>
          <w:szCs w:val="20"/>
        </w:rPr>
      </w:pPr>
      <w:r>
        <w:rPr>
          <w:sz w:val="20"/>
          <w:szCs w:val="20"/>
        </w:rPr>
        <w:t>At the Effective Time, the rights, property of every description including choses in action, and the business, undertaking, goodwill, benefits, immunities and privileges of each of the Company and the Merging Company shall immediately vest in the Surviving</w:t>
      </w:r>
      <w:r>
        <w:rPr>
          <w:sz w:val="20"/>
          <w:szCs w:val="20"/>
        </w:rPr>
        <w:t xml:space="preserve"> Company which shall be liable for and subject, in the same manner as each of the Company and the Merging Company, to all mortgages, charges, or security interests and all contracts, obligations, claims, debts and liabilities of each of the Company and the</w:t>
      </w:r>
      <w:r>
        <w:rPr>
          <w:sz w:val="20"/>
          <w:szCs w:val="20"/>
        </w:rPr>
        <w:t xml:space="preserve"> Merging Company.</w:t>
      </w:r>
    </w:p>
    <w:p w14:paraId="61D9A96E" w14:textId="77777777" w:rsidR="00000000" w:rsidRDefault="002F725F">
      <w:pPr>
        <w:pStyle w:val="NormalWeb"/>
        <w:spacing w:before="0" w:beforeAutospacing="0" w:after="0" w:afterAutospacing="0"/>
        <w:ind w:left="567"/>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52A39B01" w14:textId="77777777">
        <w:trPr>
          <w:divId w:val="415980837"/>
          <w:tblCellSpacing w:w="0" w:type="dxa"/>
        </w:trPr>
        <w:tc>
          <w:tcPr>
            <w:tcW w:w="6" w:type="dxa"/>
            <w:hideMark/>
          </w:tcPr>
          <w:p w14:paraId="7645C729" w14:textId="77777777" w:rsidR="00000000" w:rsidRDefault="002F725F">
            <w:pPr>
              <w:rPr>
                <w:sz w:val="20"/>
                <w:szCs w:val="20"/>
              </w:rPr>
            </w:pPr>
          </w:p>
        </w:tc>
        <w:tc>
          <w:tcPr>
            <w:tcW w:w="720" w:type="dxa"/>
            <w:hideMark/>
          </w:tcPr>
          <w:p w14:paraId="6DF666CE" w14:textId="77777777" w:rsidR="00000000" w:rsidRDefault="002F725F">
            <w:pPr>
              <w:rPr>
                <w:rFonts w:eastAsia="Times New Roman"/>
                <w:sz w:val="20"/>
                <w:szCs w:val="20"/>
              </w:rPr>
            </w:pPr>
            <w:r>
              <w:rPr>
                <w:rFonts w:eastAsia="Times New Roman"/>
                <w:b/>
                <w:bCs/>
                <w:caps/>
                <w:sz w:val="20"/>
                <w:szCs w:val="20"/>
              </w:rPr>
              <w:t>3</w:t>
            </w:r>
          </w:p>
        </w:tc>
        <w:tc>
          <w:tcPr>
            <w:tcW w:w="0" w:type="auto"/>
            <w:hideMark/>
          </w:tcPr>
          <w:p w14:paraId="20D2D0DE" w14:textId="77777777" w:rsidR="00000000" w:rsidRDefault="002F725F">
            <w:pPr>
              <w:rPr>
                <w:rFonts w:eastAsia="Times New Roman"/>
                <w:sz w:val="20"/>
                <w:szCs w:val="20"/>
              </w:rPr>
            </w:pPr>
            <w:r>
              <w:rPr>
                <w:rFonts w:eastAsia="Times New Roman"/>
                <w:b/>
                <w:bCs/>
                <w:caps/>
                <w:sz w:val="20"/>
                <w:szCs w:val="20"/>
              </w:rPr>
              <w:t>Variation</w:t>
            </w:r>
          </w:p>
        </w:tc>
      </w:tr>
    </w:tbl>
    <w:p w14:paraId="697E64B4"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6122570D" w14:textId="77777777">
        <w:trPr>
          <w:divId w:val="415980837"/>
          <w:tblCellSpacing w:w="0" w:type="dxa"/>
        </w:trPr>
        <w:tc>
          <w:tcPr>
            <w:tcW w:w="6" w:type="dxa"/>
            <w:hideMark/>
          </w:tcPr>
          <w:p w14:paraId="30EA4A72" w14:textId="77777777" w:rsidR="00000000" w:rsidRDefault="002F725F">
            <w:pPr>
              <w:rPr>
                <w:sz w:val="20"/>
                <w:szCs w:val="20"/>
              </w:rPr>
            </w:pPr>
          </w:p>
        </w:tc>
        <w:tc>
          <w:tcPr>
            <w:tcW w:w="720" w:type="dxa"/>
            <w:hideMark/>
          </w:tcPr>
          <w:p w14:paraId="2736D753" w14:textId="77777777" w:rsidR="00000000" w:rsidRDefault="002F725F">
            <w:pPr>
              <w:rPr>
                <w:rFonts w:eastAsia="Times New Roman"/>
                <w:sz w:val="20"/>
                <w:szCs w:val="20"/>
              </w:rPr>
            </w:pPr>
            <w:r>
              <w:rPr>
                <w:rFonts w:eastAsia="Times New Roman"/>
                <w:b/>
                <w:bCs/>
                <w:sz w:val="20"/>
                <w:szCs w:val="20"/>
              </w:rPr>
              <w:t>3.1</w:t>
            </w:r>
          </w:p>
        </w:tc>
        <w:tc>
          <w:tcPr>
            <w:tcW w:w="0" w:type="auto"/>
            <w:hideMark/>
          </w:tcPr>
          <w:p w14:paraId="7DEF51CE" w14:textId="77777777" w:rsidR="00000000" w:rsidRDefault="002F725F">
            <w:pPr>
              <w:jc w:val="both"/>
              <w:rPr>
                <w:rFonts w:eastAsia="Times New Roman"/>
                <w:sz w:val="20"/>
                <w:szCs w:val="20"/>
              </w:rPr>
            </w:pPr>
            <w:r>
              <w:rPr>
                <w:rFonts w:eastAsia="Times New Roman"/>
                <w:sz w:val="20"/>
                <w:szCs w:val="20"/>
              </w:rPr>
              <w:t>At any time prior to the Effective Time, this Plan of Merger may be amended by the boards of directors of both the Company and the Merging Company in accordance with Section 235(1) of the Companies Act to:</w:t>
            </w:r>
          </w:p>
        </w:tc>
      </w:tr>
    </w:tbl>
    <w:p w14:paraId="7D727A71"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2F46A02E" w14:textId="77777777">
        <w:trPr>
          <w:divId w:val="415980837"/>
          <w:tblCellSpacing w:w="0" w:type="dxa"/>
        </w:trPr>
        <w:tc>
          <w:tcPr>
            <w:tcW w:w="720" w:type="dxa"/>
            <w:hideMark/>
          </w:tcPr>
          <w:p w14:paraId="2BD03065" w14:textId="77777777" w:rsidR="00000000" w:rsidRDefault="002F725F">
            <w:pPr>
              <w:rPr>
                <w:sz w:val="20"/>
                <w:szCs w:val="20"/>
              </w:rPr>
            </w:pPr>
          </w:p>
        </w:tc>
        <w:tc>
          <w:tcPr>
            <w:tcW w:w="360" w:type="dxa"/>
            <w:hideMark/>
          </w:tcPr>
          <w:p w14:paraId="6CDD6988" w14:textId="77777777" w:rsidR="00000000" w:rsidRDefault="002F725F">
            <w:pPr>
              <w:rPr>
                <w:rFonts w:eastAsia="Times New Roman"/>
                <w:sz w:val="20"/>
                <w:szCs w:val="20"/>
              </w:rPr>
            </w:pPr>
            <w:r>
              <w:rPr>
                <w:rFonts w:eastAsia="Times New Roman"/>
                <w:sz w:val="20"/>
                <w:szCs w:val="20"/>
              </w:rPr>
              <w:t>(a)</w:t>
            </w:r>
          </w:p>
        </w:tc>
        <w:tc>
          <w:tcPr>
            <w:tcW w:w="0" w:type="auto"/>
            <w:hideMark/>
          </w:tcPr>
          <w:p w14:paraId="05267441" w14:textId="77777777" w:rsidR="00000000" w:rsidRDefault="002F725F">
            <w:pPr>
              <w:jc w:val="both"/>
              <w:rPr>
                <w:rFonts w:eastAsia="Times New Roman"/>
                <w:sz w:val="20"/>
                <w:szCs w:val="20"/>
              </w:rPr>
            </w:pPr>
            <w:r>
              <w:rPr>
                <w:rFonts w:eastAsia="Times New Roman"/>
                <w:sz w:val="20"/>
                <w:szCs w:val="20"/>
              </w:rPr>
              <w:t>change the Effective Time provided that su</w:t>
            </w:r>
            <w:r>
              <w:rPr>
                <w:rFonts w:eastAsia="Times New Roman"/>
                <w:sz w:val="20"/>
                <w:szCs w:val="20"/>
              </w:rPr>
              <w:t>ch changed date shall not be a date earlier than the date of registration of this Plan of Merger with the Registrar of Companies of the Cayman Islands or (save as otherwise provided in the Merger Agreement) later than the ninetieth (90</w:t>
            </w:r>
            <w:r>
              <w:rPr>
                <w:rFonts w:eastAsia="Times New Roman"/>
                <w:sz w:val="20"/>
                <w:szCs w:val="20"/>
                <w:vertAlign w:val="superscript"/>
              </w:rPr>
              <w:t>th</w:t>
            </w:r>
            <w:r>
              <w:rPr>
                <w:rFonts w:eastAsia="Times New Roman"/>
                <w:sz w:val="20"/>
                <w:szCs w:val="20"/>
              </w:rPr>
              <w:t>) day after the dat</w:t>
            </w:r>
            <w:r>
              <w:rPr>
                <w:rFonts w:eastAsia="Times New Roman"/>
                <w:sz w:val="20"/>
                <w:szCs w:val="20"/>
              </w:rPr>
              <w:t>e of registration of this Plan of Merger with the Registrar of Companies of the Cayman Islands; and</w:t>
            </w:r>
          </w:p>
        </w:tc>
      </w:tr>
    </w:tbl>
    <w:p w14:paraId="437BD1E3"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360"/>
        <w:gridCol w:w="8280"/>
      </w:tblGrid>
      <w:tr w:rsidR="00000000" w14:paraId="7EF19BD5" w14:textId="77777777">
        <w:trPr>
          <w:divId w:val="415980837"/>
          <w:tblCellSpacing w:w="0" w:type="dxa"/>
        </w:trPr>
        <w:tc>
          <w:tcPr>
            <w:tcW w:w="720" w:type="dxa"/>
            <w:hideMark/>
          </w:tcPr>
          <w:p w14:paraId="002FCEC1" w14:textId="77777777" w:rsidR="00000000" w:rsidRDefault="002F725F">
            <w:pPr>
              <w:rPr>
                <w:sz w:val="20"/>
                <w:szCs w:val="20"/>
              </w:rPr>
            </w:pPr>
          </w:p>
        </w:tc>
        <w:tc>
          <w:tcPr>
            <w:tcW w:w="360" w:type="dxa"/>
            <w:hideMark/>
          </w:tcPr>
          <w:p w14:paraId="451B7B0F" w14:textId="77777777" w:rsidR="00000000" w:rsidRDefault="002F725F">
            <w:pPr>
              <w:rPr>
                <w:rFonts w:eastAsia="Times New Roman"/>
                <w:sz w:val="20"/>
                <w:szCs w:val="20"/>
              </w:rPr>
            </w:pPr>
            <w:r>
              <w:rPr>
                <w:rFonts w:eastAsia="Times New Roman"/>
                <w:sz w:val="20"/>
                <w:szCs w:val="20"/>
              </w:rPr>
              <w:t>(b)</w:t>
            </w:r>
          </w:p>
        </w:tc>
        <w:tc>
          <w:tcPr>
            <w:tcW w:w="0" w:type="auto"/>
            <w:hideMark/>
          </w:tcPr>
          <w:p w14:paraId="4A4CCA16" w14:textId="77777777" w:rsidR="00000000" w:rsidRDefault="002F725F">
            <w:pPr>
              <w:jc w:val="both"/>
              <w:rPr>
                <w:rFonts w:eastAsia="Times New Roman"/>
                <w:sz w:val="20"/>
                <w:szCs w:val="20"/>
              </w:rPr>
            </w:pPr>
            <w:r>
              <w:rPr>
                <w:rFonts w:eastAsia="Times New Roman"/>
                <w:sz w:val="20"/>
                <w:szCs w:val="20"/>
              </w:rPr>
              <w:t>effect any other changes to this Plan of Merger as the Merger Agreement or this Plan of Merger may expressly authorise the boards of directors of both the Company and the Merging Company to effect in their discretion.</w:t>
            </w:r>
          </w:p>
        </w:tc>
      </w:tr>
    </w:tbl>
    <w:p w14:paraId="15F44586"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3071396B" w14:textId="77777777">
        <w:trPr>
          <w:divId w:val="415980837"/>
          <w:tblCellSpacing w:w="0" w:type="dxa"/>
        </w:trPr>
        <w:tc>
          <w:tcPr>
            <w:tcW w:w="6" w:type="dxa"/>
            <w:hideMark/>
          </w:tcPr>
          <w:p w14:paraId="571BE4FE" w14:textId="77777777" w:rsidR="00000000" w:rsidRDefault="002F725F">
            <w:pPr>
              <w:rPr>
                <w:sz w:val="20"/>
                <w:szCs w:val="20"/>
              </w:rPr>
            </w:pPr>
          </w:p>
        </w:tc>
        <w:tc>
          <w:tcPr>
            <w:tcW w:w="720" w:type="dxa"/>
            <w:hideMark/>
          </w:tcPr>
          <w:p w14:paraId="642CD0C5" w14:textId="77777777" w:rsidR="00000000" w:rsidRDefault="002F725F">
            <w:pPr>
              <w:rPr>
                <w:rFonts w:eastAsia="Times New Roman"/>
                <w:sz w:val="20"/>
                <w:szCs w:val="20"/>
              </w:rPr>
            </w:pPr>
            <w:r>
              <w:rPr>
                <w:rFonts w:eastAsia="Times New Roman"/>
                <w:b/>
                <w:bCs/>
                <w:caps/>
                <w:sz w:val="20"/>
                <w:szCs w:val="20"/>
              </w:rPr>
              <w:t>4</w:t>
            </w:r>
          </w:p>
        </w:tc>
        <w:tc>
          <w:tcPr>
            <w:tcW w:w="0" w:type="auto"/>
            <w:hideMark/>
          </w:tcPr>
          <w:p w14:paraId="2651F002" w14:textId="77777777" w:rsidR="00000000" w:rsidRDefault="002F725F">
            <w:pPr>
              <w:rPr>
                <w:rFonts w:eastAsia="Times New Roman"/>
                <w:sz w:val="20"/>
                <w:szCs w:val="20"/>
              </w:rPr>
            </w:pPr>
            <w:r>
              <w:rPr>
                <w:rFonts w:eastAsia="Times New Roman"/>
                <w:b/>
                <w:bCs/>
                <w:caps/>
                <w:sz w:val="20"/>
                <w:szCs w:val="20"/>
              </w:rPr>
              <w:t>Termination</w:t>
            </w:r>
          </w:p>
        </w:tc>
      </w:tr>
    </w:tbl>
    <w:p w14:paraId="02B49CA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19786303" w14:textId="77777777">
        <w:trPr>
          <w:divId w:val="415980837"/>
          <w:tblCellSpacing w:w="0" w:type="dxa"/>
        </w:trPr>
        <w:tc>
          <w:tcPr>
            <w:tcW w:w="6" w:type="dxa"/>
            <w:hideMark/>
          </w:tcPr>
          <w:p w14:paraId="65EAAA40" w14:textId="77777777" w:rsidR="00000000" w:rsidRDefault="002F725F">
            <w:pPr>
              <w:rPr>
                <w:sz w:val="20"/>
                <w:szCs w:val="20"/>
              </w:rPr>
            </w:pPr>
          </w:p>
        </w:tc>
        <w:tc>
          <w:tcPr>
            <w:tcW w:w="720" w:type="dxa"/>
            <w:hideMark/>
          </w:tcPr>
          <w:p w14:paraId="7692558E" w14:textId="77777777" w:rsidR="00000000" w:rsidRDefault="002F725F">
            <w:pPr>
              <w:rPr>
                <w:rFonts w:eastAsia="Times New Roman"/>
                <w:sz w:val="20"/>
                <w:szCs w:val="20"/>
              </w:rPr>
            </w:pPr>
            <w:r>
              <w:rPr>
                <w:rFonts w:eastAsia="Times New Roman"/>
                <w:b/>
                <w:bCs/>
                <w:sz w:val="20"/>
                <w:szCs w:val="20"/>
              </w:rPr>
              <w:t>4.1</w:t>
            </w:r>
          </w:p>
        </w:tc>
        <w:tc>
          <w:tcPr>
            <w:tcW w:w="0" w:type="auto"/>
            <w:hideMark/>
          </w:tcPr>
          <w:p w14:paraId="66E9268A" w14:textId="77777777" w:rsidR="00000000" w:rsidRDefault="002F725F">
            <w:pPr>
              <w:jc w:val="both"/>
              <w:rPr>
                <w:rFonts w:eastAsia="Times New Roman"/>
                <w:sz w:val="20"/>
                <w:szCs w:val="20"/>
              </w:rPr>
            </w:pPr>
            <w:r>
              <w:rPr>
                <w:rFonts w:eastAsia="Times New Roman"/>
                <w:sz w:val="20"/>
                <w:szCs w:val="20"/>
              </w:rPr>
              <w:t xml:space="preserve">At any time </w:t>
            </w:r>
            <w:r>
              <w:rPr>
                <w:rFonts w:eastAsia="Times New Roman"/>
                <w:sz w:val="20"/>
                <w:szCs w:val="20"/>
              </w:rPr>
              <w:t>prior to the Effective Time, this Plan of Merger may be terminated by the boards of directors of both the Company and the Merging Company in accordance with the terms of the Merger Agreement.</w:t>
            </w:r>
          </w:p>
        </w:tc>
      </w:tr>
    </w:tbl>
    <w:p w14:paraId="3A7B2CA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2EA5E23F" w14:textId="77777777">
        <w:trPr>
          <w:divId w:val="415980837"/>
          <w:tblCellSpacing w:w="0" w:type="dxa"/>
        </w:trPr>
        <w:tc>
          <w:tcPr>
            <w:tcW w:w="6" w:type="dxa"/>
            <w:hideMark/>
          </w:tcPr>
          <w:p w14:paraId="226BDB5B" w14:textId="77777777" w:rsidR="00000000" w:rsidRDefault="002F725F">
            <w:pPr>
              <w:rPr>
                <w:sz w:val="20"/>
                <w:szCs w:val="20"/>
              </w:rPr>
            </w:pPr>
          </w:p>
        </w:tc>
        <w:tc>
          <w:tcPr>
            <w:tcW w:w="720" w:type="dxa"/>
            <w:hideMark/>
          </w:tcPr>
          <w:p w14:paraId="1ECAF4BF" w14:textId="77777777" w:rsidR="00000000" w:rsidRDefault="002F725F">
            <w:pPr>
              <w:rPr>
                <w:rFonts w:eastAsia="Times New Roman"/>
                <w:sz w:val="20"/>
                <w:szCs w:val="20"/>
              </w:rPr>
            </w:pPr>
            <w:r>
              <w:rPr>
                <w:rFonts w:eastAsia="Times New Roman"/>
                <w:b/>
                <w:bCs/>
                <w:caps/>
                <w:sz w:val="20"/>
                <w:szCs w:val="20"/>
              </w:rPr>
              <w:t>5</w:t>
            </w:r>
          </w:p>
        </w:tc>
        <w:tc>
          <w:tcPr>
            <w:tcW w:w="0" w:type="auto"/>
            <w:hideMark/>
          </w:tcPr>
          <w:p w14:paraId="6B1C1030" w14:textId="77777777" w:rsidR="00000000" w:rsidRDefault="002F725F">
            <w:pPr>
              <w:rPr>
                <w:rFonts w:eastAsia="Times New Roman"/>
                <w:sz w:val="20"/>
                <w:szCs w:val="20"/>
              </w:rPr>
            </w:pPr>
            <w:r>
              <w:rPr>
                <w:rFonts w:eastAsia="Times New Roman"/>
                <w:b/>
                <w:bCs/>
                <w:caps/>
                <w:sz w:val="20"/>
                <w:szCs w:val="20"/>
              </w:rPr>
              <w:t>approvals</w:t>
            </w:r>
          </w:p>
        </w:tc>
      </w:tr>
    </w:tbl>
    <w:p w14:paraId="2CE5587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385B47E8" w14:textId="77777777">
        <w:trPr>
          <w:divId w:val="415980837"/>
          <w:tblCellSpacing w:w="0" w:type="dxa"/>
        </w:trPr>
        <w:tc>
          <w:tcPr>
            <w:tcW w:w="6" w:type="dxa"/>
            <w:hideMark/>
          </w:tcPr>
          <w:p w14:paraId="757E9A73" w14:textId="77777777" w:rsidR="00000000" w:rsidRDefault="002F725F">
            <w:pPr>
              <w:rPr>
                <w:sz w:val="20"/>
                <w:szCs w:val="20"/>
              </w:rPr>
            </w:pPr>
          </w:p>
        </w:tc>
        <w:tc>
          <w:tcPr>
            <w:tcW w:w="720" w:type="dxa"/>
            <w:hideMark/>
          </w:tcPr>
          <w:p w14:paraId="14F81ED9" w14:textId="77777777" w:rsidR="00000000" w:rsidRDefault="002F725F">
            <w:pPr>
              <w:rPr>
                <w:rFonts w:eastAsia="Times New Roman"/>
                <w:sz w:val="20"/>
                <w:szCs w:val="20"/>
              </w:rPr>
            </w:pPr>
            <w:r>
              <w:rPr>
                <w:rFonts w:eastAsia="Times New Roman"/>
                <w:b/>
                <w:bCs/>
                <w:sz w:val="20"/>
                <w:szCs w:val="20"/>
              </w:rPr>
              <w:t>5.1</w:t>
            </w:r>
          </w:p>
        </w:tc>
        <w:tc>
          <w:tcPr>
            <w:tcW w:w="0" w:type="auto"/>
            <w:hideMark/>
          </w:tcPr>
          <w:p w14:paraId="0DC4220F" w14:textId="77777777" w:rsidR="00000000" w:rsidRDefault="002F725F">
            <w:pPr>
              <w:jc w:val="both"/>
              <w:rPr>
                <w:rFonts w:eastAsia="Times New Roman"/>
                <w:sz w:val="20"/>
                <w:szCs w:val="20"/>
              </w:rPr>
            </w:pPr>
            <w:r>
              <w:rPr>
                <w:rFonts w:eastAsia="Times New Roman"/>
                <w:sz w:val="20"/>
                <w:szCs w:val="20"/>
              </w:rPr>
              <w:t>This Plan of Merger has been approved by the board of directors of both of the Constituent Companies pursuant to section 233(3) of the Companies Act.</w:t>
            </w:r>
          </w:p>
        </w:tc>
      </w:tr>
    </w:tbl>
    <w:p w14:paraId="20E25A7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19B2B5B0" w14:textId="77777777">
        <w:trPr>
          <w:divId w:val="415980837"/>
          <w:tblCellSpacing w:w="0" w:type="dxa"/>
        </w:trPr>
        <w:tc>
          <w:tcPr>
            <w:tcW w:w="6" w:type="dxa"/>
            <w:hideMark/>
          </w:tcPr>
          <w:p w14:paraId="26B43549" w14:textId="77777777" w:rsidR="00000000" w:rsidRDefault="002F725F">
            <w:pPr>
              <w:rPr>
                <w:sz w:val="20"/>
                <w:szCs w:val="20"/>
              </w:rPr>
            </w:pPr>
          </w:p>
        </w:tc>
        <w:tc>
          <w:tcPr>
            <w:tcW w:w="720" w:type="dxa"/>
            <w:hideMark/>
          </w:tcPr>
          <w:p w14:paraId="6A6CE6A4" w14:textId="77777777" w:rsidR="00000000" w:rsidRDefault="002F725F">
            <w:pPr>
              <w:rPr>
                <w:rFonts w:eastAsia="Times New Roman"/>
                <w:sz w:val="20"/>
                <w:szCs w:val="20"/>
              </w:rPr>
            </w:pPr>
            <w:r>
              <w:rPr>
                <w:rFonts w:eastAsia="Times New Roman"/>
                <w:b/>
                <w:bCs/>
                <w:sz w:val="20"/>
                <w:szCs w:val="20"/>
              </w:rPr>
              <w:t>5.2</w:t>
            </w:r>
          </w:p>
        </w:tc>
        <w:tc>
          <w:tcPr>
            <w:tcW w:w="0" w:type="auto"/>
            <w:hideMark/>
          </w:tcPr>
          <w:p w14:paraId="6ED91976" w14:textId="77777777" w:rsidR="00000000" w:rsidRDefault="002F725F">
            <w:pPr>
              <w:jc w:val="both"/>
              <w:rPr>
                <w:rFonts w:eastAsia="Times New Roman"/>
                <w:sz w:val="20"/>
                <w:szCs w:val="20"/>
              </w:rPr>
            </w:pPr>
            <w:r>
              <w:rPr>
                <w:rFonts w:eastAsia="Times New Roman"/>
                <w:sz w:val="20"/>
                <w:szCs w:val="20"/>
              </w:rPr>
              <w:t>This Plan of Merger has been authorised by the shareholders of both of the Constituent Companies p</w:t>
            </w:r>
            <w:r>
              <w:rPr>
                <w:rFonts w:eastAsia="Times New Roman"/>
                <w:sz w:val="20"/>
                <w:szCs w:val="20"/>
              </w:rPr>
              <w:t>ursuant to section 233(6) of the Companies Act.</w:t>
            </w:r>
          </w:p>
        </w:tc>
      </w:tr>
    </w:tbl>
    <w:p w14:paraId="77F0D11D"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5C930EA7" w14:textId="77777777">
        <w:trPr>
          <w:divId w:val="415980837"/>
          <w:tblCellSpacing w:w="0" w:type="dxa"/>
        </w:trPr>
        <w:tc>
          <w:tcPr>
            <w:tcW w:w="6" w:type="dxa"/>
            <w:hideMark/>
          </w:tcPr>
          <w:p w14:paraId="6C933DDE" w14:textId="77777777" w:rsidR="00000000" w:rsidRDefault="002F725F">
            <w:pPr>
              <w:rPr>
                <w:sz w:val="20"/>
                <w:szCs w:val="20"/>
              </w:rPr>
            </w:pPr>
          </w:p>
        </w:tc>
        <w:tc>
          <w:tcPr>
            <w:tcW w:w="720" w:type="dxa"/>
            <w:hideMark/>
          </w:tcPr>
          <w:p w14:paraId="67B9630F" w14:textId="77777777" w:rsidR="00000000" w:rsidRDefault="002F725F">
            <w:pPr>
              <w:rPr>
                <w:rFonts w:eastAsia="Times New Roman"/>
                <w:sz w:val="20"/>
                <w:szCs w:val="20"/>
              </w:rPr>
            </w:pPr>
            <w:r>
              <w:rPr>
                <w:rFonts w:eastAsia="Times New Roman"/>
                <w:b/>
                <w:bCs/>
                <w:caps/>
                <w:sz w:val="20"/>
                <w:szCs w:val="20"/>
              </w:rPr>
              <w:t>6</w:t>
            </w:r>
          </w:p>
        </w:tc>
        <w:tc>
          <w:tcPr>
            <w:tcW w:w="0" w:type="auto"/>
            <w:hideMark/>
          </w:tcPr>
          <w:p w14:paraId="4E1A2891" w14:textId="77777777" w:rsidR="00000000" w:rsidRDefault="002F725F">
            <w:pPr>
              <w:rPr>
                <w:rFonts w:eastAsia="Times New Roman"/>
                <w:sz w:val="20"/>
                <w:szCs w:val="20"/>
              </w:rPr>
            </w:pPr>
            <w:r>
              <w:rPr>
                <w:rFonts w:eastAsia="Times New Roman"/>
                <w:b/>
                <w:bCs/>
                <w:caps/>
                <w:sz w:val="20"/>
                <w:szCs w:val="20"/>
              </w:rPr>
              <w:t>Counterparts</w:t>
            </w:r>
          </w:p>
        </w:tc>
      </w:tr>
    </w:tbl>
    <w:p w14:paraId="10A5FD8E"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2E4FF185" w14:textId="77777777">
        <w:trPr>
          <w:divId w:val="415980837"/>
          <w:tblCellSpacing w:w="0" w:type="dxa"/>
        </w:trPr>
        <w:tc>
          <w:tcPr>
            <w:tcW w:w="6" w:type="dxa"/>
            <w:hideMark/>
          </w:tcPr>
          <w:p w14:paraId="4AFCDEBE" w14:textId="77777777" w:rsidR="00000000" w:rsidRDefault="002F725F">
            <w:pPr>
              <w:rPr>
                <w:sz w:val="20"/>
                <w:szCs w:val="20"/>
              </w:rPr>
            </w:pPr>
          </w:p>
        </w:tc>
        <w:tc>
          <w:tcPr>
            <w:tcW w:w="720" w:type="dxa"/>
            <w:hideMark/>
          </w:tcPr>
          <w:p w14:paraId="61F9F4AA" w14:textId="77777777" w:rsidR="00000000" w:rsidRDefault="002F725F">
            <w:pPr>
              <w:rPr>
                <w:rFonts w:eastAsia="Times New Roman"/>
                <w:sz w:val="20"/>
                <w:szCs w:val="20"/>
              </w:rPr>
            </w:pPr>
            <w:r>
              <w:rPr>
                <w:rFonts w:eastAsia="Times New Roman"/>
                <w:b/>
                <w:bCs/>
                <w:sz w:val="20"/>
                <w:szCs w:val="20"/>
              </w:rPr>
              <w:t>6.1</w:t>
            </w:r>
          </w:p>
        </w:tc>
        <w:tc>
          <w:tcPr>
            <w:tcW w:w="0" w:type="auto"/>
            <w:hideMark/>
          </w:tcPr>
          <w:p w14:paraId="4D2C0F33" w14:textId="77777777" w:rsidR="00000000" w:rsidRDefault="002F725F">
            <w:pPr>
              <w:jc w:val="both"/>
              <w:rPr>
                <w:rFonts w:eastAsia="Times New Roman"/>
                <w:sz w:val="20"/>
                <w:szCs w:val="20"/>
              </w:rPr>
            </w:pPr>
            <w:r>
              <w:rPr>
                <w:rFonts w:eastAsia="Times New Roman"/>
                <w:sz w:val="20"/>
                <w:szCs w:val="20"/>
              </w:rPr>
              <w:t>This Plan of Merger may be executed in any number of counterparts, all of which taken together shall constitute one and the same instrument. Any party may enter into this Plan of Me</w:t>
            </w:r>
            <w:r>
              <w:rPr>
                <w:rFonts w:eastAsia="Times New Roman"/>
                <w:sz w:val="20"/>
                <w:szCs w:val="20"/>
              </w:rPr>
              <w:t>rger by executing any such counterpart.</w:t>
            </w:r>
          </w:p>
        </w:tc>
      </w:tr>
    </w:tbl>
    <w:p w14:paraId="4BF1349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6F55B694" w14:textId="77777777">
        <w:trPr>
          <w:divId w:val="415980837"/>
          <w:tblCellSpacing w:w="0" w:type="dxa"/>
        </w:trPr>
        <w:tc>
          <w:tcPr>
            <w:tcW w:w="6" w:type="dxa"/>
            <w:hideMark/>
          </w:tcPr>
          <w:p w14:paraId="7F7A4975" w14:textId="77777777" w:rsidR="00000000" w:rsidRDefault="002F725F">
            <w:pPr>
              <w:rPr>
                <w:sz w:val="20"/>
                <w:szCs w:val="20"/>
              </w:rPr>
            </w:pPr>
          </w:p>
        </w:tc>
        <w:tc>
          <w:tcPr>
            <w:tcW w:w="720" w:type="dxa"/>
            <w:hideMark/>
          </w:tcPr>
          <w:p w14:paraId="116102D8" w14:textId="77777777" w:rsidR="00000000" w:rsidRDefault="002F725F">
            <w:pPr>
              <w:rPr>
                <w:rFonts w:eastAsia="Times New Roman"/>
                <w:sz w:val="20"/>
                <w:szCs w:val="20"/>
              </w:rPr>
            </w:pPr>
            <w:r>
              <w:rPr>
                <w:rFonts w:eastAsia="Times New Roman"/>
                <w:b/>
                <w:bCs/>
                <w:caps/>
                <w:sz w:val="20"/>
                <w:szCs w:val="20"/>
              </w:rPr>
              <w:t>7</w:t>
            </w:r>
          </w:p>
        </w:tc>
        <w:tc>
          <w:tcPr>
            <w:tcW w:w="0" w:type="auto"/>
            <w:hideMark/>
          </w:tcPr>
          <w:p w14:paraId="51B6DD54" w14:textId="77777777" w:rsidR="00000000" w:rsidRDefault="002F725F">
            <w:pPr>
              <w:rPr>
                <w:rFonts w:eastAsia="Times New Roman"/>
                <w:sz w:val="20"/>
                <w:szCs w:val="20"/>
              </w:rPr>
            </w:pPr>
            <w:r>
              <w:rPr>
                <w:rFonts w:eastAsia="Times New Roman"/>
                <w:b/>
                <w:bCs/>
                <w:caps/>
                <w:sz w:val="20"/>
                <w:szCs w:val="20"/>
              </w:rPr>
              <w:t>Governing Law</w:t>
            </w:r>
          </w:p>
        </w:tc>
      </w:tr>
    </w:tbl>
    <w:p w14:paraId="464A4E84"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073606EB" w14:textId="77777777">
        <w:trPr>
          <w:divId w:val="415980837"/>
          <w:tblCellSpacing w:w="0" w:type="dxa"/>
        </w:trPr>
        <w:tc>
          <w:tcPr>
            <w:tcW w:w="6" w:type="dxa"/>
            <w:hideMark/>
          </w:tcPr>
          <w:p w14:paraId="2BB2F672" w14:textId="77777777" w:rsidR="00000000" w:rsidRDefault="002F725F">
            <w:pPr>
              <w:rPr>
                <w:sz w:val="20"/>
                <w:szCs w:val="20"/>
              </w:rPr>
            </w:pPr>
          </w:p>
        </w:tc>
        <w:tc>
          <w:tcPr>
            <w:tcW w:w="720" w:type="dxa"/>
            <w:hideMark/>
          </w:tcPr>
          <w:p w14:paraId="0BA53AC0" w14:textId="77777777" w:rsidR="00000000" w:rsidRDefault="002F725F">
            <w:pPr>
              <w:rPr>
                <w:rFonts w:eastAsia="Times New Roman"/>
                <w:sz w:val="20"/>
                <w:szCs w:val="20"/>
              </w:rPr>
            </w:pPr>
            <w:r>
              <w:rPr>
                <w:rFonts w:eastAsia="Times New Roman"/>
                <w:b/>
                <w:bCs/>
                <w:sz w:val="20"/>
                <w:szCs w:val="20"/>
              </w:rPr>
              <w:t>7.1</w:t>
            </w:r>
          </w:p>
        </w:tc>
        <w:tc>
          <w:tcPr>
            <w:tcW w:w="0" w:type="auto"/>
            <w:hideMark/>
          </w:tcPr>
          <w:p w14:paraId="5CCB883A" w14:textId="77777777" w:rsidR="00000000" w:rsidRDefault="002F725F">
            <w:pPr>
              <w:jc w:val="both"/>
              <w:rPr>
                <w:rFonts w:eastAsia="Times New Roman"/>
                <w:sz w:val="20"/>
                <w:szCs w:val="20"/>
              </w:rPr>
            </w:pPr>
            <w:r>
              <w:rPr>
                <w:rFonts w:eastAsia="Times New Roman"/>
                <w:sz w:val="20"/>
                <w:szCs w:val="20"/>
              </w:rPr>
              <w:t>This Plan of Merger and the rights and obligations of the parties shall be governed by and construed in accordance with the Laws of the Cayman Islands.</w:t>
            </w:r>
          </w:p>
        </w:tc>
      </w:tr>
    </w:tbl>
    <w:p w14:paraId="3EB423C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720"/>
        <w:gridCol w:w="8634"/>
      </w:tblGrid>
      <w:tr w:rsidR="00000000" w14:paraId="6EB6BABB" w14:textId="77777777">
        <w:trPr>
          <w:divId w:val="415980837"/>
          <w:tblCellSpacing w:w="0" w:type="dxa"/>
        </w:trPr>
        <w:tc>
          <w:tcPr>
            <w:tcW w:w="6" w:type="dxa"/>
            <w:hideMark/>
          </w:tcPr>
          <w:p w14:paraId="1FCDBBA0" w14:textId="77777777" w:rsidR="00000000" w:rsidRDefault="002F725F">
            <w:pPr>
              <w:rPr>
                <w:sz w:val="20"/>
                <w:szCs w:val="20"/>
              </w:rPr>
            </w:pPr>
          </w:p>
        </w:tc>
        <w:tc>
          <w:tcPr>
            <w:tcW w:w="720" w:type="dxa"/>
            <w:hideMark/>
          </w:tcPr>
          <w:p w14:paraId="32A3A84A" w14:textId="77777777" w:rsidR="00000000" w:rsidRDefault="002F725F">
            <w:pPr>
              <w:rPr>
                <w:rFonts w:eastAsia="Times New Roman"/>
                <w:sz w:val="20"/>
                <w:szCs w:val="20"/>
              </w:rPr>
            </w:pPr>
            <w:r>
              <w:rPr>
                <w:rFonts w:eastAsia="Times New Roman"/>
                <w:b/>
                <w:bCs/>
                <w:sz w:val="20"/>
                <w:szCs w:val="20"/>
              </w:rPr>
              <w:t>7.2</w:t>
            </w:r>
          </w:p>
        </w:tc>
        <w:tc>
          <w:tcPr>
            <w:tcW w:w="0" w:type="auto"/>
            <w:hideMark/>
          </w:tcPr>
          <w:p w14:paraId="4B7BFD71" w14:textId="77777777" w:rsidR="00000000" w:rsidRDefault="002F725F">
            <w:pPr>
              <w:jc w:val="both"/>
              <w:rPr>
                <w:rFonts w:eastAsia="Times New Roman"/>
                <w:sz w:val="20"/>
                <w:szCs w:val="20"/>
              </w:rPr>
            </w:pPr>
            <w:r>
              <w:rPr>
                <w:rFonts w:eastAsia="Times New Roman"/>
                <w:sz w:val="20"/>
                <w:szCs w:val="20"/>
              </w:rPr>
              <w:t>Each of the parties agrees that the courts of the Cayman Islands shall have jurisdiction to hear</w:t>
            </w:r>
            <w:r>
              <w:rPr>
                <w:rFonts w:eastAsia="Times New Roman"/>
                <w:sz w:val="20"/>
                <w:szCs w:val="20"/>
              </w:rPr>
              <w:t xml:space="preserve"> and determine any action or proceeding arising out of or in connection with this Plan of Merger, and any non-contractual obligations arising out of or in connection with it, and for that purpose each party irrevocably submits to the jurisdiction of the co</w:t>
            </w:r>
            <w:r>
              <w:rPr>
                <w:rFonts w:eastAsia="Times New Roman"/>
                <w:sz w:val="20"/>
                <w:szCs w:val="20"/>
              </w:rPr>
              <w:t>urts of the Cayman Islands.</w:t>
            </w:r>
          </w:p>
        </w:tc>
      </w:tr>
    </w:tbl>
    <w:p w14:paraId="73267A3D" w14:textId="77777777" w:rsidR="00000000" w:rsidRDefault="002F725F">
      <w:pPr>
        <w:pStyle w:val="NormalWeb"/>
        <w:spacing w:before="0" w:beforeAutospacing="0" w:after="0" w:afterAutospacing="0"/>
        <w:divId w:val="415980837"/>
        <w:rPr>
          <w:sz w:val="20"/>
          <w:szCs w:val="20"/>
        </w:rPr>
      </w:pPr>
      <w:r>
        <w:rPr>
          <w:sz w:val="20"/>
          <w:szCs w:val="20"/>
        </w:rPr>
        <w:t> </w:t>
      </w:r>
    </w:p>
    <w:p w14:paraId="262C5BFD" w14:textId="77777777" w:rsidR="00000000" w:rsidRDefault="002F725F">
      <w:pPr>
        <w:pStyle w:val="NormalWeb"/>
        <w:spacing w:before="0" w:beforeAutospacing="0" w:after="0" w:afterAutospacing="0"/>
        <w:jc w:val="center"/>
        <w:divId w:val="248588658"/>
        <w:rPr>
          <w:sz w:val="20"/>
          <w:szCs w:val="20"/>
        </w:rPr>
      </w:pPr>
      <w:r>
        <w:rPr>
          <w:sz w:val="20"/>
          <w:szCs w:val="20"/>
        </w:rPr>
        <w:t>B</w:t>
      </w:r>
      <w:r>
        <w:rPr>
          <w:sz w:val="20"/>
          <w:szCs w:val="20"/>
        </w:rPr>
        <w:t>-</w:t>
      </w:r>
      <w:r>
        <w:rPr>
          <w:sz w:val="20"/>
          <w:szCs w:val="20"/>
        </w:rPr>
        <w:t>4</w:t>
      </w:r>
    </w:p>
    <w:p w14:paraId="0ED1CD0F" w14:textId="77777777" w:rsidR="00000000" w:rsidRDefault="002F725F">
      <w:pPr>
        <w:pStyle w:val="NormalWeb"/>
        <w:spacing w:before="0" w:beforeAutospacing="0" w:after="0" w:afterAutospacing="0"/>
        <w:divId w:val="415980837"/>
        <w:rPr>
          <w:sz w:val="20"/>
          <w:szCs w:val="20"/>
        </w:rPr>
      </w:pPr>
      <w:r>
        <w:rPr>
          <w:sz w:val="20"/>
          <w:szCs w:val="20"/>
        </w:rPr>
        <w:t> </w:t>
      </w:r>
    </w:p>
    <w:p w14:paraId="21B46B41" w14:textId="77777777" w:rsidR="00000000" w:rsidRDefault="002F725F">
      <w:pPr>
        <w:pStyle w:val="NormalWeb"/>
        <w:spacing w:before="0" w:beforeAutospacing="0" w:after="0" w:afterAutospacing="0"/>
        <w:divId w:val="415980837"/>
        <w:rPr>
          <w:sz w:val="20"/>
          <w:szCs w:val="20"/>
        </w:rPr>
      </w:pPr>
      <w:r>
        <w:rPr>
          <w:b/>
          <w:bCs/>
          <w:caps/>
          <w:sz w:val="20"/>
          <w:szCs w:val="20"/>
        </w:rPr>
        <w:lastRenderedPageBreak/>
        <w:t>IN WITNESS</w:t>
      </w:r>
      <w:r>
        <w:rPr>
          <w:sz w:val="20"/>
          <w:szCs w:val="20"/>
        </w:rPr>
        <w:t xml:space="preserve"> whereof this Plan of Merger has been entered into by the parties on the day and year first above written.</w:t>
      </w:r>
    </w:p>
    <w:p w14:paraId="218355F0"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5594"/>
        <w:gridCol w:w="72"/>
        <w:gridCol w:w="534"/>
        <w:gridCol w:w="3160"/>
      </w:tblGrid>
      <w:tr w:rsidR="00000000" w14:paraId="0D239143" w14:textId="77777777">
        <w:trPr>
          <w:divId w:val="415980837"/>
        </w:trPr>
        <w:tc>
          <w:tcPr>
            <w:tcW w:w="0" w:type="auto"/>
            <w:hideMark/>
          </w:tcPr>
          <w:p w14:paraId="468489F1" w14:textId="77777777" w:rsidR="00000000" w:rsidRDefault="002F725F">
            <w:pPr>
              <w:rPr>
                <w:rFonts w:eastAsia="Times New Roman"/>
                <w:sz w:val="20"/>
                <w:szCs w:val="20"/>
              </w:rPr>
            </w:pPr>
            <w:r>
              <w:rPr>
                <w:rFonts w:eastAsia="Times New Roman"/>
                <w:b/>
                <w:bCs/>
                <w:caps/>
                <w:sz w:val="20"/>
                <w:szCs w:val="20"/>
              </w:rPr>
              <w:t>SIGNED</w:t>
            </w:r>
            <w:r>
              <w:rPr>
                <w:rFonts w:eastAsia="Times New Roman"/>
                <w:sz w:val="20"/>
                <w:szCs w:val="20"/>
              </w:rPr>
              <w:t xml:space="preserve"> for and on behalf of </w:t>
            </w:r>
            <w:r>
              <w:rPr>
                <w:rFonts w:eastAsia="Times New Roman"/>
                <w:b/>
                <w:bCs/>
                <w:caps/>
                <w:sz w:val="20"/>
                <w:szCs w:val="20"/>
              </w:rPr>
              <w:t xml:space="preserve">lakeshore </w:t>
            </w:r>
          </w:p>
        </w:tc>
        <w:tc>
          <w:tcPr>
            <w:tcW w:w="0" w:type="auto"/>
            <w:hideMark/>
          </w:tcPr>
          <w:p w14:paraId="65ACAD67" w14:textId="77777777" w:rsidR="00000000" w:rsidRDefault="002F725F">
            <w:pPr>
              <w:rPr>
                <w:rFonts w:eastAsia="Times New Roman"/>
                <w:sz w:val="20"/>
                <w:szCs w:val="20"/>
              </w:rPr>
            </w:pPr>
            <w:r>
              <w:rPr>
                <w:rFonts w:eastAsia="Times New Roman"/>
                <w:sz w:val="20"/>
                <w:szCs w:val="20"/>
              </w:rPr>
              <w:t>)</w:t>
            </w:r>
          </w:p>
        </w:tc>
        <w:tc>
          <w:tcPr>
            <w:tcW w:w="0" w:type="auto"/>
            <w:gridSpan w:val="2"/>
            <w:hideMark/>
          </w:tcPr>
          <w:p w14:paraId="2C8533DE" w14:textId="77777777" w:rsidR="00000000" w:rsidRDefault="002F725F">
            <w:pPr>
              <w:rPr>
                <w:rFonts w:eastAsia="Times New Roman"/>
                <w:sz w:val="20"/>
                <w:szCs w:val="20"/>
              </w:rPr>
            </w:pPr>
            <w:r>
              <w:rPr>
                <w:rFonts w:eastAsia="Times New Roman"/>
                <w:sz w:val="20"/>
                <w:szCs w:val="20"/>
              </w:rPr>
              <w:t> </w:t>
            </w:r>
          </w:p>
        </w:tc>
      </w:tr>
      <w:tr w:rsidR="00000000" w14:paraId="5A808F1E" w14:textId="77777777">
        <w:trPr>
          <w:divId w:val="415980837"/>
        </w:trPr>
        <w:tc>
          <w:tcPr>
            <w:tcW w:w="0" w:type="auto"/>
            <w:hideMark/>
          </w:tcPr>
          <w:p w14:paraId="28886100" w14:textId="77777777" w:rsidR="00000000" w:rsidRDefault="002F725F">
            <w:pPr>
              <w:rPr>
                <w:rFonts w:eastAsia="Times New Roman"/>
                <w:sz w:val="20"/>
                <w:szCs w:val="20"/>
              </w:rPr>
            </w:pPr>
            <w:r>
              <w:rPr>
                <w:rFonts w:eastAsia="Times New Roman"/>
                <w:b/>
                <w:bCs/>
                <w:caps/>
                <w:sz w:val="20"/>
                <w:szCs w:val="20"/>
              </w:rPr>
              <w:t>biopharma co., ltd</w:t>
            </w:r>
            <w:r>
              <w:rPr>
                <w:rFonts w:eastAsia="Times New Roman"/>
                <w:sz w:val="20"/>
                <w:szCs w:val="20"/>
              </w:rPr>
              <w:t>:</w:t>
            </w:r>
          </w:p>
        </w:tc>
        <w:tc>
          <w:tcPr>
            <w:tcW w:w="0" w:type="auto"/>
            <w:hideMark/>
          </w:tcPr>
          <w:p w14:paraId="12FE168B" w14:textId="77777777" w:rsidR="00000000" w:rsidRDefault="002F725F">
            <w:pPr>
              <w:rPr>
                <w:rFonts w:eastAsia="Times New Roman"/>
                <w:sz w:val="20"/>
                <w:szCs w:val="20"/>
              </w:rPr>
            </w:pPr>
            <w:r>
              <w:rPr>
                <w:rFonts w:eastAsia="Times New Roman"/>
                <w:sz w:val="20"/>
                <w:szCs w:val="20"/>
              </w:rPr>
              <w:t>)</w:t>
            </w:r>
          </w:p>
        </w:tc>
        <w:tc>
          <w:tcPr>
            <w:tcW w:w="0" w:type="auto"/>
            <w:gridSpan w:val="2"/>
            <w:tcBorders>
              <w:bottom w:val="single" w:sz="12" w:space="0" w:color="000000"/>
            </w:tcBorders>
            <w:hideMark/>
          </w:tcPr>
          <w:p w14:paraId="38B3884C" w14:textId="77777777" w:rsidR="00000000" w:rsidRDefault="002F725F">
            <w:pPr>
              <w:rPr>
                <w:rFonts w:eastAsia="Times New Roman"/>
                <w:sz w:val="20"/>
                <w:szCs w:val="20"/>
              </w:rPr>
            </w:pPr>
            <w:r>
              <w:rPr>
                <w:rFonts w:eastAsia="Times New Roman"/>
                <w:sz w:val="20"/>
                <w:szCs w:val="20"/>
              </w:rPr>
              <w:t> </w:t>
            </w:r>
          </w:p>
        </w:tc>
      </w:tr>
      <w:tr w:rsidR="00000000" w14:paraId="3E91F2A0" w14:textId="77777777">
        <w:trPr>
          <w:divId w:val="415980837"/>
        </w:trPr>
        <w:tc>
          <w:tcPr>
            <w:tcW w:w="0" w:type="auto"/>
            <w:hideMark/>
          </w:tcPr>
          <w:p w14:paraId="10FF64FE" w14:textId="77777777" w:rsidR="00000000" w:rsidRDefault="002F725F">
            <w:pPr>
              <w:rPr>
                <w:rFonts w:eastAsia="Times New Roman"/>
                <w:sz w:val="20"/>
                <w:szCs w:val="20"/>
              </w:rPr>
            </w:pPr>
            <w:r>
              <w:rPr>
                <w:rFonts w:eastAsia="Times New Roman"/>
                <w:sz w:val="20"/>
                <w:szCs w:val="20"/>
              </w:rPr>
              <w:t> </w:t>
            </w:r>
          </w:p>
        </w:tc>
        <w:tc>
          <w:tcPr>
            <w:tcW w:w="0" w:type="auto"/>
            <w:hideMark/>
          </w:tcPr>
          <w:p w14:paraId="30D217C0" w14:textId="77777777" w:rsidR="00000000" w:rsidRDefault="002F725F">
            <w:pPr>
              <w:rPr>
                <w:rFonts w:eastAsia="Times New Roman"/>
                <w:sz w:val="20"/>
                <w:szCs w:val="20"/>
              </w:rPr>
            </w:pPr>
            <w:r>
              <w:rPr>
                <w:rFonts w:eastAsia="Times New Roman"/>
                <w:sz w:val="20"/>
                <w:szCs w:val="20"/>
              </w:rPr>
              <w:t>)</w:t>
            </w:r>
          </w:p>
        </w:tc>
        <w:tc>
          <w:tcPr>
            <w:tcW w:w="0" w:type="auto"/>
            <w:gridSpan w:val="2"/>
            <w:hideMark/>
          </w:tcPr>
          <w:p w14:paraId="06E5F26D" w14:textId="77777777" w:rsidR="00000000" w:rsidRDefault="002F725F">
            <w:pPr>
              <w:rPr>
                <w:rFonts w:eastAsia="Times New Roman"/>
                <w:sz w:val="20"/>
                <w:szCs w:val="20"/>
              </w:rPr>
            </w:pPr>
            <w:r>
              <w:rPr>
                <w:rFonts w:eastAsia="Times New Roman"/>
                <w:sz w:val="20"/>
                <w:szCs w:val="20"/>
              </w:rPr>
              <w:t>Duly Authorised Signatory</w:t>
            </w:r>
          </w:p>
        </w:tc>
      </w:tr>
      <w:tr w:rsidR="00000000" w14:paraId="528B889E" w14:textId="77777777">
        <w:trPr>
          <w:divId w:val="415980837"/>
        </w:trPr>
        <w:tc>
          <w:tcPr>
            <w:tcW w:w="3000" w:type="pct"/>
            <w:hideMark/>
          </w:tcPr>
          <w:p w14:paraId="0015B25B" w14:textId="77777777" w:rsidR="00000000" w:rsidRDefault="002F725F">
            <w:pPr>
              <w:rPr>
                <w:rFonts w:eastAsia="Times New Roman"/>
                <w:sz w:val="20"/>
                <w:szCs w:val="20"/>
              </w:rPr>
            </w:pPr>
            <w:r>
              <w:rPr>
                <w:rFonts w:eastAsia="Times New Roman"/>
                <w:sz w:val="20"/>
                <w:szCs w:val="20"/>
              </w:rPr>
              <w:t> </w:t>
            </w:r>
          </w:p>
        </w:tc>
        <w:tc>
          <w:tcPr>
            <w:tcW w:w="50" w:type="pct"/>
            <w:hideMark/>
          </w:tcPr>
          <w:p w14:paraId="5B67F272" w14:textId="77777777" w:rsidR="00000000" w:rsidRDefault="002F725F">
            <w:pPr>
              <w:rPr>
                <w:rFonts w:eastAsia="Times New Roman"/>
                <w:sz w:val="20"/>
                <w:szCs w:val="20"/>
              </w:rPr>
            </w:pPr>
            <w:r>
              <w:rPr>
                <w:rFonts w:eastAsia="Times New Roman"/>
                <w:sz w:val="20"/>
                <w:szCs w:val="20"/>
              </w:rPr>
              <w:t>)</w:t>
            </w:r>
          </w:p>
        </w:tc>
        <w:tc>
          <w:tcPr>
            <w:tcW w:w="250" w:type="pct"/>
            <w:hideMark/>
          </w:tcPr>
          <w:p w14:paraId="3DCCF1C2" w14:textId="77777777" w:rsidR="00000000" w:rsidRDefault="002F725F">
            <w:pPr>
              <w:rPr>
                <w:rFonts w:eastAsia="Times New Roman"/>
                <w:sz w:val="20"/>
                <w:szCs w:val="20"/>
              </w:rPr>
            </w:pPr>
            <w:r>
              <w:rPr>
                <w:rFonts w:eastAsia="Times New Roman"/>
                <w:sz w:val="20"/>
                <w:szCs w:val="20"/>
              </w:rPr>
              <w:t> </w:t>
            </w:r>
          </w:p>
        </w:tc>
        <w:tc>
          <w:tcPr>
            <w:tcW w:w="1700" w:type="pct"/>
            <w:hideMark/>
          </w:tcPr>
          <w:p w14:paraId="7A6367A1" w14:textId="77777777" w:rsidR="00000000" w:rsidRDefault="002F725F">
            <w:pPr>
              <w:rPr>
                <w:rFonts w:eastAsia="Times New Roman"/>
                <w:sz w:val="20"/>
                <w:szCs w:val="20"/>
              </w:rPr>
            </w:pPr>
            <w:r>
              <w:rPr>
                <w:rFonts w:eastAsia="Times New Roman"/>
                <w:sz w:val="20"/>
                <w:szCs w:val="20"/>
              </w:rPr>
              <w:t> </w:t>
            </w:r>
          </w:p>
        </w:tc>
      </w:tr>
      <w:tr w:rsidR="00000000" w14:paraId="1B513B72" w14:textId="77777777">
        <w:trPr>
          <w:divId w:val="415980837"/>
        </w:trPr>
        <w:tc>
          <w:tcPr>
            <w:tcW w:w="0" w:type="auto"/>
            <w:hideMark/>
          </w:tcPr>
          <w:p w14:paraId="4E04FC6D" w14:textId="77777777" w:rsidR="00000000" w:rsidRDefault="002F725F">
            <w:pPr>
              <w:rPr>
                <w:rFonts w:eastAsia="Times New Roman"/>
                <w:sz w:val="20"/>
                <w:szCs w:val="20"/>
              </w:rPr>
            </w:pPr>
            <w:r>
              <w:rPr>
                <w:rFonts w:eastAsia="Times New Roman"/>
                <w:sz w:val="20"/>
                <w:szCs w:val="20"/>
              </w:rPr>
              <w:t> </w:t>
            </w:r>
          </w:p>
        </w:tc>
        <w:tc>
          <w:tcPr>
            <w:tcW w:w="0" w:type="auto"/>
            <w:hideMark/>
          </w:tcPr>
          <w:p w14:paraId="3054B212" w14:textId="77777777" w:rsidR="00000000" w:rsidRDefault="002F725F">
            <w:pPr>
              <w:rPr>
                <w:rFonts w:eastAsia="Times New Roman"/>
                <w:sz w:val="20"/>
                <w:szCs w:val="20"/>
              </w:rPr>
            </w:pPr>
            <w:r>
              <w:rPr>
                <w:rFonts w:eastAsia="Times New Roman"/>
                <w:sz w:val="20"/>
                <w:szCs w:val="20"/>
              </w:rPr>
              <w:t>)</w:t>
            </w:r>
          </w:p>
        </w:tc>
        <w:tc>
          <w:tcPr>
            <w:tcW w:w="0" w:type="auto"/>
            <w:hideMark/>
          </w:tcPr>
          <w:p w14:paraId="3C403987" w14:textId="77777777" w:rsidR="00000000" w:rsidRDefault="002F725F">
            <w:pPr>
              <w:rPr>
                <w:rFonts w:eastAsia="Times New Roman"/>
                <w:sz w:val="20"/>
                <w:szCs w:val="20"/>
              </w:rPr>
            </w:pPr>
            <w:r>
              <w:rPr>
                <w:rFonts w:eastAsia="Times New Roman"/>
                <w:sz w:val="20"/>
                <w:szCs w:val="20"/>
              </w:rPr>
              <w:t>Name:</w:t>
            </w:r>
          </w:p>
        </w:tc>
        <w:tc>
          <w:tcPr>
            <w:tcW w:w="0" w:type="auto"/>
            <w:tcMar>
              <w:top w:w="0" w:type="dxa"/>
              <w:left w:w="0" w:type="dxa"/>
              <w:bottom w:w="30" w:type="dxa"/>
              <w:right w:w="0" w:type="dxa"/>
            </w:tcMar>
            <w:hideMark/>
          </w:tcPr>
          <w:p w14:paraId="06EBB37B" w14:textId="77777777" w:rsidR="00000000" w:rsidRDefault="002F725F">
            <w:pPr>
              <w:rPr>
                <w:rFonts w:eastAsia="Times New Roman"/>
                <w:sz w:val="20"/>
                <w:szCs w:val="20"/>
              </w:rPr>
            </w:pPr>
            <w:r>
              <w:rPr>
                <w:rFonts w:eastAsia="Times New Roman"/>
                <w:sz w:val="20"/>
                <w:szCs w:val="20"/>
              </w:rPr>
              <w:t>Jutao (Adam) Zhao</w:t>
            </w:r>
          </w:p>
        </w:tc>
      </w:tr>
      <w:tr w:rsidR="00000000" w14:paraId="260EF123" w14:textId="77777777">
        <w:trPr>
          <w:divId w:val="415980837"/>
        </w:trPr>
        <w:tc>
          <w:tcPr>
            <w:tcW w:w="0" w:type="auto"/>
            <w:hideMark/>
          </w:tcPr>
          <w:p w14:paraId="16623C04" w14:textId="77777777" w:rsidR="00000000" w:rsidRDefault="002F725F">
            <w:pPr>
              <w:rPr>
                <w:rFonts w:eastAsia="Times New Roman"/>
                <w:sz w:val="20"/>
                <w:szCs w:val="20"/>
              </w:rPr>
            </w:pPr>
            <w:r>
              <w:rPr>
                <w:rFonts w:eastAsia="Times New Roman"/>
                <w:sz w:val="20"/>
                <w:szCs w:val="20"/>
              </w:rPr>
              <w:t> </w:t>
            </w:r>
          </w:p>
        </w:tc>
        <w:tc>
          <w:tcPr>
            <w:tcW w:w="0" w:type="auto"/>
            <w:hideMark/>
          </w:tcPr>
          <w:p w14:paraId="51A51063" w14:textId="77777777" w:rsidR="00000000" w:rsidRDefault="002F725F">
            <w:pPr>
              <w:rPr>
                <w:rFonts w:eastAsia="Times New Roman"/>
                <w:sz w:val="20"/>
                <w:szCs w:val="20"/>
              </w:rPr>
            </w:pPr>
            <w:r>
              <w:rPr>
                <w:rFonts w:eastAsia="Times New Roman"/>
                <w:sz w:val="20"/>
                <w:szCs w:val="20"/>
              </w:rPr>
              <w:t>)</w:t>
            </w:r>
          </w:p>
        </w:tc>
        <w:tc>
          <w:tcPr>
            <w:tcW w:w="0" w:type="auto"/>
            <w:hideMark/>
          </w:tcPr>
          <w:p w14:paraId="447282E0" w14:textId="77777777" w:rsidR="00000000" w:rsidRDefault="002F725F">
            <w:pPr>
              <w:rPr>
                <w:rFonts w:eastAsia="Times New Roman"/>
                <w:sz w:val="20"/>
                <w:szCs w:val="20"/>
              </w:rPr>
            </w:pPr>
            <w:r>
              <w:rPr>
                <w:rFonts w:eastAsia="Times New Roman"/>
                <w:sz w:val="20"/>
                <w:szCs w:val="20"/>
              </w:rPr>
              <w:t>Title:</w:t>
            </w:r>
          </w:p>
        </w:tc>
        <w:tc>
          <w:tcPr>
            <w:tcW w:w="0" w:type="auto"/>
            <w:tcMar>
              <w:top w:w="0" w:type="dxa"/>
              <w:left w:w="0" w:type="dxa"/>
              <w:bottom w:w="30" w:type="dxa"/>
              <w:right w:w="0" w:type="dxa"/>
            </w:tcMar>
            <w:hideMark/>
          </w:tcPr>
          <w:p w14:paraId="7813AE34" w14:textId="77777777" w:rsidR="00000000" w:rsidRDefault="002F725F">
            <w:pPr>
              <w:jc w:val="both"/>
              <w:rPr>
                <w:rFonts w:eastAsia="Times New Roman"/>
                <w:sz w:val="20"/>
                <w:szCs w:val="20"/>
              </w:rPr>
            </w:pPr>
            <w:r>
              <w:rPr>
                <w:rFonts w:eastAsia="Times New Roman"/>
                <w:sz w:val="20"/>
                <w:szCs w:val="20"/>
              </w:rPr>
              <w:t xml:space="preserve">Chairperson of the Special Committee of the Board of Directors </w:t>
            </w:r>
          </w:p>
        </w:tc>
      </w:tr>
    </w:tbl>
    <w:p w14:paraId="26458317"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5587"/>
        <w:gridCol w:w="87"/>
        <w:gridCol w:w="554"/>
        <w:gridCol w:w="3132"/>
      </w:tblGrid>
      <w:tr w:rsidR="00000000" w14:paraId="44899BE4" w14:textId="77777777">
        <w:trPr>
          <w:divId w:val="415980837"/>
        </w:trPr>
        <w:tc>
          <w:tcPr>
            <w:tcW w:w="0" w:type="auto"/>
            <w:tcMar>
              <w:top w:w="0" w:type="dxa"/>
              <w:left w:w="10" w:type="dxa"/>
              <w:bottom w:w="0" w:type="dxa"/>
              <w:right w:w="10" w:type="dxa"/>
            </w:tcMar>
            <w:hideMark/>
          </w:tcPr>
          <w:p w14:paraId="53C2C5BF" w14:textId="77777777" w:rsidR="00000000" w:rsidRDefault="002F725F">
            <w:pPr>
              <w:rPr>
                <w:rFonts w:eastAsia="Times New Roman"/>
                <w:sz w:val="20"/>
                <w:szCs w:val="20"/>
              </w:rPr>
            </w:pPr>
            <w:r>
              <w:rPr>
                <w:rFonts w:eastAsia="Times New Roman"/>
                <w:b/>
                <w:bCs/>
                <w:caps/>
                <w:sz w:val="20"/>
                <w:szCs w:val="20"/>
              </w:rPr>
              <w:t>SIGNED</w:t>
            </w:r>
            <w:r>
              <w:rPr>
                <w:rFonts w:eastAsia="Times New Roman"/>
                <w:sz w:val="20"/>
                <w:szCs w:val="20"/>
              </w:rPr>
              <w:t xml:space="preserve"> for and on behalf of </w:t>
            </w:r>
            <w:r>
              <w:rPr>
                <w:rFonts w:eastAsia="Times New Roman"/>
                <w:b/>
                <w:bCs/>
                <w:caps/>
                <w:sz w:val="20"/>
                <w:szCs w:val="20"/>
              </w:rPr>
              <w:t xml:space="preserve">Oceanpine </w:t>
            </w:r>
          </w:p>
        </w:tc>
        <w:tc>
          <w:tcPr>
            <w:tcW w:w="0" w:type="auto"/>
            <w:tcMar>
              <w:top w:w="0" w:type="dxa"/>
              <w:left w:w="10" w:type="dxa"/>
              <w:bottom w:w="0" w:type="dxa"/>
              <w:right w:w="10" w:type="dxa"/>
            </w:tcMar>
            <w:hideMark/>
          </w:tcPr>
          <w:p w14:paraId="722919A9" w14:textId="77777777" w:rsidR="00000000" w:rsidRDefault="002F725F">
            <w:pPr>
              <w:rPr>
                <w:rFonts w:eastAsia="Times New Roman"/>
                <w:sz w:val="20"/>
                <w:szCs w:val="20"/>
              </w:rPr>
            </w:pPr>
            <w:r>
              <w:rPr>
                <w:rFonts w:eastAsia="Times New Roman"/>
                <w:sz w:val="20"/>
                <w:szCs w:val="20"/>
              </w:rPr>
              <w:t>)</w:t>
            </w:r>
          </w:p>
        </w:tc>
        <w:tc>
          <w:tcPr>
            <w:tcW w:w="0" w:type="auto"/>
            <w:gridSpan w:val="2"/>
            <w:tcMar>
              <w:top w:w="0" w:type="dxa"/>
              <w:left w:w="10" w:type="dxa"/>
              <w:bottom w:w="0" w:type="dxa"/>
              <w:right w:w="10" w:type="dxa"/>
            </w:tcMar>
            <w:hideMark/>
          </w:tcPr>
          <w:p w14:paraId="2DCA4A1A" w14:textId="77777777" w:rsidR="00000000" w:rsidRDefault="002F725F">
            <w:pPr>
              <w:rPr>
                <w:rFonts w:eastAsia="Times New Roman"/>
                <w:sz w:val="20"/>
                <w:szCs w:val="20"/>
              </w:rPr>
            </w:pPr>
            <w:r>
              <w:rPr>
                <w:rFonts w:eastAsia="Times New Roman"/>
                <w:sz w:val="20"/>
                <w:szCs w:val="20"/>
              </w:rPr>
              <w:t> </w:t>
            </w:r>
          </w:p>
        </w:tc>
      </w:tr>
      <w:tr w:rsidR="00000000" w14:paraId="3CFBA79A" w14:textId="77777777">
        <w:trPr>
          <w:divId w:val="415980837"/>
        </w:trPr>
        <w:tc>
          <w:tcPr>
            <w:tcW w:w="0" w:type="auto"/>
            <w:hideMark/>
          </w:tcPr>
          <w:p w14:paraId="6E2E4880" w14:textId="77777777" w:rsidR="00000000" w:rsidRDefault="002F725F">
            <w:pPr>
              <w:rPr>
                <w:rFonts w:eastAsia="Times New Roman"/>
                <w:sz w:val="20"/>
                <w:szCs w:val="20"/>
              </w:rPr>
            </w:pPr>
            <w:r>
              <w:rPr>
                <w:rFonts w:eastAsia="Times New Roman"/>
                <w:b/>
                <w:bCs/>
                <w:caps/>
                <w:sz w:val="20"/>
                <w:szCs w:val="20"/>
              </w:rPr>
              <w:t>Merger Sub Inc.</w:t>
            </w:r>
            <w:r>
              <w:rPr>
                <w:rFonts w:eastAsia="Times New Roman"/>
                <w:sz w:val="20"/>
                <w:szCs w:val="20"/>
              </w:rPr>
              <w:t>: </w:t>
            </w:r>
          </w:p>
        </w:tc>
        <w:tc>
          <w:tcPr>
            <w:tcW w:w="0" w:type="auto"/>
            <w:tcMar>
              <w:top w:w="0" w:type="dxa"/>
              <w:left w:w="10" w:type="dxa"/>
              <w:bottom w:w="0" w:type="dxa"/>
              <w:right w:w="10" w:type="dxa"/>
            </w:tcMar>
            <w:hideMark/>
          </w:tcPr>
          <w:p w14:paraId="00A04C11" w14:textId="77777777" w:rsidR="00000000" w:rsidRDefault="002F725F">
            <w:pPr>
              <w:rPr>
                <w:rFonts w:eastAsia="Times New Roman"/>
                <w:sz w:val="20"/>
                <w:szCs w:val="20"/>
              </w:rPr>
            </w:pPr>
            <w:r>
              <w:rPr>
                <w:rFonts w:eastAsia="Times New Roman"/>
                <w:sz w:val="20"/>
                <w:szCs w:val="20"/>
              </w:rPr>
              <w:t>)</w:t>
            </w:r>
          </w:p>
        </w:tc>
        <w:tc>
          <w:tcPr>
            <w:tcW w:w="0" w:type="auto"/>
            <w:gridSpan w:val="2"/>
            <w:tcBorders>
              <w:bottom w:val="single" w:sz="12" w:space="0" w:color="000000"/>
            </w:tcBorders>
            <w:tcMar>
              <w:top w:w="0" w:type="dxa"/>
              <w:left w:w="10" w:type="dxa"/>
              <w:bottom w:w="0" w:type="dxa"/>
              <w:right w:w="10" w:type="dxa"/>
            </w:tcMar>
            <w:hideMark/>
          </w:tcPr>
          <w:p w14:paraId="2092DB81" w14:textId="77777777" w:rsidR="00000000" w:rsidRDefault="002F725F">
            <w:pPr>
              <w:rPr>
                <w:rFonts w:eastAsia="Times New Roman"/>
                <w:sz w:val="20"/>
                <w:szCs w:val="20"/>
              </w:rPr>
            </w:pPr>
            <w:r>
              <w:rPr>
                <w:rFonts w:eastAsia="Times New Roman"/>
                <w:sz w:val="20"/>
                <w:szCs w:val="20"/>
              </w:rPr>
              <w:t> </w:t>
            </w:r>
          </w:p>
        </w:tc>
      </w:tr>
      <w:tr w:rsidR="00000000" w14:paraId="71BAB8DD" w14:textId="77777777">
        <w:trPr>
          <w:divId w:val="415980837"/>
        </w:trPr>
        <w:tc>
          <w:tcPr>
            <w:tcW w:w="0" w:type="auto"/>
            <w:hideMark/>
          </w:tcPr>
          <w:p w14:paraId="1D5985B8" w14:textId="77777777" w:rsidR="00000000" w:rsidRDefault="002F725F">
            <w:pPr>
              <w:rPr>
                <w:rFonts w:eastAsia="Times New Roman"/>
                <w:sz w:val="20"/>
                <w:szCs w:val="20"/>
              </w:rPr>
            </w:pPr>
            <w:r>
              <w:rPr>
                <w:rFonts w:eastAsia="Times New Roman"/>
                <w:sz w:val="20"/>
                <w:szCs w:val="20"/>
              </w:rPr>
              <w:t> </w:t>
            </w:r>
          </w:p>
        </w:tc>
        <w:tc>
          <w:tcPr>
            <w:tcW w:w="0" w:type="auto"/>
            <w:tcMar>
              <w:top w:w="0" w:type="dxa"/>
              <w:left w:w="10" w:type="dxa"/>
              <w:bottom w:w="0" w:type="dxa"/>
              <w:right w:w="10" w:type="dxa"/>
            </w:tcMar>
            <w:hideMark/>
          </w:tcPr>
          <w:p w14:paraId="0E6B99A5" w14:textId="77777777" w:rsidR="00000000" w:rsidRDefault="002F725F">
            <w:pPr>
              <w:rPr>
                <w:rFonts w:eastAsia="Times New Roman"/>
                <w:sz w:val="20"/>
                <w:szCs w:val="20"/>
              </w:rPr>
            </w:pPr>
            <w:r>
              <w:rPr>
                <w:rFonts w:eastAsia="Times New Roman"/>
                <w:sz w:val="20"/>
                <w:szCs w:val="20"/>
              </w:rPr>
              <w:t>)</w:t>
            </w:r>
          </w:p>
        </w:tc>
        <w:tc>
          <w:tcPr>
            <w:tcW w:w="0" w:type="auto"/>
            <w:gridSpan w:val="2"/>
            <w:tcMar>
              <w:top w:w="0" w:type="dxa"/>
              <w:left w:w="10" w:type="dxa"/>
              <w:bottom w:w="0" w:type="dxa"/>
              <w:right w:w="10" w:type="dxa"/>
            </w:tcMar>
            <w:hideMark/>
          </w:tcPr>
          <w:p w14:paraId="50F21273" w14:textId="77777777" w:rsidR="00000000" w:rsidRDefault="002F725F">
            <w:pPr>
              <w:rPr>
                <w:rFonts w:eastAsia="Times New Roman"/>
                <w:sz w:val="20"/>
                <w:szCs w:val="20"/>
              </w:rPr>
            </w:pPr>
            <w:r>
              <w:rPr>
                <w:rFonts w:eastAsia="Times New Roman"/>
                <w:sz w:val="20"/>
                <w:szCs w:val="20"/>
              </w:rPr>
              <w:t xml:space="preserve">Duly </w:t>
            </w:r>
            <w:r>
              <w:rPr>
                <w:rFonts w:eastAsia="Times New Roman"/>
                <w:sz w:val="20"/>
                <w:szCs w:val="20"/>
              </w:rPr>
              <w:t>Authorised Signatory</w:t>
            </w:r>
          </w:p>
        </w:tc>
      </w:tr>
      <w:tr w:rsidR="00000000" w14:paraId="21A825F4" w14:textId="77777777">
        <w:trPr>
          <w:divId w:val="415980837"/>
        </w:trPr>
        <w:tc>
          <w:tcPr>
            <w:tcW w:w="3000" w:type="pct"/>
            <w:hideMark/>
          </w:tcPr>
          <w:p w14:paraId="2352F67D" w14:textId="77777777" w:rsidR="00000000" w:rsidRDefault="002F725F">
            <w:pPr>
              <w:rPr>
                <w:rFonts w:eastAsia="Times New Roman"/>
                <w:sz w:val="20"/>
                <w:szCs w:val="20"/>
              </w:rPr>
            </w:pPr>
            <w:r>
              <w:rPr>
                <w:rFonts w:eastAsia="Times New Roman"/>
                <w:sz w:val="20"/>
                <w:szCs w:val="20"/>
              </w:rPr>
              <w:t> </w:t>
            </w:r>
          </w:p>
        </w:tc>
        <w:tc>
          <w:tcPr>
            <w:tcW w:w="50" w:type="pct"/>
            <w:tcMar>
              <w:top w:w="0" w:type="dxa"/>
              <w:left w:w="10" w:type="dxa"/>
              <w:bottom w:w="0" w:type="dxa"/>
              <w:right w:w="10" w:type="dxa"/>
            </w:tcMar>
            <w:hideMark/>
          </w:tcPr>
          <w:p w14:paraId="40C6EB28" w14:textId="77777777" w:rsidR="00000000" w:rsidRDefault="002F725F">
            <w:pPr>
              <w:rPr>
                <w:rFonts w:eastAsia="Times New Roman"/>
                <w:sz w:val="20"/>
                <w:szCs w:val="20"/>
              </w:rPr>
            </w:pPr>
            <w:r>
              <w:rPr>
                <w:rFonts w:eastAsia="Times New Roman"/>
                <w:sz w:val="20"/>
                <w:szCs w:val="20"/>
              </w:rPr>
              <w:t>)</w:t>
            </w:r>
          </w:p>
        </w:tc>
        <w:tc>
          <w:tcPr>
            <w:tcW w:w="250" w:type="pct"/>
            <w:tcMar>
              <w:top w:w="0" w:type="dxa"/>
              <w:left w:w="10" w:type="dxa"/>
              <w:bottom w:w="0" w:type="dxa"/>
              <w:right w:w="10" w:type="dxa"/>
            </w:tcMar>
            <w:hideMark/>
          </w:tcPr>
          <w:p w14:paraId="2A383DE4" w14:textId="77777777" w:rsidR="00000000" w:rsidRDefault="002F725F">
            <w:pPr>
              <w:rPr>
                <w:rFonts w:eastAsia="Times New Roman"/>
                <w:sz w:val="20"/>
                <w:szCs w:val="20"/>
              </w:rPr>
            </w:pPr>
            <w:r>
              <w:rPr>
                <w:rFonts w:eastAsia="Times New Roman"/>
                <w:sz w:val="20"/>
                <w:szCs w:val="20"/>
              </w:rPr>
              <w:t> </w:t>
            </w:r>
          </w:p>
        </w:tc>
        <w:tc>
          <w:tcPr>
            <w:tcW w:w="1700" w:type="pct"/>
            <w:tcMar>
              <w:top w:w="0" w:type="dxa"/>
              <w:left w:w="10" w:type="dxa"/>
              <w:bottom w:w="0" w:type="dxa"/>
              <w:right w:w="10" w:type="dxa"/>
            </w:tcMar>
            <w:hideMark/>
          </w:tcPr>
          <w:p w14:paraId="4AAB1DEF" w14:textId="77777777" w:rsidR="00000000" w:rsidRDefault="002F725F">
            <w:pPr>
              <w:rPr>
                <w:rFonts w:eastAsia="Times New Roman"/>
                <w:sz w:val="20"/>
                <w:szCs w:val="20"/>
              </w:rPr>
            </w:pPr>
            <w:r>
              <w:rPr>
                <w:rFonts w:eastAsia="Times New Roman"/>
                <w:sz w:val="20"/>
                <w:szCs w:val="20"/>
              </w:rPr>
              <w:t> </w:t>
            </w:r>
          </w:p>
        </w:tc>
      </w:tr>
      <w:tr w:rsidR="00000000" w14:paraId="1279AD62" w14:textId="77777777">
        <w:trPr>
          <w:divId w:val="415980837"/>
        </w:trPr>
        <w:tc>
          <w:tcPr>
            <w:tcW w:w="0" w:type="auto"/>
            <w:hideMark/>
          </w:tcPr>
          <w:p w14:paraId="4AC4CA19" w14:textId="77777777" w:rsidR="00000000" w:rsidRDefault="002F725F">
            <w:pPr>
              <w:rPr>
                <w:rFonts w:eastAsia="Times New Roman"/>
                <w:sz w:val="20"/>
                <w:szCs w:val="20"/>
              </w:rPr>
            </w:pPr>
            <w:r>
              <w:rPr>
                <w:rFonts w:eastAsia="Times New Roman"/>
                <w:sz w:val="20"/>
                <w:szCs w:val="20"/>
              </w:rPr>
              <w:t> </w:t>
            </w:r>
          </w:p>
        </w:tc>
        <w:tc>
          <w:tcPr>
            <w:tcW w:w="0" w:type="auto"/>
            <w:tcMar>
              <w:top w:w="0" w:type="dxa"/>
              <w:left w:w="10" w:type="dxa"/>
              <w:bottom w:w="0" w:type="dxa"/>
              <w:right w:w="10" w:type="dxa"/>
            </w:tcMar>
            <w:hideMark/>
          </w:tcPr>
          <w:p w14:paraId="7A89ED5B" w14:textId="77777777" w:rsidR="00000000" w:rsidRDefault="002F725F">
            <w:pPr>
              <w:rPr>
                <w:rFonts w:eastAsia="Times New Roman"/>
                <w:sz w:val="20"/>
                <w:szCs w:val="20"/>
              </w:rPr>
            </w:pPr>
            <w:r>
              <w:rPr>
                <w:rFonts w:eastAsia="Times New Roman"/>
                <w:sz w:val="20"/>
                <w:szCs w:val="20"/>
              </w:rPr>
              <w:t>)</w:t>
            </w:r>
          </w:p>
        </w:tc>
        <w:tc>
          <w:tcPr>
            <w:tcW w:w="0" w:type="auto"/>
            <w:tcMar>
              <w:top w:w="0" w:type="dxa"/>
              <w:left w:w="10" w:type="dxa"/>
              <w:bottom w:w="0" w:type="dxa"/>
              <w:right w:w="10" w:type="dxa"/>
            </w:tcMar>
            <w:hideMark/>
          </w:tcPr>
          <w:p w14:paraId="1863B8D1" w14:textId="77777777" w:rsidR="00000000" w:rsidRDefault="002F725F">
            <w:pPr>
              <w:rPr>
                <w:rFonts w:eastAsia="Times New Roman"/>
                <w:sz w:val="20"/>
                <w:szCs w:val="20"/>
              </w:rPr>
            </w:pPr>
            <w:r>
              <w:rPr>
                <w:rFonts w:eastAsia="Times New Roman"/>
                <w:sz w:val="20"/>
                <w:szCs w:val="20"/>
              </w:rPr>
              <w:t>Name:</w:t>
            </w:r>
          </w:p>
        </w:tc>
        <w:tc>
          <w:tcPr>
            <w:tcW w:w="0" w:type="auto"/>
            <w:tcMar>
              <w:top w:w="0" w:type="dxa"/>
              <w:left w:w="10" w:type="dxa"/>
              <w:bottom w:w="30" w:type="dxa"/>
              <w:right w:w="10" w:type="dxa"/>
            </w:tcMar>
            <w:hideMark/>
          </w:tcPr>
          <w:p w14:paraId="44B5EE09" w14:textId="77777777" w:rsidR="00000000" w:rsidRDefault="002F725F">
            <w:pPr>
              <w:rPr>
                <w:rFonts w:eastAsia="Times New Roman"/>
                <w:sz w:val="20"/>
                <w:szCs w:val="20"/>
              </w:rPr>
            </w:pPr>
            <w:r>
              <w:rPr>
                <w:rFonts w:eastAsia="Times New Roman"/>
                <w:sz w:val="20"/>
                <w:szCs w:val="20"/>
              </w:rPr>
              <w:t> NAN Shaodeng</w:t>
            </w:r>
          </w:p>
        </w:tc>
      </w:tr>
      <w:tr w:rsidR="00000000" w14:paraId="7BFDD976" w14:textId="77777777">
        <w:trPr>
          <w:divId w:val="415980837"/>
        </w:trPr>
        <w:tc>
          <w:tcPr>
            <w:tcW w:w="0" w:type="auto"/>
            <w:hideMark/>
          </w:tcPr>
          <w:p w14:paraId="60FD4178" w14:textId="77777777" w:rsidR="00000000" w:rsidRDefault="002F725F">
            <w:pPr>
              <w:rPr>
                <w:rFonts w:eastAsia="Times New Roman"/>
                <w:sz w:val="20"/>
                <w:szCs w:val="20"/>
              </w:rPr>
            </w:pPr>
            <w:r>
              <w:rPr>
                <w:rFonts w:eastAsia="Times New Roman"/>
                <w:sz w:val="20"/>
                <w:szCs w:val="20"/>
              </w:rPr>
              <w:t> </w:t>
            </w:r>
          </w:p>
        </w:tc>
        <w:tc>
          <w:tcPr>
            <w:tcW w:w="0" w:type="auto"/>
            <w:tcMar>
              <w:top w:w="0" w:type="dxa"/>
              <w:left w:w="10" w:type="dxa"/>
              <w:bottom w:w="0" w:type="dxa"/>
              <w:right w:w="10" w:type="dxa"/>
            </w:tcMar>
            <w:hideMark/>
          </w:tcPr>
          <w:p w14:paraId="6EC593A0" w14:textId="77777777" w:rsidR="00000000" w:rsidRDefault="002F725F">
            <w:pPr>
              <w:rPr>
                <w:rFonts w:eastAsia="Times New Roman"/>
                <w:sz w:val="20"/>
                <w:szCs w:val="20"/>
              </w:rPr>
            </w:pPr>
            <w:r>
              <w:rPr>
                <w:rFonts w:eastAsia="Times New Roman"/>
                <w:sz w:val="20"/>
                <w:szCs w:val="20"/>
              </w:rPr>
              <w:t>)</w:t>
            </w:r>
          </w:p>
        </w:tc>
        <w:tc>
          <w:tcPr>
            <w:tcW w:w="0" w:type="auto"/>
            <w:tcMar>
              <w:top w:w="0" w:type="dxa"/>
              <w:left w:w="10" w:type="dxa"/>
              <w:bottom w:w="0" w:type="dxa"/>
              <w:right w:w="10" w:type="dxa"/>
            </w:tcMar>
            <w:hideMark/>
          </w:tcPr>
          <w:p w14:paraId="2CBD44B5" w14:textId="77777777" w:rsidR="00000000" w:rsidRDefault="002F725F">
            <w:pPr>
              <w:rPr>
                <w:rFonts w:eastAsia="Times New Roman"/>
                <w:sz w:val="20"/>
                <w:szCs w:val="20"/>
              </w:rPr>
            </w:pPr>
            <w:r>
              <w:rPr>
                <w:rFonts w:eastAsia="Times New Roman"/>
                <w:sz w:val="20"/>
                <w:szCs w:val="20"/>
              </w:rPr>
              <w:t>Title:</w:t>
            </w:r>
          </w:p>
        </w:tc>
        <w:tc>
          <w:tcPr>
            <w:tcW w:w="0" w:type="auto"/>
            <w:tcMar>
              <w:top w:w="0" w:type="dxa"/>
              <w:left w:w="10" w:type="dxa"/>
              <w:bottom w:w="30" w:type="dxa"/>
              <w:right w:w="10" w:type="dxa"/>
            </w:tcMar>
            <w:hideMark/>
          </w:tcPr>
          <w:p w14:paraId="740196A9" w14:textId="77777777" w:rsidR="00000000" w:rsidRDefault="002F725F">
            <w:pPr>
              <w:rPr>
                <w:rFonts w:eastAsia="Times New Roman"/>
                <w:sz w:val="20"/>
                <w:szCs w:val="20"/>
              </w:rPr>
            </w:pPr>
            <w:r>
              <w:rPr>
                <w:rFonts w:eastAsia="Times New Roman"/>
                <w:sz w:val="20"/>
                <w:szCs w:val="20"/>
              </w:rPr>
              <w:t> Director</w:t>
            </w:r>
          </w:p>
        </w:tc>
      </w:tr>
    </w:tbl>
    <w:p w14:paraId="548C7EAC" w14:textId="77777777" w:rsidR="00000000" w:rsidRDefault="002F725F">
      <w:pPr>
        <w:pStyle w:val="NormalWeb"/>
        <w:spacing w:before="0" w:beforeAutospacing="0" w:after="0" w:afterAutospacing="0"/>
        <w:divId w:val="415980837"/>
        <w:rPr>
          <w:sz w:val="20"/>
          <w:szCs w:val="20"/>
        </w:rPr>
      </w:pPr>
      <w:r>
        <w:rPr>
          <w:sz w:val="20"/>
          <w:szCs w:val="20"/>
        </w:rPr>
        <w:t> </w:t>
      </w:r>
    </w:p>
    <w:p w14:paraId="2CE48199" w14:textId="77777777" w:rsidR="00000000" w:rsidRDefault="002F725F">
      <w:pPr>
        <w:pStyle w:val="NormalWeb"/>
        <w:spacing w:before="0" w:beforeAutospacing="0" w:after="0" w:afterAutospacing="0"/>
        <w:jc w:val="center"/>
        <w:divId w:val="1970012628"/>
        <w:rPr>
          <w:sz w:val="20"/>
          <w:szCs w:val="20"/>
        </w:rPr>
      </w:pPr>
      <w:r>
        <w:rPr>
          <w:sz w:val="20"/>
          <w:szCs w:val="20"/>
        </w:rPr>
        <w:t>B</w:t>
      </w:r>
      <w:r>
        <w:rPr>
          <w:sz w:val="20"/>
          <w:szCs w:val="20"/>
        </w:rPr>
        <w:t>-</w:t>
      </w:r>
      <w:r>
        <w:rPr>
          <w:sz w:val="20"/>
          <w:szCs w:val="20"/>
        </w:rPr>
        <w:t>5</w:t>
      </w:r>
    </w:p>
    <w:p w14:paraId="554CA0C0" w14:textId="77777777" w:rsidR="00000000" w:rsidRDefault="002F725F">
      <w:pPr>
        <w:pStyle w:val="NormalWeb"/>
        <w:spacing w:before="0" w:beforeAutospacing="0" w:after="0" w:afterAutospacing="0"/>
        <w:divId w:val="415980837"/>
        <w:rPr>
          <w:sz w:val="20"/>
          <w:szCs w:val="20"/>
        </w:rPr>
      </w:pPr>
      <w:r>
        <w:rPr>
          <w:sz w:val="20"/>
          <w:szCs w:val="20"/>
        </w:rPr>
        <w:t> </w:t>
      </w:r>
    </w:p>
    <w:p w14:paraId="77BFBB3D" w14:textId="77777777" w:rsidR="00000000" w:rsidRDefault="002F725F">
      <w:pPr>
        <w:pStyle w:val="NormalWeb"/>
        <w:spacing w:before="0" w:beforeAutospacing="0" w:after="0" w:afterAutospacing="0"/>
        <w:jc w:val="center"/>
        <w:divId w:val="415980837"/>
        <w:rPr>
          <w:sz w:val="20"/>
          <w:szCs w:val="20"/>
        </w:rPr>
      </w:pPr>
      <w:r>
        <w:rPr>
          <w:b/>
          <w:bCs/>
          <w:caps/>
          <w:sz w:val="20"/>
          <w:szCs w:val="20"/>
        </w:rPr>
        <w:t>Annex 1</w:t>
      </w:r>
    </w:p>
    <w:p w14:paraId="117F1D08"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48977C6" w14:textId="77777777" w:rsidR="00000000" w:rsidRDefault="002F725F">
      <w:pPr>
        <w:pStyle w:val="NormalWeb"/>
        <w:spacing w:before="0" w:beforeAutospacing="0" w:after="0" w:afterAutospacing="0"/>
        <w:jc w:val="center"/>
        <w:divId w:val="415980837"/>
        <w:rPr>
          <w:sz w:val="20"/>
          <w:szCs w:val="20"/>
        </w:rPr>
      </w:pPr>
      <w:r>
        <w:rPr>
          <w:b/>
          <w:bCs/>
          <w:caps/>
          <w:sz w:val="20"/>
          <w:szCs w:val="20"/>
        </w:rPr>
        <w:t>Merger Agreement</w:t>
      </w:r>
    </w:p>
    <w:p w14:paraId="38C4C5CA"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FE4AE92" w14:textId="77777777" w:rsidR="00000000" w:rsidRDefault="002F725F">
      <w:pPr>
        <w:pStyle w:val="NormalWeb"/>
        <w:spacing w:before="0" w:beforeAutospacing="0" w:after="0" w:afterAutospacing="0"/>
        <w:jc w:val="center"/>
        <w:divId w:val="910121168"/>
        <w:rPr>
          <w:sz w:val="20"/>
          <w:szCs w:val="20"/>
        </w:rPr>
      </w:pPr>
      <w:r>
        <w:rPr>
          <w:sz w:val="20"/>
          <w:szCs w:val="20"/>
        </w:rPr>
        <w:t>B</w:t>
      </w:r>
      <w:r>
        <w:rPr>
          <w:sz w:val="20"/>
          <w:szCs w:val="20"/>
        </w:rPr>
        <w:t>-</w:t>
      </w:r>
      <w:r>
        <w:rPr>
          <w:sz w:val="20"/>
          <w:szCs w:val="20"/>
        </w:rPr>
        <w:t>6</w:t>
      </w:r>
    </w:p>
    <w:p w14:paraId="330A0F3A" w14:textId="77777777" w:rsidR="00000000" w:rsidRDefault="002F725F">
      <w:pPr>
        <w:pStyle w:val="NormalWeb"/>
        <w:spacing w:before="0" w:beforeAutospacing="0" w:after="0" w:afterAutospacing="0"/>
        <w:divId w:val="415980837"/>
        <w:rPr>
          <w:sz w:val="20"/>
          <w:szCs w:val="20"/>
        </w:rPr>
      </w:pPr>
      <w:r>
        <w:rPr>
          <w:sz w:val="20"/>
          <w:szCs w:val="20"/>
        </w:rPr>
        <w:t> </w:t>
      </w:r>
    </w:p>
    <w:p w14:paraId="23F6E509" w14:textId="77777777" w:rsidR="00000000" w:rsidRDefault="002F725F">
      <w:pPr>
        <w:pStyle w:val="NormalWeb"/>
        <w:spacing w:before="0" w:beforeAutospacing="0" w:after="0" w:afterAutospacing="0"/>
        <w:jc w:val="center"/>
        <w:divId w:val="415980837"/>
        <w:rPr>
          <w:sz w:val="20"/>
          <w:szCs w:val="20"/>
        </w:rPr>
      </w:pPr>
      <w:r>
        <w:rPr>
          <w:b/>
          <w:bCs/>
          <w:caps/>
          <w:sz w:val="20"/>
          <w:szCs w:val="20"/>
        </w:rPr>
        <w:t>ANNEX 2</w:t>
      </w:r>
    </w:p>
    <w:p w14:paraId="51BD5040"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6BC9A1D" w14:textId="77777777" w:rsidR="00000000" w:rsidRDefault="002F725F">
      <w:pPr>
        <w:pStyle w:val="NormalWeb"/>
        <w:spacing w:before="0" w:beforeAutospacing="0" w:after="0" w:afterAutospacing="0"/>
        <w:jc w:val="center"/>
        <w:divId w:val="415980837"/>
        <w:rPr>
          <w:sz w:val="20"/>
          <w:szCs w:val="20"/>
        </w:rPr>
      </w:pPr>
      <w:r>
        <w:rPr>
          <w:b/>
          <w:bCs/>
          <w:caps/>
          <w:sz w:val="20"/>
          <w:szCs w:val="20"/>
        </w:rPr>
        <w:t xml:space="preserve">AMENDEDED </w:t>
      </w:r>
      <w:r>
        <w:rPr>
          <w:b/>
          <w:bCs/>
          <w:caps/>
          <w:sz w:val="20"/>
          <w:szCs w:val="20"/>
        </w:rPr>
        <w:t>AND RESTATED MEMORANDUM AND ARTICLES OF ASSOCIATION OF THE SURVIVING COMPANY</w:t>
      </w:r>
    </w:p>
    <w:p w14:paraId="6C7135D5"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E2B0A6A" w14:textId="77777777" w:rsidR="00000000" w:rsidRDefault="002F725F">
      <w:pPr>
        <w:pStyle w:val="NormalWeb"/>
        <w:spacing w:before="0" w:beforeAutospacing="0" w:after="0" w:afterAutospacing="0"/>
        <w:jc w:val="center"/>
        <w:divId w:val="1431270361"/>
        <w:rPr>
          <w:sz w:val="20"/>
          <w:szCs w:val="20"/>
        </w:rPr>
      </w:pPr>
      <w:r>
        <w:rPr>
          <w:sz w:val="20"/>
          <w:szCs w:val="20"/>
        </w:rPr>
        <w:t>B</w:t>
      </w:r>
      <w:r>
        <w:rPr>
          <w:sz w:val="20"/>
          <w:szCs w:val="20"/>
        </w:rPr>
        <w:t>-</w:t>
      </w:r>
      <w:r>
        <w:rPr>
          <w:sz w:val="20"/>
          <w:szCs w:val="20"/>
        </w:rPr>
        <w:t>7</w:t>
      </w:r>
    </w:p>
    <w:p w14:paraId="643B5CD9"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465D097" w14:textId="77777777" w:rsidR="00000000" w:rsidRDefault="002F725F">
      <w:pPr>
        <w:pStyle w:val="NormalWeb"/>
        <w:spacing w:before="0" w:beforeAutospacing="0" w:after="0" w:afterAutospacing="0"/>
        <w:jc w:val="center"/>
        <w:divId w:val="415980837"/>
        <w:rPr>
          <w:sz w:val="20"/>
          <w:szCs w:val="20"/>
        </w:rPr>
      </w:pPr>
      <w:bookmarkStart w:id="37" w:name="gfpea028961701ex99-a1.htmC_01"/>
      <w:bookmarkEnd w:id="37"/>
      <w:r>
        <w:rPr>
          <w:b/>
          <w:bCs/>
          <w:sz w:val="20"/>
          <w:szCs w:val="20"/>
          <w:u w:val="single"/>
        </w:rPr>
        <w:t>Annex C</w:t>
      </w:r>
    </w:p>
    <w:p w14:paraId="61000FF0"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A705748" w14:textId="77777777" w:rsidR="00000000" w:rsidRDefault="002F725F">
      <w:pPr>
        <w:pStyle w:val="NormalWeb"/>
        <w:spacing w:before="0" w:beforeAutospacing="0" w:after="0" w:afterAutospacing="0"/>
        <w:jc w:val="center"/>
        <w:divId w:val="415980837"/>
        <w:rPr>
          <w:sz w:val="20"/>
          <w:szCs w:val="20"/>
        </w:rPr>
      </w:pPr>
      <w:r>
        <w:rPr>
          <w:b/>
          <w:bCs/>
          <w:sz w:val="20"/>
          <w:szCs w:val="20"/>
        </w:rPr>
        <w:t>FAIRNESS OPINION</w:t>
      </w:r>
    </w:p>
    <w:p w14:paraId="22D150FB"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31C6F45" w14:textId="77777777" w:rsidR="00000000" w:rsidRDefault="002F725F">
      <w:pPr>
        <w:pStyle w:val="NormalWeb"/>
        <w:spacing w:before="0" w:beforeAutospacing="0" w:after="0" w:afterAutospacing="0"/>
        <w:divId w:val="415980837"/>
        <w:rPr>
          <w:sz w:val="20"/>
          <w:szCs w:val="20"/>
        </w:rPr>
      </w:pPr>
      <w:r>
        <w:rPr>
          <w:rFonts w:asciiTheme="minorHAnsi" w:hAnsiTheme="minorHAnsi" w:cstheme="minorBidi"/>
          <w:noProof/>
          <w:sz w:val="22"/>
          <w:szCs w:val="22"/>
        </w:rPr>
        <w:drawing>
          <wp:inline distT="0" distB="0" distL="0" distR="0" wp14:anchorId="01DCB872" wp14:editId="0B9CB02E">
            <wp:extent cx="1895475" cy="4381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95475" cy="438150"/>
                    </a:xfrm>
                    <a:prstGeom prst="rect">
                      <a:avLst/>
                    </a:prstGeom>
                    <a:noFill/>
                    <a:ln>
                      <a:noFill/>
                    </a:ln>
                  </pic:spPr>
                </pic:pic>
              </a:graphicData>
            </a:graphic>
          </wp:inline>
        </w:drawing>
      </w:r>
    </w:p>
    <w:p w14:paraId="04E58BDA"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6084"/>
        <w:gridCol w:w="3276"/>
      </w:tblGrid>
      <w:tr w:rsidR="00000000" w14:paraId="6D90FE81" w14:textId="77777777">
        <w:trPr>
          <w:divId w:val="415980837"/>
        </w:trPr>
        <w:tc>
          <w:tcPr>
            <w:tcW w:w="3250" w:type="pct"/>
            <w:hideMark/>
          </w:tcPr>
          <w:p w14:paraId="7532DF3E" w14:textId="77777777" w:rsidR="00000000" w:rsidRDefault="002F725F">
            <w:pPr>
              <w:pStyle w:val="NormalWeb"/>
              <w:spacing w:before="0" w:beforeAutospacing="0" w:after="0" w:afterAutospacing="0"/>
              <w:rPr>
                <w:sz w:val="20"/>
                <w:szCs w:val="20"/>
              </w:rPr>
            </w:pPr>
            <w:r>
              <w:rPr>
                <w:b/>
                <w:bCs/>
                <w:sz w:val="20"/>
                <w:szCs w:val="20"/>
                <w:u w:val="single"/>
              </w:rPr>
              <w:t>Confidential</w:t>
            </w:r>
          </w:p>
          <w:p w14:paraId="3BAB3E71" w14:textId="77777777" w:rsidR="00000000" w:rsidRDefault="002F725F">
            <w:pPr>
              <w:pStyle w:val="NormalWeb"/>
              <w:spacing w:before="0" w:beforeAutospacing="0" w:after="0" w:afterAutospacing="0"/>
              <w:rPr>
                <w:sz w:val="20"/>
                <w:szCs w:val="20"/>
              </w:rPr>
            </w:pPr>
            <w:r>
              <w:rPr>
                <w:sz w:val="20"/>
                <w:szCs w:val="20"/>
              </w:rPr>
              <w:t> </w:t>
            </w:r>
          </w:p>
          <w:p w14:paraId="338744B3" w14:textId="77777777" w:rsidR="00000000" w:rsidRDefault="002F725F">
            <w:pPr>
              <w:pStyle w:val="NormalWeb"/>
              <w:spacing w:before="0" w:beforeAutospacing="0" w:after="0" w:afterAutospacing="0"/>
              <w:rPr>
                <w:sz w:val="20"/>
                <w:szCs w:val="20"/>
              </w:rPr>
            </w:pPr>
            <w:r>
              <w:rPr>
                <w:sz w:val="20"/>
                <w:szCs w:val="20"/>
              </w:rPr>
              <w:t>Special Committee of the Board of Directors</w:t>
            </w:r>
          </w:p>
          <w:p w14:paraId="67636416" w14:textId="77777777" w:rsidR="00000000" w:rsidRDefault="002F725F">
            <w:pPr>
              <w:pStyle w:val="NormalWeb"/>
              <w:spacing w:before="0" w:beforeAutospacing="0" w:after="0" w:afterAutospacing="0"/>
              <w:rPr>
                <w:sz w:val="20"/>
                <w:szCs w:val="20"/>
              </w:rPr>
            </w:pPr>
            <w:r>
              <w:rPr>
                <w:sz w:val="20"/>
                <w:szCs w:val="20"/>
              </w:rPr>
              <w:t>LakeShore Biopharma Co., Ltd</w:t>
            </w:r>
          </w:p>
          <w:p w14:paraId="6B0390C2" w14:textId="77777777" w:rsidR="00000000" w:rsidRDefault="002F725F">
            <w:pPr>
              <w:pStyle w:val="NormalWeb"/>
              <w:spacing w:before="0" w:beforeAutospacing="0" w:after="0" w:afterAutospacing="0"/>
              <w:rPr>
                <w:sz w:val="20"/>
                <w:szCs w:val="20"/>
              </w:rPr>
            </w:pPr>
            <w:r>
              <w:rPr>
                <w:sz w:val="20"/>
                <w:szCs w:val="20"/>
              </w:rPr>
              <w:t>Building No. 2, 38 Yongda Road</w:t>
            </w:r>
          </w:p>
          <w:p w14:paraId="02D54A7B" w14:textId="77777777" w:rsidR="00000000" w:rsidRDefault="002F725F">
            <w:pPr>
              <w:pStyle w:val="NormalWeb"/>
              <w:spacing w:before="0" w:beforeAutospacing="0" w:after="0" w:afterAutospacing="0"/>
              <w:rPr>
                <w:sz w:val="20"/>
                <w:szCs w:val="20"/>
              </w:rPr>
            </w:pPr>
            <w:r>
              <w:rPr>
                <w:sz w:val="20"/>
                <w:szCs w:val="20"/>
              </w:rPr>
              <w:t>Daxing Biomedical Industry Park</w:t>
            </w:r>
          </w:p>
          <w:p w14:paraId="4B9708A8" w14:textId="77777777" w:rsidR="00000000" w:rsidRDefault="002F725F">
            <w:pPr>
              <w:pStyle w:val="NormalWeb"/>
              <w:spacing w:before="0" w:beforeAutospacing="0" w:after="0" w:afterAutospacing="0"/>
              <w:rPr>
                <w:sz w:val="20"/>
                <w:szCs w:val="20"/>
              </w:rPr>
            </w:pPr>
            <w:r>
              <w:rPr>
                <w:sz w:val="20"/>
                <w:szCs w:val="20"/>
              </w:rPr>
              <w:t>Daxing District, Beijing, PRC, 102629</w:t>
            </w:r>
          </w:p>
        </w:tc>
        <w:tc>
          <w:tcPr>
            <w:tcW w:w="1750" w:type="pct"/>
            <w:hideMark/>
          </w:tcPr>
          <w:p w14:paraId="7C33E2CE" w14:textId="77777777" w:rsidR="00000000" w:rsidRDefault="002F725F">
            <w:pPr>
              <w:jc w:val="right"/>
              <w:rPr>
                <w:rFonts w:eastAsia="Times New Roman"/>
                <w:sz w:val="20"/>
                <w:szCs w:val="20"/>
              </w:rPr>
            </w:pPr>
            <w:r>
              <w:rPr>
                <w:rFonts w:eastAsia="Times New Roman"/>
                <w:sz w:val="20"/>
                <w:szCs w:val="20"/>
              </w:rPr>
              <w:t>April 28, 2026</w:t>
            </w:r>
          </w:p>
        </w:tc>
      </w:tr>
    </w:tbl>
    <w:p w14:paraId="6E809CDD" w14:textId="77777777" w:rsidR="00000000" w:rsidRDefault="002F725F">
      <w:pPr>
        <w:pStyle w:val="NormalWeb"/>
        <w:spacing w:before="0" w:beforeAutospacing="0" w:after="0" w:afterAutospacing="0"/>
        <w:divId w:val="415980837"/>
        <w:rPr>
          <w:sz w:val="20"/>
          <w:szCs w:val="20"/>
        </w:rPr>
      </w:pPr>
      <w:r>
        <w:rPr>
          <w:sz w:val="20"/>
          <w:szCs w:val="20"/>
        </w:rPr>
        <w:t> </w:t>
      </w:r>
    </w:p>
    <w:p w14:paraId="570EA9D1" w14:textId="77777777" w:rsidR="00000000" w:rsidRDefault="002F725F">
      <w:pPr>
        <w:pStyle w:val="NormalWeb"/>
        <w:spacing w:before="0" w:beforeAutospacing="0" w:after="0" w:afterAutospacing="0"/>
        <w:divId w:val="415980837"/>
        <w:rPr>
          <w:sz w:val="20"/>
          <w:szCs w:val="20"/>
        </w:rPr>
      </w:pPr>
      <w:r>
        <w:rPr>
          <w:sz w:val="20"/>
          <w:szCs w:val="20"/>
        </w:rPr>
        <w:t>Ladies and Gentlemen:</w:t>
      </w:r>
    </w:p>
    <w:p w14:paraId="6895A78A" w14:textId="77777777" w:rsidR="00000000" w:rsidRDefault="002F725F">
      <w:pPr>
        <w:pStyle w:val="NormalWeb"/>
        <w:spacing w:before="0" w:beforeAutospacing="0" w:after="0" w:afterAutospacing="0"/>
        <w:divId w:val="415980837"/>
        <w:rPr>
          <w:sz w:val="20"/>
          <w:szCs w:val="20"/>
        </w:rPr>
      </w:pPr>
      <w:r>
        <w:rPr>
          <w:sz w:val="20"/>
          <w:szCs w:val="20"/>
        </w:rPr>
        <w:lastRenderedPageBreak/>
        <w:t> </w:t>
      </w:r>
    </w:p>
    <w:p w14:paraId="5049598F" w14:textId="77777777" w:rsidR="00000000" w:rsidRDefault="002F725F">
      <w:pPr>
        <w:pStyle w:val="NormalWeb"/>
        <w:spacing w:before="0" w:beforeAutospacing="0" w:after="0" w:afterAutospacing="0"/>
        <w:jc w:val="both"/>
        <w:divId w:val="415980837"/>
        <w:rPr>
          <w:sz w:val="20"/>
          <w:szCs w:val="20"/>
        </w:rPr>
      </w:pPr>
      <w:r>
        <w:rPr>
          <w:sz w:val="20"/>
          <w:szCs w:val="20"/>
        </w:rPr>
        <w:t>LakeShore Biopharma Co., Ltd, an exempted company with limited liability incorporate</w:t>
      </w:r>
      <w:r>
        <w:rPr>
          <w:sz w:val="20"/>
          <w:szCs w:val="20"/>
        </w:rPr>
        <w:t>d under the laws of the Cayman Islands (the “</w:t>
      </w:r>
      <w:r>
        <w:rPr>
          <w:sz w:val="20"/>
          <w:szCs w:val="20"/>
          <w:u w:val="single"/>
        </w:rPr>
        <w:t>Company</w:t>
      </w:r>
      <w:r>
        <w:rPr>
          <w:sz w:val="20"/>
          <w:szCs w:val="20"/>
        </w:rPr>
        <w:t>”), has engaged Kroll, LLC (“</w:t>
      </w:r>
      <w:r>
        <w:rPr>
          <w:sz w:val="20"/>
          <w:szCs w:val="20"/>
          <w:u w:val="single"/>
        </w:rPr>
        <w:t>Duff &amp; Phelps</w:t>
      </w:r>
      <w:r>
        <w:rPr>
          <w:sz w:val="20"/>
          <w:szCs w:val="20"/>
        </w:rPr>
        <w:t>”), operating through its Duff &amp; Phelps Opinions Practice, to serve as an independent financial advisor to the special committee (the “</w:t>
      </w:r>
      <w:r>
        <w:rPr>
          <w:sz w:val="20"/>
          <w:szCs w:val="20"/>
          <w:u w:val="single"/>
        </w:rPr>
        <w:t>Special Committee</w:t>
      </w:r>
      <w:r>
        <w:rPr>
          <w:sz w:val="20"/>
          <w:szCs w:val="20"/>
        </w:rPr>
        <w:t xml:space="preserve">”) of the </w:t>
      </w:r>
      <w:r>
        <w:rPr>
          <w:sz w:val="20"/>
          <w:szCs w:val="20"/>
        </w:rPr>
        <w:t>board of directors (the “</w:t>
      </w:r>
      <w:r>
        <w:rPr>
          <w:sz w:val="20"/>
          <w:szCs w:val="20"/>
          <w:u w:val="single"/>
        </w:rPr>
        <w:t>Board of Directors</w:t>
      </w:r>
      <w:r>
        <w:rPr>
          <w:sz w:val="20"/>
          <w:szCs w:val="20"/>
        </w:rPr>
        <w:t>”) of the Company (solely in their capacity as members of the Special Committee) to provide an opinion (this “</w:t>
      </w:r>
      <w:r>
        <w:rPr>
          <w:sz w:val="20"/>
          <w:szCs w:val="20"/>
          <w:u w:val="single"/>
        </w:rPr>
        <w:t>Opinion</w:t>
      </w:r>
      <w:r>
        <w:rPr>
          <w:sz w:val="20"/>
          <w:szCs w:val="20"/>
        </w:rPr>
        <w:t>”) as of the date hereof as to the fairness, from a financial point of view, to the holders of o</w:t>
      </w:r>
      <w:r>
        <w:rPr>
          <w:sz w:val="20"/>
          <w:szCs w:val="20"/>
        </w:rPr>
        <w:t>rdinary shares, par value US$0.0002 per share, of the Company (each, a “</w:t>
      </w:r>
      <w:r>
        <w:rPr>
          <w:sz w:val="20"/>
          <w:szCs w:val="20"/>
          <w:u w:val="single"/>
        </w:rPr>
        <w:t>Share</w:t>
      </w:r>
      <w:r>
        <w:rPr>
          <w:sz w:val="20"/>
          <w:szCs w:val="20"/>
        </w:rPr>
        <w:t>” or, collectively, “</w:t>
      </w:r>
      <w:r>
        <w:rPr>
          <w:sz w:val="20"/>
          <w:szCs w:val="20"/>
          <w:u w:val="single"/>
        </w:rPr>
        <w:t>Shares</w:t>
      </w:r>
      <w:r>
        <w:rPr>
          <w:sz w:val="20"/>
          <w:szCs w:val="20"/>
        </w:rPr>
        <w:t>”), other than the Excluded Shares and the Dissenting Shares (each as defined below), of the Per Share Merger Consideration (as defined below) to be rec</w:t>
      </w:r>
      <w:r>
        <w:rPr>
          <w:sz w:val="20"/>
          <w:szCs w:val="20"/>
        </w:rPr>
        <w:t>eived by such holders in the Proposed Transaction (as defined below) (without giving effect to any impact of the Proposed Transaction on any particular holder of Shares other than in its capacity as a holder of Shares).</w:t>
      </w:r>
    </w:p>
    <w:p w14:paraId="28FDA98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65D6D12" w14:textId="77777777" w:rsidR="00000000" w:rsidRDefault="002F725F">
      <w:pPr>
        <w:pStyle w:val="NormalWeb"/>
        <w:spacing w:before="0" w:beforeAutospacing="0" w:after="0" w:afterAutospacing="0"/>
        <w:jc w:val="both"/>
        <w:divId w:val="415980837"/>
        <w:rPr>
          <w:sz w:val="20"/>
          <w:szCs w:val="20"/>
        </w:rPr>
      </w:pPr>
      <w:r>
        <w:rPr>
          <w:b/>
          <w:bCs/>
          <w:sz w:val="20"/>
          <w:szCs w:val="20"/>
          <w:u w:val="single"/>
        </w:rPr>
        <w:t>Description of the Proposed Transa</w:t>
      </w:r>
      <w:r>
        <w:rPr>
          <w:b/>
          <w:bCs/>
          <w:sz w:val="20"/>
          <w:szCs w:val="20"/>
          <w:u w:val="single"/>
        </w:rPr>
        <w:t>ction</w:t>
      </w:r>
    </w:p>
    <w:p w14:paraId="692E1AE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8CA5E04" w14:textId="77777777" w:rsidR="00000000" w:rsidRDefault="002F725F">
      <w:pPr>
        <w:pStyle w:val="NormalWeb"/>
        <w:spacing w:before="0" w:beforeAutospacing="0" w:after="0" w:afterAutospacing="0"/>
        <w:jc w:val="both"/>
        <w:divId w:val="415980837"/>
        <w:rPr>
          <w:sz w:val="20"/>
          <w:szCs w:val="20"/>
        </w:rPr>
      </w:pPr>
      <w:r>
        <w:rPr>
          <w:sz w:val="20"/>
          <w:szCs w:val="20"/>
        </w:rPr>
        <w:t>It is Duff &amp; Phelps’ understanding that the Company, Oceanpine Skyline Inc., an exempted company with limited liability incorporated under the laws of the Cayman Islands (“</w:t>
      </w:r>
      <w:r>
        <w:rPr>
          <w:sz w:val="20"/>
          <w:szCs w:val="20"/>
          <w:u w:val="single"/>
        </w:rPr>
        <w:t>Parent</w:t>
      </w:r>
      <w:r>
        <w:rPr>
          <w:sz w:val="20"/>
          <w:szCs w:val="20"/>
        </w:rPr>
        <w:t>”), and Oceanpine Merger Sub Inc., an exempted company with limited li</w:t>
      </w:r>
      <w:r>
        <w:rPr>
          <w:sz w:val="20"/>
          <w:szCs w:val="20"/>
        </w:rPr>
        <w:t>ability incorporated under the laws of the Cayman Islands and a wholly owned subsidiary of Parent (“</w:t>
      </w:r>
      <w:r>
        <w:rPr>
          <w:sz w:val="20"/>
          <w:szCs w:val="20"/>
          <w:u w:val="single"/>
        </w:rPr>
        <w:t>Merger Sub</w:t>
      </w:r>
      <w:r>
        <w:rPr>
          <w:sz w:val="20"/>
          <w:szCs w:val="20"/>
        </w:rPr>
        <w:t>”), entered into an Agreement and Plan of Merger dated November 4, 2025, and propose to enter into an Amendment No. 1 to Agreement and Plan of Mer</w:t>
      </w:r>
      <w:r>
        <w:rPr>
          <w:sz w:val="20"/>
          <w:szCs w:val="20"/>
        </w:rPr>
        <w:t>ger, the latest draft of which Duff &amp; Phelps has reviewed is dated April 13, 2026 (together with the Agreement and Plan of Merger, the “</w:t>
      </w:r>
      <w:r>
        <w:rPr>
          <w:sz w:val="20"/>
          <w:szCs w:val="20"/>
          <w:u w:val="single"/>
        </w:rPr>
        <w:t>Merger Agreement</w:t>
      </w:r>
      <w:r>
        <w:rPr>
          <w:sz w:val="20"/>
          <w:szCs w:val="20"/>
        </w:rPr>
        <w:t>”). Pursuant to the Merger Agreement, among other things, Merger Sub will merge with and into the Compan</w:t>
      </w:r>
      <w:r>
        <w:rPr>
          <w:sz w:val="20"/>
          <w:szCs w:val="20"/>
        </w:rPr>
        <w:t>y and the separate corporate existence of Merger Sub shall thereupon cease, with the Company being the surviving company and becoming a wholly owned subsidiary of Parent as a result of the merger. In connection with such merger, among other things, each Sh</w:t>
      </w:r>
      <w:r>
        <w:rPr>
          <w:sz w:val="20"/>
          <w:szCs w:val="20"/>
        </w:rPr>
        <w:t>are issued and outstanding immediately prior to the Effective Time (other than the Excluded Shares and the Dissenting Shares) shall be cancelled and cease to exist in exchange for the right to receive US$0.066 in cash per Share without interest (the “</w:t>
      </w:r>
      <w:r>
        <w:rPr>
          <w:sz w:val="20"/>
          <w:szCs w:val="20"/>
          <w:u w:val="single"/>
        </w:rPr>
        <w:t>Per S</w:t>
      </w:r>
      <w:r>
        <w:rPr>
          <w:sz w:val="20"/>
          <w:szCs w:val="20"/>
          <w:u w:val="single"/>
        </w:rPr>
        <w:t>hare Merger Consideration</w:t>
      </w:r>
      <w:r>
        <w:rPr>
          <w:sz w:val="20"/>
          <w:szCs w:val="20"/>
        </w:rPr>
        <w:t>”) (collectively, the “</w:t>
      </w:r>
      <w:r>
        <w:rPr>
          <w:sz w:val="20"/>
          <w:szCs w:val="20"/>
          <w:u w:val="single"/>
        </w:rPr>
        <w:t>Proposed Transaction</w:t>
      </w:r>
      <w:r>
        <w:rPr>
          <w:sz w:val="20"/>
          <w:szCs w:val="20"/>
        </w:rPr>
        <w:t>”). The terms and conditions of the Proposed Transaction are more fully set forth in the Merger Agreement.</w:t>
      </w:r>
    </w:p>
    <w:p w14:paraId="76859A5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E7EE21B" w14:textId="77777777" w:rsidR="00000000" w:rsidRDefault="002F725F">
      <w:pPr>
        <w:pStyle w:val="NormalWeb"/>
        <w:spacing w:before="0" w:beforeAutospacing="0" w:after="0" w:afterAutospacing="0"/>
        <w:jc w:val="both"/>
        <w:divId w:val="415980837"/>
        <w:rPr>
          <w:sz w:val="20"/>
          <w:szCs w:val="20"/>
        </w:rPr>
      </w:pPr>
      <w:r>
        <w:rPr>
          <w:sz w:val="20"/>
          <w:szCs w:val="20"/>
        </w:rPr>
        <w:t>For purposes of this Opinion, (i) “</w:t>
      </w:r>
      <w:r>
        <w:rPr>
          <w:sz w:val="20"/>
          <w:szCs w:val="20"/>
          <w:u w:val="single"/>
        </w:rPr>
        <w:t>Excluded Shares</w:t>
      </w:r>
      <w:r>
        <w:rPr>
          <w:sz w:val="20"/>
          <w:szCs w:val="20"/>
        </w:rPr>
        <w:t>” shall mean collectively, (a</w:t>
      </w:r>
      <w:r>
        <w:rPr>
          <w:sz w:val="20"/>
          <w:szCs w:val="20"/>
        </w:rPr>
        <w:t>) the Rollover Shares, (b) Shares held by any of Parent, Merger Sub and any of their respective Affiliates, (c) Shares held by the Company or any Subsidiary of the Company or held in the Company’s treasury, and (d) Shares held by holders who prior to the C</w:t>
      </w:r>
      <w:r>
        <w:rPr>
          <w:sz w:val="20"/>
          <w:szCs w:val="20"/>
        </w:rPr>
        <w:t>losing agree with Parent not to receive any Merger Consideration with respect to such Shares; and (ii) “</w:t>
      </w:r>
      <w:r>
        <w:rPr>
          <w:sz w:val="20"/>
          <w:szCs w:val="20"/>
          <w:u w:val="single"/>
        </w:rPr>
        <w:t>Dissenting Shares</w:t>
      </w:r>
      <w:r>
        <w:rPr>
          <w:sz w:val="20"/>
          <w:szCs w:val="20"/>
        </w:rPr>
        <w:t>”, “</w:t>
      </w:r>
      <w:r>
        <w:rPr>
          <w:sz w:val="20"/>
          <w:szCs w:val="20"/>
          <w:u w:val="single"/>
        </w:rPr>
        <w:t>Effective Time</w:t>
      </w:r>
      <w:r>
        <w:rPr>
          <w:sz w:val="20"/>
          <w:szCs w:val="20"/>
        </w:rPr>
        <w:t>”, “</w:t>
      </w:r>
      <w:r>
        <w:rPr>
          <w:sz w:val="20"/>
          <w:szCs w:val="20"/>
          <w:u w:val="single"/>
        </w:rPr>
        <w:t>Rollover Shares</w:t>
      </w:r>
      <w:r>
        <w:rPr>
          <w:sz w:val="20"/>
          <w:szCs w:val="20"/>
        </w:rPr>
        <w:t>”, “</w:t>
      </w:r>
      <w:r>
        <w:rPr>
          <w:sz w:val="20"/>
          <w:szCs w:val="20"/>
          <w:u w:val="single"/>
        </w:rPr>
        <w:t>Affiliates</w:t>
      </w:r>
      <w:r>
        <w:rPr>
          <w:sz w:val="20"/>
          <w:szCs w:val="20"/>
        </w:rPr>
        <w:t>”, “</w:t>
      </w:r>
      <w:r>
        <w:rPr>
          <w:sz w:val="20"/>
          <w:szCs w:val="20"/>
          <w:u w:val="single"/>
        </w:rPr>
        <w:t>Subsidiary</w:t>
      </w:r>
      <w:r>
        <w:rPr>
          <w:sz w:val="20"/>
          <w:szCs w:val="20"/>
        </w:rPr>
        <w:t>”, “</w:t>
      </w:r>
      <w:r>
        <w:rPr>
          <w:sz w:val="20"/>
          <w:szCs w:val="20"/>
          <w:u w:val="single"/>
        </w:rPr>
        <w:t>Closing</w:t>
      </w:r>
      <w:r>
        <w:rPr>
          <w:sz w:val="20"/>
          <w:szCs w:val="20"/>
        </w:rPr>
        <w:t>” and “</w:t>
      </w:r>
      <w:r>
        <w:rPr>
          <w:sz w:val="20"/>
          <w:szCs w:val="20"/>
          <w:u w:val="single"/>
        </w:rPr>
        <w:t>Merger Consideration</w:t>
      </w:r>
      <w:r>
        <w:rPr>
          <w:sz w:val="20"/>
          <w:szCs w:val="20"/>
        </w:rPr>
        <w:t>” shall have the meanings set fo</w:t>
      </w:r>
      <w:r>
        <w:rPr>
          <w:sz w:val="20"/>
          <w:szCs w:val="20"/>
        </w:rPr>
        <w:t>rth in the Merger Agreement.</w:t>
      </w:r>
    </w:p>
    <w:p w14:paraId="64B5123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18934FB" w14:textId="77777777" w:rsidR="00000000" w:rsidRDefault="002F725F">
      <w:pPr>
        <w:pStyle w:val="NormalWeb"/>
        <w:spacing w:before="0" w:beforeAutospacing="0" w:after="0" w:afterAutospacing="0"/>
        <w:jc w:val="center"/>
        <w:divId w:val="97869400"/>
        <w:rPr>
          <w:sz w:val="20"/>
          <w:szCs w:val="20"/>
        </w:rPr>
      </w:pPr>
      <w:r>
        <w:rPr>
          <w:sz w:val="20"/>
          <w:szCs w:val="20"/>
        </w:rPr>
        <w:t>C</w:t>
      </w:r>
      <w:r>
        <w:rPr>
          <w:sz w:val="20"/>
          <w:szCs w:val="20"/>
        </w:rPr>
        <w:t>-</w:t>
      </w:r>
      <w:r>
        <w:rPr>
          <w:sz w:val="20"/>
          <w:szCs w:val="20"/>
        </w:rPr>
        <w:t>1</w:t>
      </w:r>
    </w:p>
    <w:p w14:paraId="57C248F7" w14:textId="77777777" w:rsidR="00000000" w:rsidRDefault="002F725F">
      <w:pPr>
        <w:pStyle w:val="NormalWeb"/>
        <w:spacing w:before="0" w:beforeAutospacing="0" w:after="0" w:afterAutospacing="0"/>
        <w:divId w:val="160661322"/>
        <w:rPr>
          <w:sz w:val="20"/>
          <w:szCs w:val="20"/>
        </w:rPr>
      </w:pPr>
      <w:r>
        <w:rPr>
          <w:sz w:val="20"/>
          <w:szCs w:val="20"/>
        </w:rPr>
        <w:t> </w:t>
      </w:r>
    </w:p>
    <w:p w14:paraId="53760605"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1D1C2EF" w14:textId="77777777" w:rsidR="00000000" w:rsidRDefault="002F725F">
      <w:pPr>
        <w:pStyle w:val="NormalWeb"/>
        <w:spacing w:before="0" w:beforeAutospacing="0" w:after="0" w:afterAutospacing="0"/>
        <w:jc w:val="both"/>
        <w:divId w:val="415980837"/>
        <w:rPr>
          <w:sz w:val="20"/>
          <w:szCs w:val="20"/>
        </w:rPr>
      </w:pPr>
      <w:r>
        <w:rPr>
          <w:b/>
          <w:bCs/>
          <w:sz w:val="20"/>
          <w:szCs w:val="20"/>
          <w:u w:val="single"/>
        </w:rPr>
        <w:t>Scope of Analysis</w:t>
      </w:r>
    </w:p>
    <w:p w14:paraId="173031D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EF548BF" w14:textId="77777777" w:rsidR="00000000" w:rsidRDefault="002F725F">
      <w:pPr>
        <w:pStyle w:val="NormalWeb"/>
        <w:spacing w:before="0" w:beforeAutospacing="0" w:after="0" w:afterAutospacing="0"/>
        <w:jc w:val="both"/>
        <w:divId w:val="415980837"/>
        <w:rPr>
          <w:sz w:val="20"/>
          <w:szCs w:val="20"/>
        </w:rPr>
      </w:pPr>
      <w:r>
        <w:rPr>
          <w:sz w:val="20"/>
          <w:szCs w:val="20"/>
        </w:rPr>
        <w:t xml:space="preserve">In connection with this Opinion, Duff &amp; </w:t>
      </w:r>
      <w:r>
        <w:rPr>
          <w:sz w:val="20"/>
          <w:szCs w:val="20"/>
        </w:rPr>
        <w:t>Phelps has made such reviews, analyses and inquiries as it has deemed necessary and appropriate under the circumstances to enable Duff &amp; Phelps to render this Opinion. Duff &amp; Phelps also took into account its assessment of general economic, market and fina</w:t>
      </w:r>
      <w:r>
        <w:rPr>
          <w:sz w:val="20"/>
          <w:szCs w:val="20"/>
        </w:rPr>
        <w:t xml:space="preserve">ncial conditions, as well as its experience in securities and business valuation, in general, and with respect to similar transactions, in particular. Duff &amp; Phelps’ procedures, investigations, and financial analysis with respect to the preparation of its </w:t>
      </w:r>
      <w:r>
        <w:rPr>
          <w:sz w:val="20"/>
          <w:szCs w:val="20"/>
        </w:rPr>
        <w:t>Opinion included, but were not limited to, the items summarized below:</w:t>
      </w:r>
    </w:p>
    <w:p w14:paraId="12F484FB" w14:textId="77777777" w:rsidR="00000000" w:rsidRDefault="002F725F">
      <w:pPr>
        <w:pStyle w:val="NormalWeb"/>
        <w:spacing w:before="0" w:beforeAutospacing="0" w:after="0" w:afterAutospacing="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784D1AEF" w14:textId="77777777">
        <w:trPr>
          <w:divId w:val="415980837"/>
          <w:tblCellSpacing w:w="0" w:type="dxa"/>
        </w:trPr>
        <w:tc>
          <w:tcPr>
            <w:tcW w:w="6" w:type="dxa"/>
            <w:hideMark/>
          </w:tcPr>
          <w:p w14:paraId="499E507F" w14:textId="77777777" w:rsidR="00000000" w:rsidRDefault="002F725F">
            <w:pPr>
              <w:rPr>
                <w:sz w:val="20"/>
                <w:szCs w:val="20"/>
              </w:rPr>
            </w:pPr>
          </w:p>
        </w:tc>
        <w:tc>
          <w:tcPr>
            <w:tcW w:w="360" w:type="dxa"/>
            <w:hideMark/>
          </w:tcPr>
          <w:p w14:paraId="598304A2" w14:textId="77777777" w:rsidR="00000000" w:rsidRDefault="002F725F">
            <w:pPr>
              <w:rPr>
                <w:rFonts w:eastAsia="Times New Roman"/>
                <w:sz w:val="20"/>
                <w:szCs w:val="20"/>
              </w:rPr>
            </w:pPr>
            <w:r>
              <w:rPr>
                <w:rFonts w:eastAsia="Times New Roman"/>
                <w:sz w:val="20"/>
                <w:szCs w:val="20"/>
              </w:rPr>
              <w:t>1.</w:t>
            </w:r>
          </w:p>
        </w:tc>
        <w:tc>
          <w:tcPr>
            <w:tcW w:w="0" w:type="auto"/>
            <w:hideMark/>
          </w:tcPr>
          <w:p w14:paraId="1255954B" w14:textId="77777777" w:rsidR="00000000" w:rsidRDefault="002F725F">
            <w:pPr>
              <w:jc w:val="both"/>
              <w:rPr>
                <w:rFonts w:eastAsia="Times New Roman"/>
                <w:sz w:val="20"/>
                <w:szCs w:val="20"/>
              </w:rPr>
            </w:pPr>
            <w:r>
              <w:rPr>
                <w:rFonts w:eastAsia="Times New Roman"/>
                <w:sz w:val="20"/>
                <w:szCs w:val="20"/>
              </w:rPr>
              <w:t>Reviewed the following documents:</w:t>
            </w:r>
          </w:p>
        </w:tc>
      </w:tr>
    </w:tbl>
    <w:p w14:paraId="410F47F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360"/>
        <w:gridCol w:w="8640"/>
      </w:tblGrid>
      <w:tr w:rsidR="00000000" w14:paraId="26E5C5F9" w14:textId="77777777">
        <w:trPr>
          <w:divId w:val="415980837"/>
          <w:tblCellSpacing w:w="0" w:type="dxa"/>
        </w:trPr>
        <w:tc>
          <w:tcPr>
            <w:tcW w:w="360" w:type="dxa"/>
            <w:hideMark/>
          </w:tcPr>
          <w:p w14:paraId="0248ECC2" w14:textId="77777777" w:rsidR="00000000" w:rsidRDefault="002F725F">
            <w:pPr>
              <w:rPr>
                <w:sz w:val="20"/>
                <w:szCs w:val="20"/>
              </w:rPr>
            </w:pPr>
          </w:p>
        </w:tc>
        <w:tc>
          <w:tcPr>
            <w:tcW w:w="360" w:type="dxa"/>
            <w:hideMark/>
          </w:tcPr>
          <w:p w14:paraId="42AF8506" w14:textId="77777777" w:rsidR="00000000" w:rsidRDefault="002F725F">
            <w:pPr>
              <w:rPr>
                <w:rFonts w:eastAsia="Times New Roman"/>
                <w:sz w:val="20"/>
                <w:szCs w:val="20"/>
              </w:rPr>
            </w:pPr>
            <w:r>
              <w:rPr>
                <w:rFonts w:eastAsia="Times New Roman"/>
                <w:sz w:val="20"/>
                <w:szCs w:val="20"/>
              </w:rPr>
              <w:t>a.</w:t>
            </w:r>
          </w:p>
        </w:tc>
        <w:tc>
          <w:tcPr>
            <w:tcW w:w="0" w:type="auto"/>
            <w:hideMark/>
          </w:tcPr>
          <w:p w14:paraId="628F1A03" w14:textId="77777777" w:rsidR="00000000" w:rsidRDefault="002F725F">
            <w:pPr>
              <w:jc w:val="both"/>
              <w:rPr>
                <w:rFonts w:eastAsia="Times New Roman"/>
                <w:sz w:val="20"/>
                <w:szCs w:val="20"/>
              </w:rPr>
            </w:pPr>
            <w:r>
              <w:rPr>
                <w:rFonts w:eastAsia="Times New Roman"/>
                <w:sz w:val="20"/>
                <w:szCs w:val="20"/>
              </w:rPr>
              <w:t>The Company’s annual reports and audited financial statements on Form 20-F filed with the Securities and Exchange Commission for the years</w:t>
            </w:r>
            <w:r>
              <w:rPr>
                <w:rFonts w:eastAsia="Times New Roman"/>
                <w:sz w:val="20"/>
                <w:szCs w:val="20"/>
              </w:rPr>
              <w:t xml:space="preserve"> ended March 31, 2023 through March 31, 2025;</w:t>
            </w:r>
          </w:p>
        </w:tc>
      </w:tr>
    </w:tbl>
    <w:p w14:paraId="57E8B5FA"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360"/>
        <w:gridCol w:w="8640"/>
      </w:tblGrid>
      <w:tr w:rsidR="00000000" w14:paraId="6195108B" w14:textId="77777777">
        <w:trPr>
          <w:divId w:val="415980837"/>
          <w:tblCellSpacing w:w="0" w:type="dxa"/>
        </w:trPr>
        <w:tc>
          <w:tcPr>
            <w:tcW w:w="360" w:type="dxa"/>
            <w:hideMark/>
          </w:tcPr>
          <w:p w14:paraId="159A0D77" w14:textId="77777777" w:rsidR="00000000" w:rsidRDefault="002F725F">
            <w:pPr>
              <w:rPr>
                <w:sz w:val="20"/>
                <w:szCs w:val="20"/>
              </w:rPr>
            </w:pPr>
          </w:p>
        </w:tc>
        <w:tc>
          <w:tcPr>
            <w:tcW w:w="360" w:type="dxa"/>
            <w:hideMark/>
          </w:tcPr>
          <w:p w14:paraId="5203594F" w14:textId="77777777" w:rsidR="00000000" w:rsidRDefault="002F725F">
            <w:pPr>
              <w:rPr>
                <w:rFonts w:eastAsia="Times New Roman"/>
                <w:sz w:val="20"/>
                <w:szCs w:val="20"/>
              </w:rPr>
            </w:pPr>
            <w:r>
              <w:rPr>
                <w:rFonts w:eastAsia="Times New Roman"/>
                <w:sz w:val="20"/>
                <w:szCs w:val="20"/>
              </w:rPr>
              <w:t>b.</w:t>
            </w:r>
          </w:p>
        </w:tc>
        <w:tc>
          <w:tcPr>
            <w:tcW w:w="0" w:type="auto"/>
            <w:hideMark/>
          </w:tcPr>
          <w:p w14:paraId="658605B0" w14:textId="77777777" w:rsidR="00000000" w:rsidRDefault="002F725F">
            <w:pPr>
              <w:jc w:val="both"/>
              <w:rPr>
                <w:rFonts w:eastAsia="Times New Roman"/>
                <w:sz w:val="20"/>
                <w:szCs w:val="20"/>
              </w:rPr>
            </w:pPr>
            <w:r>
              <w:rPr>
                <w:rFonts w:eastAsia="Times New Roman"/>
                <w:sz w:val="20"/>
                <w:szCs w:val="20"/>
              </w:rPr>
              <w:t>Certain unaudited and segment financial information for the Company for the years ended March 31, 2023 through March 31, 2026, provided to Duff &amp; Phelps by the management of the Company and which the man</w:t>
            </w:r>
            <w:r>
              <w:rPr>
                <w:rFonts w:eastAsia="Times New Roman"/>
                <w:sz w:val="20"/>
                <w:szCs w:val="20"/>
              </w:rPr>
              <w:t>agement of the Company identified as being the most current financial statements available;</w:t>
            </w:r>
          </w:p>
        </w:tc>
      </w:tr>
    </w:tbl>
    <w:p w14:paraId="2EA89C02"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360"/>
        <w:gridCol w:w="8640"/>
      </w:tblGrid>
      <w:tr w:rsidR="00000000" w14:paraId="49453308" w14:textId="77777777">
        <w:trPr>
          <w:divId w:val="415980837"/>
          <w:tblCellSpacing w:w="0" w:type="dxa"/>
        </w:trPr>
        <w:tc>
          <w:tcPr>
            <w:tcW w:w="360" w:type="dxa"/>
            <w:hideMark/>
          </w:tcPr>
          <w:p w14:paraId="1575C7B4" w14:textId="77777777" w:rsidR="00000000" w:rsidRDefault="002F725F">
            <w:pPr>
              <w:rPr>
                <w:sz w:val="20"/>
                <w:szCs w:val="20"/>
              </w:rPr>
            </w:pPr>
          </w:p>
        </w:tc>
        <w:tc>
          <w:tcPr>
            <w:tcW w:w="360" w:type="dxa"/>
            <w:hideMark/>
          </w:tcPr>
          <w:p w14:paraId="627B0919" w14:textId="77777777" w:rsidR="00000000" w:rsidRDefault="002F725F">
            <w:pPr>
              <w:rPr>
                <w:rFonts w:eastAsia="Times New Roman"/>
                <w:sz w:val="20"/>
                <w:szCs w:val="20"/>
              </w:rPr>
            </w:pPr>
            <w:r>
              <w:rPr>
                <w:rFonts w:eastAsia="Times New Roman"/>
                <w:sz w:val="20"/>
                <w:szCs w:val="20"/>
              </w:rPr>
              <w:t>c.</w:t>
            </w:r>
          </w:p>
        </w:tc>
        <w:tc>
          <w:tcPr>
            <w:tcW w:w="0" w:type="auto"/>
            <w:hideMark/>
          </w:tcPr>
          <w:p w14:paraId="2518F394" w14:textId="77777777" w:rsidR="00000000" w:rsidRDefault="002F725F">
            <w:pPr>
              <w:jc w:val="both"/>
              <w:rPr>
                <w:rFonts w:eastAsia="Times New Roman"/>
                <w:sz w:val="20"/>
                <w:szCs w:val="20"/>
              </w:rPr>
            </w:pPr>
            <w:r>
              <w:rPr>
                <w:rFonts w:eastAsia="Times New Roman"/>
                <w:sz w:val="20"/>
                <w:szCs w:val="20"/>
              </w:rPr>
              <w:t xml:space="preserve">A detailed financial projection model for the Company for the years </w:t>
            </w:r>
            <w:r>
              <w:rPr>
                <w:rFonts w:eastAsia="Times New Roman"/>
                <w:sz w:val="20"/>
                <w:szCs w:val="20"/>
              </w:rPr>
              <w:t>ending March 31, 2027 through March 31, 2033, prepared and provided to Duff &amp; Phelps by the management of the Company, upon which Duff &amp; Phelps has relied, with the Company’s and the Special Committee’s consent, in performing its analysis (collectively, th</w:t>
            </w:r>
            <w:r>
              <w:rPr>
                <w:rFonts w:eastAsia="Times New Roman"/>
                <w:sz w:val="20"/>
                <w:szCs w:val="20"/>
              </w:rPr>
              <w:t>e “</w:t>
            </w:r>
            <w:r>
              <w:rPr>
                <w:rFonts w:eastAsia="Times New Roman"/>
                <w:sz w:val="20"/>
                <w:szCs w:val="20"/>
                <w:u w:val="single"/>
              </w:rPr>
              <w:t>Management Projections</w:t>
            </w:r>
            <w:r>
              <w:rPr>
                <w:rFonts w:eastAsia="Times New Roman"/>
                <w:sz w:val="20"/>
                <w:szCs w:val="20"/>
              </w:rPr>
              <w:t>”);</w:t>
            </w:r>
          </w:p>
        </w:tc>
      </w:tr>
    </w:tbl>
    <w:p w14:paraId="7EC39192"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360"/>
        <w:gridCol w:w="8640"/>
      </w:tblGrid>
      <w:tr w:rsidR="00000000" w14:paraId="3BDFCAD2" w14:textId="77777777">
        <w:trPr>
          <w:divId w:val="415980837"/>
          <w:tblCellSpacing w:w="0" w:type="dxa"/>
        </w:trPr>
        <w:tc>
          <w:tcPr>
            <w:tcW w:w="360" w:type="dxa"/>
            <w:hideMark/>
          </w:tcPr>
          <w:p w14:paraId="2FB47BCF" w14:textId="77777777" w:rsidR="00000000" w:rsidRDefault="002F725F">
            <w:pPr>
              <w:rPr>
                <w:sz w:val="20"/>
                <w:szCs w:val="20"/>
              </w:rPr>
            </w:pPr>
          </w:p>
        </w:tc>
        <w:tc>
          <w:tcPr>
            <w:tcW w:w="360" w:type="dxa"/>
            <w:hideMark/>
          </w:tcPr>
          <w:p w14:paraId="39FE9216" w14:textId="77777777" w:rsidR="00000000" w:rsidRDefault="002F725F">
            <w:pPr>
              <w:rPr>
                <w:rFonts w:eastAsia="Times New Roman"/>
                <w:sz w:val="20"/>
                <w:szCs w:val="20"/>
              </w:rPr>
            </w:pPr>
            <w:r>
              <w:rPr>
                <w:rFonts w:eastAsia="Times New Roman"/>
                <w:sz w:val="20"/>
                <w:szCs w:val="20"/>
              </w:rPr>
              <w:t>d.</w:t>
            </w:r>
          </w:p>
        </w:tc>
        <w:tc>
          <w:tcPr>
            <w:tcW w:w="0" w:type="auto"/>
            <w:hideMark/>
          </w:tcPr>
          <w:p w14:paraId="76372051" w14:textId="77777777" w:rsidR="00000000" w:rsidRDefault="002F725F">
            <w:pPr>
              <w:jc w:val="both"/>
              <w:rPr>
                <w:rFonts w:eastAsia="Times New Roman"/>
                <w:sz w:val="20"/>
                <w:szCs w:val="20"/>
              </w:rPr>
            </w:pPr>
            <w:r>
              <w:rPr>
                <w:rFonts w:eastAsia="Times New Roman"/>
                <w:sz w:val="20"/>
                <w:szCs w:val="20"/>
              </w:rPr>
              <w:t>Other internal documents relating to the history, current operations, and probable future outlook of the Company, provided to Duff &amp; Phelps by the management of the Company;</w:t>
            </w:r>
          </w:p>
        </w:tc>
      </w:tr>
    </w:tbl>
    <w:p w14:paraId="1374BCD3"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360"/>
        <w:gridCol w:w="8640"/>
      </w:tblGrid>
      <w:tr w:rsidR="00000000" w14:paraId="249646E9" w14:textId="77777777">
        <w:trPr>
          <w:divId w:val="415980837"/>
          <w:tblCellSpacing w:w="0" w:type="dxa"/>
        </w:trPr>
        <w:tc>
          <w:tcPr>
            <w:tcW w:w="360" w:type="dxa"/>
            <w:hideMark/>
          </w:tcPr>
          <w:p w14:paraId="007C98AA" w14:textId="77777777" w:rsidR="00000000" w:rsidRDefault="002F725F">
            <w:pPr>
              <w:rPr>
                <w:sz w:val="20"/>
                <w:szCs w:val="20"/>
              </w:rPr>
            </w:pPr>
          </w:p>
        </w:tc>
        <w:tc>
          <w:tcPr>
            <w:tcW w:w="360" w:type="dxa"/>
            <w:hideMark/>
          </w:tcPr>
          <w:p w14:paraId="46F9531A" w14:textId="77777777" w:rsidR="00000000" w:rsidRDefault="002F725F">
            <w:pPr>
              <w:rPr>
                <w:rFonts w:eastAsia="Times New Roman"/>
                <w:sz w:val="20"/>
                <w:szCs w:val="20"/>
              </w:rPr>
            </w:pPr>
            <w:r>
              <w:rPr>
                <w:rFonts w:eastAsia="Times New Roman"/>
                <w:sz w:val="20"/>
                <w:szCs w:val="20"/>
              </w:rPr>
              <w:t>e.</w:t>
            </w:r>
          </w:p>
        </w:tc>
        <w:tc>
          <w:tcPr>
            <w:tcW w:w="0" w:type="auto"/>
            <w:hideMark/>
          </w:tcPr>
          <w:p w14:paraId="65F5DFC4" w14:textId="77777777" w:rsidR="00000000" w:rsidRDefault="002F725F">
            <w:pPr>
              <w:jc w:val="both"/>
              <w:rPr>
                <w:rFonts w:eastAsia="Times New Roman"/>
                <w:sz w:val="20"/>
                <w:szCs w:val="20"/>
              </w:rPr>
            </w:pPr>
            <w:r>
              <w:rPr>
                <w:rFonts w:eastAsia="Times New Roman"/>
                <w:sz w:val="20"/>
                <w:szCs w:val="20"/>
              </w:rPr>
              <w:t xml:space="preserve">A letter dated April 24, 2026 from the </w:t>
            </w:r>
            <w:r>
              <w:rPr>
                <w:rFonts w:eastAsia="Times New Roman"/>
                <w:sz w:val="20"/>
                <w:szCs w:val="20"/>
              </w:rPr>
              <w:t>management of the Company, which made certain representations as to historical financial information for the Company, the Management Projections and the underlying assumptions of such projections (the “</w:t>
            </w:r>
            <w:r>
              <w:rPr>
                <w:rFonts w:eastAsia="Times New Roman"/>
                <w:sz w:val="20"/>
                <w:szCs w:val="20"/>
                <w:u w:val="single"/>
              </w:rPr>
              <w:t>Management Representation Letter</w:t>
            </w:r>
            <w:r>
              <w:rPr>
                <w:rFonts w:eastAsia="Times New Roman"/>
                <w:sz w:val="20"/>
                <w:szCs w:val="20"/>
              </w:rPr>
              <w:t>”); and</w:t>
            </w:r>
          </w:p>
        </w:tc>
      </w:tr>
    </w:tbl>
    <w:p w14:paraId="342B10E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360"/>
        <w:gridCol w:w="8640"/>
      </w:tblGrid>
      <w:tr w:rsidR="00000000" w14:paraId="2CF2647F" w14:textId="77777777">
        <w:trPr>
          <w:divId w:val="415980837"/>
          <w:tblCellSpacing w:w="0" w:type="dxa"/>
        </w:trPr>
        <w:tc>
          <w:tcPr>
            <w:tcW w:w="360" w:type="dxa"/>
            <w:hideMark/>
          </w:tcPr>
          <w:p w14:paraId="7334CAA7" w14:textId="77777777" w:rsidR="00000000" w:rsidRDefault="002F725F">
            <w:pPr>
              <w:rPr>
                <w:sz w:val="20"/>
                <w:szCs w:val="20"/>
              </w:rPr>
            </w:pPr>
          </w:p>
        </w:tc>
        <w:tc>
          <w:tcPr>
            <w:tcW w:w="360" w:type="dxa"/>
            <w:hideMark/>
          </w:tcPr>
          <w:p w14:paraId="4B4F6D37" w14:textId="77777777" w:rsidR="00000000" w:rsidRDefault="002F725F">
            <w:pPr>
              <w:rPr>
                <w:rFonts w:eastAsia="Times New Roman"/>
                <w:sz w:val="20"/>
                <w:szCs w:val="20"/>
              </w:rPr>
            </w:pPr>
            <w:r>
              <w:rPr>
                <w:rFonts w:eastAsia="Times New Roman"/>
                <w:sz w:val="20"/>
                <w:szCs w:val="20"/>
              </w:rPr>
              <w:t>f.</w:t>
            </w:r>
          </w:p>
        </w:tc>
        <w:tc>
          <w:tcPr>
            <w:tcW w:w="0" w:type="auto"/>
            <w:hideMark/>
          </w:tcPr>
          <w:p w14:paraId="411DBD42" w14:textId="77777777" w:rsidR="00000000" w:rsidRDefault="002F725F">
            <w:pPr>
              <w:jc w:val="both"/>
              <w:rPr>
                <w:rFonts w:eastAsia="Times New Roman"/>
                <w:sz w:val="20"/>
                <w:szCs w:val="20"/>
              </w:rPr>
            </w:pPr>
            <w:r>
              <w:rPr>
                <w:rFonts w:eastAsia="Times New Roman"/>
                <w:sz w:val="20"/>
                <w:szCs w:val="20"/>
              </w:rPr>
              <w:t>The Agreement and Plan of Merger dated November 4, 2025, and a draft of the Amendment No. 1 to Agreement and Plan of Merger dated April 13, 2026;</w:t>
            </w:r>
          </w:p>
        </w:tc>
      </w:tr>
    </w:tbl>
    <w:p w14:paraId="6A06159B"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2BF28665" w14:textId="77777777">
        <w:trPr>
          <w:divId w:val="415980837"/>
          <w:tblCellSpacing w:w="0" w:type="dxa"/>
        </w:trPr>
        <w:tc>
          <w:tcPr>
            <w:tcW w:w="6" w:type="dxa"/>
            <w:hideMark/>
          </w:tcPr>
          <w:p w14:paraId="0677C15D" w14:textId="77777777" w:rsidR="00000000" w:rsidRDefault="002F725F">
            <w:pPr>
              <w:rPr>
                <w:sz w:val="20"/>
                <w:szCs w:val="20"/>
              </w:rPr>
            </w:pPr>
          </w:p>
        </w:tc>
        <w:tc>
          <w:tcPr>
            <w:tcW w:w="360" w:type="dxa"/>
            <w:hideMark/>
          </w:tcPr>
          <w:p w14:paraId="3B41CF66" w14:textId="77777777" w:rsidR="00000000" w:rsidRDefault="002F725F">
            <w:pPr>
              <w:rPr>
                <w:rFonts w:eastAsia="Times New Roman"/>
                <w:sz w:val="20"/>
                <w:szCs w:val="20"/>
              </w:rPr>
            </w:pPr>
            <w:r>
              <w:rPr>
                <w:rFonts w:eastAsia="Times New Roman"/>
                <w:sz w:val="20"/>
                <w:szCs w:val="20"/>
              </w:rPr>
              <w:t>2.</w:t>
            </w:r>
          </w:p>
        </w:tc>
        <w:tc>
          <w:tcPr>
            <w:tcW w:w="0" w:type="auto"/>
            <w:hideMark/>
          </w:tcPr>
          <w:p w14:paraId="66BE41E3" w14:textId="77777777" w:rsidR="00000000" w:rsidRDefault="002F725F">
            <w:pPr>
              <w:jc w:val="both"/>
              <w:rPr>
                <w:rFonts w:eastAsia="Times New Roman"/>
                <w:sz w:val="20"/>
                <w:szCs w:val="20"/>
              </w:rPr>
            </w:pPr>
            <w:r>
              <w:rPr>
                <w:rFonts w:eastAsia="Times New Roman"/>
                <w:sz w:val="20"/>
                <w:szCs w:val="20"/>
              </w:rPr>
              <w:t>Discussed the information referred to above and the background and other elements of the Proposed Transaction with the management of the Company;</w:t>
            </w:r>
          </w:p>
        </w:tc>
      </w:tr>
    </w:tbl>
    <w:p w14:paraId="121A9DDF"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1788125F" w14:textId="77777777">
        <w:trPr>
          <w:divId w:val="415980837"/>
          <w:tblCellSpacing w:w="0" w:type="dxa"/>
        </w:trPr>
        <w:tc>
          <w:tcPr>
            <w:tcW w:w="6" w:type="dxa"/>
            <w:hideMark/>
          </w:tcPr>
          <w:p w14:paraId="22272AF0" w14:textId="77777777" w:rsidR="00000000" w:rsidRDefault="002F725F">
            <w:pPr>
              <w:rPr>
                <w:sz w:val="20"/>
                <w:szCs w:val="20"/>
              </w:rPr>
            </w:pPr>
          </w:p>
        </w:tc>
        <w:tc>
          <w:tcPr>
            <w:tcW w:w="360" w:type="dxa"/>
            <w:hideMark/>
          </w:tcPr>
          <w:p w14:paraId="53A6F222" w14:textId="77777777" w:rsidR="00000000" w:rsidRDefault="002F725F">
            <w:pPr>
              <w:rPr>
                <w:rFonts w:eastAsia="Times New Roman"/>
                <w:sz w:val="20"/>
                <w:szCs w:val="20"/>
              </w:rPr>
            </w:pPr>
            <w:r>
              <w:rPr>
                <w:rFonts w:eastAsia="Times New Roman"/>
                <w:sz w:val="20"/>
                <w:szCs w:val="20"/>
              </w:rPr>
              <w:t>3.</w:t>
            </w:r>
          </w:p>
        </w:tc>
        <w:tc>
          <w:tcPr>
            <w:tcW w:w="0" w:type="auto"/>
            <w:hideMark/>
          </w:tcPr>
          <w:p w14:paraId="46A3DDFD" w14:textId="77777777" w:rsidR="00000000" w:rsidRDefault="002F725F">
            <w:pPr>
              <w:jc w:val="both"/>
              <w:rPr>
                <w:rFonts w:eastAsia="Times New Roman"/>
                <w:sz w:val="20"/>
                <w:szCs w:val="20"/>
              </w:rPr>
            </w:pPr>
            <w:r>
              <w:rPr>
                <w:rFonts w:eastAsia="Times New Roman"/>
                <w:sz w:val="20"/>
                <w:szCs w:val="20"/>
              </w:rPr>
              <w:t>Discussed with the management of the Company its plans and intentions with respect to the management an</w:t>
            </w:r>
            <w:r>
              <w:rPr>
                <w:rFonts w:eastAsia="Times New Roman"/>
                <w:sz w:val="20"/>
                <w:szCs w:val="20"/>
              </w:rPr>
              <w:t>d operation of the Company’s business;</w:t>
            </w:r>
          </w:p>
        </w:tc>
      </w:tr>
    </w:tbl>
    <w:p w14:paraId="5A3589B9"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30225CBD" w14:textId="77777777">
        <w:trPr>
          <w:divId w:val="415980837"/>
          <w:tblCellSpacing w:w="0" w:type="dxa"/>
        </w:trPr>
        <w:tc>
          <w:tcPr>
            <w:tcW w:w="6" w:type="dxa"/>
            <w:hideMark/>
          </w:tcPr>
          <w:p w14:paraId="52F1556C" w14:textId="77777777" w:rsidR="00000000" w:rsidRDefault="002F725F">
            <w:pPr>
              <w:rPr>
                <w:sz w:val="20"/>
                <w:szCs w:val="20"/>
              </w:rPr>
            </w:pPr>
          </w:p>
        </w:tc>
        <w:tc>
          <w:tcPr>
            <w:tcW w:w="360" w:type="dxa"/>
            <w:hideMark/>
          </w:tcPr>
          <w:p w14:paraId="0F66FA90" w14:textId="77777777" w:rsidR="00000000" w:rsidRDefault="002F725F">
            <w:pPr>
              <w:rPr>
                <w:rFonts w:eastAsia="Times New Roman"/>
                <w:sz w:val="20"/>
                <w:szCs w:val="20"/>
              </w:rPr>
            </w:pPr>
            <w:r>
              <w:rPr>
                <w:rFonts w:eastAsia="Times New Roman"/>
                <w:sz w:val="20"/>
                <w:szCs w:val="20"/>
              </w:rPr>
              <w:t>4.</w:t>
            </w:r>
          </w:p>
        </w:tc>
        <w:tc>
          <w:tcPr>
            <w:tcW w:w="0" w:type="auto"/>
            <w:hideMark/>
          </w:tcPr>
          <w:p w14:paraId="7CA7101E" w14:textId="77777777" w:rsidR="00000000" w:rsidRDefault="002F725F">
            <w:pPr>
              <w:jc w:val="both"/>
              <w:rPr>
                <w:rFonts w:eastAsia="Times New Roman"/>
                <w:sz w:val="20"/>
                <w:szCs w:val="20"/>
              </w:rPr>
            </w:pPr>
            <w:r>
              <w:rPr>
                <w:rFonts w:eastAsia="Times New Roman"/>
                <w:sz w:val="20"/>
                <w:szCs w:val="20"/>
              </w:rPr>
              <w:t>Reviewed the historical trading price and trading volume of the Shares and the publicly traded securities of certain other companies that Duff &amp; Phelps deemed relevant;</w:t>
            </w:r>
          </w:p>
        </w:tc>
      </w:tr>
    </w:tbl>
    <w:p w14:paraId="314C92A8"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7C36B06A" w14:textId="77777777">
        <w:trPr>
          <w:divId w:val="415980837"/>
          <w:tblCellSpacing w:w="0" w:type="dxa"/>
        </w:trPr>
        <w:tc>
          <w:tcPr>
            <w:tcW w:w="0" w:type="pct"/>
            <w:hideMark/>
          </w:tcPr>
          <w:p w14:paraId="61A30242" w14:textId="77777777" w:rsidR="00000000" w:rsidRDefault="002F725F">
            <w:pPr>
              <w:rPr>
                <w:sz w:val="20"/>
                <w:szCs w:val="20"/>
              </w:rPr>
            </w:pPr>
          </w:p>
        </w:tc>
        <w:tc>
          <w:tcPr>
            <w:tcW w:w="360" w:type="dxa"/>
            <w:hideMark/>
          </w:tcPr>
          <w:p w14:paraId="459A85E7" w14:textId="77777777" w:rsidR="00000000" w:rsidRDefault="002F725F">
            <w:pPr>
              <w:rPr>
                <w:rFonts w:eastAsia="Times New Roman"/>
                <w:sz w:val="20"/>
                <w:szCs w:val="20"/>
              </w:rPr>
            </w:pPr>
            <w:r>
              <w:rPr>
                <w:rFonts w:eastAsia="Times New Roman"/>
                <w:sz w:val="20"/>
                <w:szCs w:val="20"/>
              </w:rPr>
              <w:t>5.</w:t>
            </w:r>
          </w:p>
        </w:tc>
        <w:tc>
          <w:tcPr>
            <w:tcW w:w="0" w:type="auto"/>
            <w:hideMark/>
          </w:tcPr>
          <w:p w14:paraId="540FC649" w14:textId="77777777" w:rsidR="00000000" w:rsidRDefault="002F725F">
            <w:pPr>
              <w:jc w:val="both"/>
              <w:rPr>
                <w:rFonts w:eastAsia="Times New Roman"/>
                <w:sz w:val="20"/>
                <w:szCs w:val="20"/>
              </w:rPr>
            </w:pPr>
            <w:r>
              <w:rPr>
                <w:rFonts w:eastAsia="Times New Roman"/>
                <w:sz w:val="20"/>
                <w:szCs w:val="20"/>
              </w:rPr>
              <w:t>Performed certain valuation and co</w:t>
            </w:r>
            <w:r>
              <w:rPr>
                <w:rFonts w:eastAsia="Times New Roman"/>
                <w:sz w:val="20"/>
                <w:szCs w:val="20"/>
              </w:rPr>
              <w:t>mparative analyses using generally accepted valuation and analytical techniques, including a discounted cash flow analysis, an analysis of selected public companies that Duff &amp; Phelps deemed relevant, and an analysis of selected transactions that Duff &amp; Ph</w:t>
            </w:r>
            <w:r>
              <w:rPr>
                <w:rFonts w:eastAsia="Times New Roman"/>
                <w:sz w:val="20"/>
                <w:szCs w:val="20"/>
              </w:rPr>
              <w:t>elps deemed relevant; and</w:t>
            </w:r>
          </w:p>
        </w:tc>
      </w:tr>
    </w:tbl>
    <w:p w14:paraId="591AC0CD"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3B9E3DD6" w14:textId="77777777">
        <w:trPr>
          <w:divId w:val="415980837"/>
          <w:tblCellSpacing w:w="0" w:type="dxa"/>
        </w:trPr>
        <w:tc>
          <w:tcPr>
            <w:tcW w:w="6" w:type="dxa"/>
            <w:hideMark/>
          </w:tcPr>
          <w:p w14:paraId="726360B2" w14:textId="77777777" w:rsidR="00000000" w:rsidRDefault="002F725F">
            <w:pPr>
              <w:rPr>
                <w:sz w:val="20"/>
                <w:szCs w:val="20"/>
              </w:rPr>
            </w:pPr>
          </w:p>
        </w:tc>
        <w:tc>
          <w:tcPr>
            <w:tcW w:w="360" w:type="dxa"/>
            <w:hideMark/>
          </w:tcPr>
          <w:p w14:paraId="69817FE7" w14:textId="77777777" w:rsidR="00000000" w:rsidRDefault="002F725F">
            <w:pPr>
              <w:rPr>
                <w:rFonts w:eastAsia="Times New Roman"/>
                <w:sz w:val="20"/>
                <w:szCs w:val="20"/>
              </w:rPr>
            </w:pPr>
            <w:r>
              <w:rPr>
                <w:rFonts w:eastAsia="Times New Roman"/>
                <w:sz w:val="20"/>
                <w:szCs w:val="20"/>
              </w:rPr>
              <w:t>6.</w:t>
            </w:r>
          </w:p>
        </w:tc>
        <w:tc>
          <w:tcPr>
            <w:tcW w:w="0" w:type="auto"/>
            <w:hideMark/>
          </w:tcPr>
          <w:p w14:paraId="2814A8D8" w14:textId="77777777" w:rsidR="00000000" w:rsidRDefault="002F725F">
            <w:pPr>
              <w:jc w:val="both"/>
              <w:rPr>
                <w:rFonts w:eastAsia="Times New Roman"/>
                <w:sz w:val="20"/>
                <w:szCs w:val="20"/>
              </w:rPr>
            </w:pPr>
            <w:r>
              <w:rPr>
                <w:rFonts w:eastAsia="Times New Roman"/>
                <w:sz w:val="20"/>
                <w:szCs w:val="20"/>
              </w:rPr>
              <w:t>Conducted such other analyses and considered such other factors as Duff &amp; Phelps deemed appropriate.</w:t>
            </w:r>
          </w:p>
        </w:tc>
      </w:tr>
    </w:tbl>
    <w:p w14:paraId="40B70CA4" w14:textId="77777777" w:rsidR="00000000" w:rsidRDefault="002F725F">
      <w:pPr>
        <w:pStyle w:val="NormalWeb"/>
        <w:spacing w:before="0" w:beforeAutospacing="0" w:after="0" w:afterAutospacing="0"/>
        <w:divId w:val="415980837"/>
        <w:rPr>
          <w:sz w:val="20"/>
          <w:szCs w:val="20"/>
        </w:rPr>
      </w:pPr>
      <w:r>
        <w:rPr>
          <w:sz w:val="20"/>
          <w:szCs w:val="20"/>
        </w:rPr>
        <w:t> </w:t>
      </w:r>
    </w:p>
    <w:p w14:paraId="496CB782" w14:textId="77777777" w:rsidR="00000000" w:rsidRDefault="002F725F">
      <w:pPr>
        <w:pStyle w:val="NormalWeb"/>
        <w:spacing w:before="0" w:beforeAutospacing="0" w:after="0" w:afterAutospacing="0"/>
        <w:jc w:val="center"/>
        <w:divId w:val="1836457772"/>
        <w:rPr>
          <w:sz w:val="20"/>
          <w:szCs w:val="20"/>
        </w:rPr>
      </w:pPr>
      <w:r>
        <w:rPr>
          <w:sz w:val="20"/>
          <w:szCs w:val="20"/>
        </w:rPr>
        <w:t>C</w:t>
      </w:r>
      <w:r>
        <w:rPr>
          <w:sz w:val="20"/>
          <w:szCs w:val="20"/>
        </w:rPr>
        <w:t>-</w:t>
      </w:r>
      <w:r>
        <w:rPr>
          <w:sz w:val="20"/>
          <w:szCs w:val="20"/>
        </w:rPr>
        <w:t>2</w:t>
      </w:r>
    </w:p>
    <w:p w14:paraId="6AC8DE73" w14:textId="77777777" w:rsidR="00000000" w:rsidRDefault="002F725F">
      <w:pPr>
        <w:pStyle w:val="NormalWeb"/>
        <w:spacing w:before="0" w:beforeAutospacing="0" w:after="0" w:afterAutospacing="0"/>
        <w:divId w:val="2107071335"/>
        <w:rPr>
          <w:sz w:val="20"/>
          <w:szCs w:val="20"/>
        </w:rPr>
      </w:pPr>
      <w:r>
        <w:rPr>
          <w:sz w:val="20"/>
          <w:szCs w:val="20"/>
        </w:rPr>
        <w:t> </w:t>
      </w:r>
    </w:p>
    <w:p w14:paraId="370AD505" w14:textId="77777777" w:rsidR="00000000" w:rsidRDefault="002F725F">
      <w:pPr>
        <w:pStyle w:val="NormalWeb"/>
        <w:spacing w:before="0" w:beforeAutospacing="0" w:after="0" w:afterAutospacing="0"/>
        <w:divId w:val="415980837"/>
        <w:rPr>
          <w:sz w:val="20"/>
          <w:szCs w:val="20"/>
        </w:rPr>
      </w:pPr>
      <w:r>
        <w:rPr>
          <w:sz w:val="20"/>
          <w:szCs w:val="20"/>
        </w:rPr>
        <w:t> </w:t>
      </w:r>
    </w:p>
    <w:p w14:paraId="359AE261" w14:textId="77777777" w:rsidR="00000000" w:rsidRDefault="002F725F">
      <w:pPr>
        <w:pStyle w:val="NormalWeb"/>
        <w:spacing w:before="0" w:beforeAutospacing="0" w:after="0" w:afterAutospacing="0"/>
        <w:jc w:val="both"/>
        <w:divId w:val="415980837"/>
        <w:rPr>
          <w:sz w:val="20"/>
          <w:szCs w:val="20"/>
        </w:rPr>
      </w:pPr>
      <w:r>
        <w:rPr>
          <w:b/>
          <w:bCs/>
          <w:sz w:val="20"/>
          <w:szCs w:val="20"/>
          <w:u w:val="single"/>
        </w:rPr>
        <w:t>Assumptions</w:t>
      </w:r>
    </w:p>
    <w:p w14:paraId="11EB7A9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1CB5E35" w14:textId="77777777" w:rsidR="00000000" w:rsidRDefault="002F725F">
      <w:pPr>
        <w:pStyle w:val="NormalWeb"/>
        <w:spacing w:before="0" w:beforeAutospacing="0" w:after="0" w:afterAutospacing="0"/>
        <w:jc w:val="both"/>
        <w:divId w:val="415980837"/>
        <w:rPr>
          <w:sz w:val="20"/>
          <w:szCs w:val="20"/>
        </w:rPr>
      </w:pPr>
      <w:r>
        <w:rPr>
          <w:sz w:val="20"/>
          <w:szCs w:val="20"/>
        </w:rPr>
        <w:t xml:space="preserve">In performing its analyses and rendering this </w:t>
      </w:r>
      <w:r>
        <w:rPr>
          <w:sz w:val="20"/>
          <w:szCs w:val="20"/>
        </w:rPr>
        <w:t>Opinion with respect to the Proposed Transaction, Duff &amp; Phelps, with the consent of the Company and the Special Committee:</w:t>
      </w:r>
    </w:p>
    <w:p w14:paraId="41E9DF2F" w14:textId="77777777" w:rsidR="00000000" w:rsidRDefault="002F725F">
      <w:pPr>
        <w:pStyle w:val="NormalWeb"/>
        <w:spacing w:before="0" w:beforeAutospacing="0" w:after="0" w:afterAutospacing="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4F29BA1A" w14:textId="77777777">
        <w:trPr>
          <w:divId w:val="415980837"/>
          <w:tblCellSpacing w:w="0" w:type="dxa"/>
        </w:trPr>
        <w:tc>
          <w:tcPr>
            <w:tcW w:w="0" w:type="pct"/>
            <w:hideMark/>
          </w:tcPr>
          <w:p w14:paraId="4423F64D" w14:textId="77777777" w:rsidR="00000000" w:rsidRDefault="002F725F">
            <w:pPr>
              <w:rPr>
                <w:sz w:val="20"/>
                <w:szCs w:val="20"/>
              </w:rPr>
            </w:pPr>
          </w:p>
        </w:tc>
        <w:tc>
          <w:tcPr>
            <w:tcW w:w="360" w:type="dxa"/>
            <w:hideMark/>
          </w:tcPr>
          <w:p w14:paraId="32ACB4DA" w14:textId="77777777" w:rsidR="00000000" w:rsidRDefault="002F725F">
            <w:pPr>
              <w:rPr>
                <w:rFonts w:eastAsia="Times New Roman"/>
                <w:sz w:val="20"/>
                <w:szCs w:val="20"/>
              </w:rPr>
            </w:pPr>
            <w:r>
              <w:rPr>
                <w:rFonts w:eastAsia="Times New Roman"/>
                <w:sz w:val="20"/>
                <w:szCs w:val="20"/>
              </w:rPr>
              <w:t>1.</w:t>
            </w:r>
          </w:p>
        </w:tc>
        <w:tc>
          <w:tcPr>
            <w:tcW w:w="0" w:type="auto"/>
            <w:hideMark/>
          </w:tcPr>
          <w:p w14:paraId="26A2D09C" w14:textId="77777777" w:rsidR="00000000" w:rsidRDefault="002F725F">
            <w:pPr>
              <w:jc w:val="both"/>
              <w:rPr>
                <w:rFonts w:eastAsia="Times New Roman"/>
                <w:sz w:val="20"/>
                <w:szCs w:val="20"/>
              </w:rPr>
            </w:pPr>
            <w:r>
              <w:rPr>
                <w:rFonts w:eastAsia="Times New Roman"/>
                <w:sz w:val="20"/>
                <w:szCs w:val="20"/>
              </w:rPr>
              <w:t>Relied upon the accuracy, completeness, and fair presentation of all information, data, advice, opinions and representations o</w:t>
            </w:r>
            <w:r>
              <w:rPr>
                <w:rFonts w:eastAsia="Times New Roman"/>
                <w:sz w:val="20"/>
                <w:szCs w:val="20"/>
              </w:rPr>
              <w:t>btained from public sources or provided to it from private sources, including the management of the Company, and did not independently verify such information;</w:t>
            </w:r>
          </w:p>
        </w:tc>
      </w:tr>
    </w:tbl>
    <w:p w14:paraId="0ED55196"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505367C5" w14:textId="77777777">
        <w:trPr>
          <w:divId w:val="415980837"/>
          <w:tblCellSpacing w:w="0" w:type="dxa"/>
        </w:trPr>
        <w:tc>
          <w:tcPr>
            <w:tcW w:w="0" w:type="pct"/>
            <w:hideMark/>
          </w:tcPr>
          <w:p w14:paraId="28A7AEAD" w14:textId="77777777" w:rsidR="00000000" w:rsidRDefault="002F725F">
            <w:pPr>
              <w:rPr>
                <w:sz w:val="20"/>
                <w:szCs w:val="20"/>
              </w:rPr>
            </w:pPr>
          </w:p>
        </w:tc>
        <w:tc>
          <w:tcPr>
            <w:tcW w:w="360" w:type="dxa"/>
            <w:hideMark/>
          </w:tcPr>
          <w:p w14:paraId="43E4EBC1" w14:textId="77777777" w:rsidR="00000000" w:rsidRDefault="002F725F">
            <w:pPr>
              <w:rPr>
                <w:rFonts w:eastAsia="Times New Roman"/>
                <w:sz w:val="20"/>
                <w:szCs w:val="20"/>
              </w:rPr>
            </w:pPr>
            <w:r>
              <w:rPr>
                <w:rFonts w:eastAsia="Times New Roman"/>
                <w:sz w:val="20"/>
                <w:szCs w:val="20"/>
              </w:rPr>
              <w:t>2.</w:t>
            </w:r>
          </w:p>
        </w:tc>
        <w:tc>
          <w:tcPr>
            <w:tcW w:w="0" w:type="auto"/>
            <w:hideMark/>
          </w:tcPr>
          <w:p w14:paraId="40351AD6" w14:textId="77777777" w:rsidR="00000000" w:rsidRDefault="002F725F">
            <w:pPr>
              <w:jc w:val="both"/>
              <w:rPr>
                <w:rFonts w:eastAsia="Times New Roman"/>
                <w:sz w:val="20"/>
                <w:szCs w:val="20"/>
              </w:rPr>
            </w:pPr>
            <w:r>
              <w:rPr>
                <w:rFonts w:eastAsia="Times New Roman"/>
                <w:sz w:val="20"/>
                <w:szCs w:val="20"/>
              </w:rPr>
              <w:t>Relied upon the fact that the Special Committee, the Board of Directors and the Company h</w:t>
            </w:r>
            <w:r>
              <w:rPr>
                <w:rFonts w:eastAsia="Times New Roman"/>
                <w:sz w:val="20"/>
                <w:szCs w:val="20"/>
              </w:rPr>
              <w:t>ave been advised by counsel as to all legal matters with respect to the Proposed Transaction, including whether all procedures required by law to be taken in connection with the Proposed Transaction have been duly, validly and timely taken, and did not ind</w:t>
            </w:r>
            <w:r>
              <w:rPr>
                <w:rFonts w:eastAsia="Times New Roman"/>
                <w:sz w:val="20"/>
                <w:szCs w:val="20"/>
              </w:rPr>
              <w:t>ependently verify such information;</w:t>
            </w:r>
          </w:p>
        </w:tc>
      </w:tr>
    </w:tbl>
    <w:p w14:paraId="2AC0DD37"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59DC8F39" w14:textId="77777777">
        <w:trPr>
          <w:divId w:val="415980837"/>
          <w:tblCellSpacing w:w="0" w:type="dxa"/>
        </w:trPr>
        <w:tc>
          <w:tcPr>
            <w:tcW w:w="0" w:type="pct"/>
            <w:hideMark/>
          </w:tcPr>
          <w:p w14:paraId="43F348FE" w14:textId="77777777" w:rsidR="00000000" w:rsidRDefault="002F725F">
            <w:pPr>
              <w:rPr>
                <w:sz w:val="20"/>
                <w:szCs w:val="20"/>
              </w:rPr>
            </w:pPr>
          </w:p>
        </w:tc>
        <w:tc>
          <w:tcPr>
            <w:tcW w:w="360" w:type="dxa"/>
            <w:hideMark/>
          </w:tcPr>
          <w:p w14:paraId="67441316" w14:textId="77777777" w:rsidR="00000000" w:rsidRDefault="002F725F">
            <w:pPr>
              <w:rPr>
                <w:rFonts w:eastAsia="Times New Roman"/>
                <w:sz w:val="20"/>
                <w:szCs w:val="20"/>
              </w:rPr>
            </w:pPr>
            <w:r>
              <w:rPr>
                <w:rFonts w:eastAsia="Times New Roman"/>
                <w:sz w:val="20"/>
                <w:szCs w:val="20"/>
              </w:rPr>
              <w:t>3.</w:t>
            </w:r>
          </w:p>
        </w:tc>
        <w:tc>
          <w:tcPr>
            <w:tcW w:w="0" w:type="auto"/>
            <w:hideMark/>
          </w:tcPr>
          <w:p w14:paraId="399D1287" w14:textId="77777777" w:rsidR="00000000" w:rsidRDefault="002F725F">
            <w:pPr>
              <w:jc w:val="both"/>
              <w:rPr>
                <w:rFonts w:eastAsia="Times New Roman"/>
                <w:sz w:val="20"/>
                <w:szCs w:val="20"/>
              </w:rPr>
            </w:pPr>
            <w:r>
              <w:rPr>
                <w:rFonts w:eastAsia="Times New Roman"/>
                <w:sz w:val="20"/>
                <w:szCs w:val="20"/>
              </w:rPr>
              <w:t xml:space="preserve">Assumed that the Management Projections and any other estimates, evaluations, forecasts and projections furnished to Duff &amp; </w:t>
            </w:r>
            <w:r>
              <w:rPr>
                <w:rFonts w:eastAsia="Times New Roman"/>
                <w:sz w:val="20"/>
                <w:szCs w:val="20"/>
              </w:rPr>
              <w:t xml:space="preserve">Phelps were reasonably prepared and based upon the best currently available information </w:t>
            </w:r>
            <w:r>
              <w:rPr>
                <w:rFonts w:eastAsia="Times New Roman"/>
                <w:sz w:val="20"/>
                <w:szCs w:val="20"/>
              </w:rPr>
              <w:lastRenderedPageBreak/>
              <w:t>and good faith judgment of the person(s) furnishing the same, and Duff &amp; Phelps expresses no opinion with respect to such estimates, evaluations, forecasts or projectio</w:t>
            </w:r>
            <w:r>
              <w:rPr>
                <w:rFonts w:eastAsia="Times New Roman"/>
                <w:sz w:val="20"/>
                <w:szCs w:val="20"/>
              </w:rPr>
              <w:t>ns, including, without limitation, the Management Projections, or the underlying assumptions thereof;</w:t>
            </w:r>
          </w:p>
        </w:tc>
      </w:tr>
    </w:tbl>
    <w:p w14:paraId="7D6F50CD" w14:textId="77777777" w:rsidR="00000000" w:rsidRDefault="002F725F">
      <w:pPr>
        <w:pStyle w:val="NormalWeb"/>
        <w:spacing w:before="0" w:beforeAutospacing="0" w:after="0" w:afterAutospacing="0"/>
        <w:divId w:val="415980837"/>
        <w:rPr>
          <w:sz w:val="20"/>
          <w:szCs w:val="20"/>
        </w:rPr>
      </w:pPr>
      <w:r>
        <w:rPr>
          <w:sz w:val="20"/>
          <w:szCs w:val="20"/>
        </w:rPr>
        <w:lastRenderedPageBreak/>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576864C9" w14:textId="77777777">
        <w:trPr>
          <w:divId w:val="415980837"/>
          <w:tblCellSpacing w:w="0" w:type="dxa"/>
        </w:trPr>
        <w:tc>
          <w:tcPr>
            <w:tcW w:w="0" w:type="pct"/>
            <w:hideMark/>
          </w:tcPr>
          <w:p w14:paraId="327BB32C" w14:textId="77777777" w:rsidR="00000000" w:rsidRDefault="002F725F">
            <w:pPr>
              <w:rPr>
                <w:sz w:val="20"/>
                <w:szCs w:val="20"/>
              </w:rPr>
            </w:pPr>
          </w:p>
        </w:tc>
        <w:tc>
          <w:tcPr>
            <w:tcW w:w="360" w:type="dxa"/>
            <w:hideMark/>
          </w:tcPr>
          <w:p w14:paraId="4E956BA3" w14:textId="77777777" w:rsidR="00000000" w:rsidRDefault="002F725F">
            <w:pPr>
              <w:rPr>
                <w:rFonts w:eastAsia="Times New Roman"/>
                <w:sz w:val="20"/>
                <w:szCs w:val="20"/>
              </w:rPr>
            </w:pPr>
            <w:r>
              <w:rPr>
                <w:rFonts w:eastAsia="Times New Roman"/>
                <w:sz w:val="20"/>
                <w:szCs w:val="20"/>
              </w:rPr>
              <w:t>4.</w:t>
            </w:r>
          </w:p>
        </w:tc>
        <w:tc>
          <w:tcPr>
            <w:tcW w:w="0" w:type="auto"/>
            <w:hideMark/>
          </w:tcPr>
          <w:p w14:paraId="554F1F16" w14:textId="77777777" w:rsidR="00000000" w:rsidRDefault="002F725F">
            <w:pPr>
              <w:jc w:val="both"/>
              <w:rPr>
                <w:rFonts w:eastAsia="Times New Roman"/>
                <w:sz w:val="20"/>
                <w:szCs w:val="20"/>
              </w:rPr>
            </w:pPr>
            <w:r>
              <w:rPr>
                <w:rFonts w:eastAsia="Times New Roman"/>
                <w:sz w:val="20"/>
                <w:szCs w:val="20"/>
              </w:rPr>
              <w:t>Assumed that information supplied and representations made by the management of the Company are substantially accurate regarding the Company and th</w:t>
            </w:r>
            <w:r>
              <w:rPr>
                <w:rFonts w:eastAsia="Times New Roman"/>
                <w:sz w:val="20"/>
                <w:szCs w:val="20"/>
              </w:rPr>
              <w:t>e Proposed Transaction;</w:t>
            </w:r>
          </w:p>
        </w:tc>
      </w:tr>
    </w:tbl>
    <w:p w14:paraId="5AEF4C08"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06355141" w14:textId="77777777">
        <w:trPr>
          <w:divId w:val="415980837"/>
          <w:tblCellSpacing w:w="0" w:type="dxa"/>
        </w:trPr>
        <w:tc>
          <w:tcPr>
            <w:tcW w:w="6" w:type="dxa"/>
            <w:hideMark/>
          </w:tcPr>
          <w:p w14:paraId="2944C705" w14:textId="77777777" w:rsidR="00000000" w:rsidRDefault="002F725F">
            <w:pPr>
              <w:rPr>
                <w:sz w:val="20"/>
                <w:szCs w:val="20"/>
              </w:rPr>
            </w:pPr>
          </w:p>
        </w:tc>
        <w:tc>
          <w:tcPr>
            <w:tcW w:w="360" w:type="dxa"/>
            <w:hideMark/>
          </w:tcPr>
          <w:p w14:paraId="4E93C4CF" w14:textId="77777777" w:rsidR="00000000" w:rsidRDefault="002F725F">
            <w:pPr>
              <w:rPr>
                <w:rFonts w:eastAsia="Times New Roman"/>
                <w:sz w:val="20"/>
                <w:szCs w:val="20"/>
              </w:rPr>
            </w:pPr>
            <w:r>
              <w:rPr>
                <w:rFonts w:eastAsia="Times New Roman"/>
                <w:sz w:val="20"/>
                <w:szCs w:val="20"/>
              </w:rPr>
              <w:t>5.</w:t>
            </w:r>
          </w:p>
        </w:tc>
        <w:tc>
          <w:tcPr>
            <w:tcW w:w="0" w:type="auto"/>
            <w:hideMark/>
          </w:tcPr>
          <w:p w14:paraId="15F229AB" w14:textId="77777777" w:rsidR="00000000" w:rsidRDefault="002F725F">
            <w:pPr>
              <w:jc w:val="both"/>
              <w:rPr>
                <w:rFonts w:eastAsia="Times New Roman"/>
                <w:sz w:val="20"/>
                <w:szCs w:val="20"/>
              </w:rPr>
            </w:pPr>
            <w:r>
              <w:rPr>
                <w:rFonts w:eastAsia="Times New Roman"/>
                <w:sz w:val="20"/>
                <w:szCs w:val="20"/>
              </w:rPr>
              <w:t>Assumed that the representations and warranties made in the Merger Agreement and the Management Representation Letter are substantially accurate;</w:t>
            </w:r>
          </w:p>
        </w:tc>
      </w:tr>
    </w:tbl>
    <w:p w14:paraId="467ACCB5"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0E9E92BE" w14:textId="77777777">
        <w:trPr>
          <w:divId w:val="415980837"/>
          <w:tblCellSpacing w:w="0" w:type="dxa"/>
        </w:trPr>
        <w:tc>
          <w:tcPr>
            <w:tcW w:w="0" w:type="pct"/>
            <w:hideMark/>
          </w:tcPr>
          <w:p w14:paraId="700C0807" w14:textId="77777777" w:rsidR="00000000" w:rsidRDefault="002F725F">
            <w:pPr>
              <w:rPr>
                <w:sz w:val="20"/>
                <w:szCs w:val="20"/>
              </w:rPr>
            </w:pPr>
          </w:p>
        </w:tc>
        <w:tc>
          <w:tcPr>
            <w:tcW w:w="360" w:type="dxa"/>
            <w:hideMark/>
          </w:tcPr>
          <w:p w14:paraId="189CF14D" w14:textId="77777777" w:rsidR="00000000" w:rsidRDefault="002F725F">
            <w:pPr>
              <w:rPr>
                <w:rFonts w:eastAsia="Times New Roman"/>
                <w:sz w:val="20"/>
                <w:szCs w:val="20"/>
              </w:rPr>
            </w:pPr>
            <w:r>
              <w:rPr>
                <w:rFonts w:eastAsia="Times New Roman"/>
                <w:sz w:val="20"/>
                <w:szCs w:val="20"/>
              </w:rPr>
              <w:t>6.</w:t>
            </w:r>
          </w:p>
        </w:tc>
        <w:tc>
          <w:tcPr>
            <w:tcW w:w="0" w:type="auto"/>
            <w:hideMark/>
          </w:tcPr>
          <w:p w14:paraId="57E1DB15" w14:textId="77777777" w:rsidR="00000000" w:rsidRDefault="002F725F">
            <w:pPr>
              <w:jc w:val="both"/>
              <w:rPr>
                <w:rFonts w:eastAsia="Times New Roman"/>
                <w:sz w:val="20"/>
                <w:szCs w:val="20"/>
              </w:rPr>
            </w:pPr>
            <w:r>
              <w:rPr>
                <w:rFonts w:eastAsia="Times New Roman"/>
                <w:sz w:val="20"/>
                <w:szCs w:val="20"/>
              </w:rPr>
              <w:t>Assumed that the final versions of all documents reviewed by Duff &amp; Phel</w:t>
            </w:r>
            <w:r>
              <w:rPr>
                <w:rFonts w:eastAsia="Times New Roman"/>
                <w:sz w:val="20"/>
                <w:szCs w:val="20"/>
              </w:rPr>
              <w:t>ps in draft form conform in all material respects to the drafts reviewed;</w:t>
            </w:r>
          </w:p>
        </w:tc>
      </w:tr>
    </w:tbl>
    <w:p w14:paraId="74703BE4"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1FA7B38D" w14:textId="77777777">
        <w:trPr>
          <w:divId w:val="415980837"/>
          <w:tblCellSpacing w:w="0" w:type="dxa"/>
        </w:trPr>
        <w:tc>
          <w:tcPr>
            <w:tcW w:w="0" w:type="pct"/>
            <w:hideMark/>
          </w:tcPr>
          <w:p w14:paraId="10B694DD" w14:textId="77777777" w:rsidR="00000000" w:rsidRDefault="002F725F">
            <w:pPr>
              <w:rPr>
                <w:sz w:val="20"/>
                <w:szCs w:val="20"/>
              </w:rPr>
            </w:pPr>
          </w:p>
        </w:tc>
        <w:tc>
          <w:tcPr>
            <w:tcW w:w="360" w:type="dxa"/>
            <w:hideMark/>
          </w:tcPr>
          <w:p w14:paraId="47799FA7" w14:textId="77777777" w:rsidR="00000000" w:rsidRDefault="002F725F">
            <w:pPr>
              <w:rPr>
                <w:rFonts w:eastAsia="Times New Roman"/>
                <w:sz w:val="20"/>
                <w:szCs w:val="20"/>
              </w:rPr>
            </w:pPr>
            <w:r>
              <w:rPr>
                <w:rFonts w:eastAsia="Times New Roman"/>
                <w:sz w:val="20"/>
                <w:szCs w:val="20"/>
              </w:rPr>
              <w:t>7.</w:t>
            </w:r>
          </w:p>
        </w:tc>
        <w:tc>
          <w:tcPr>
            <w:tcW w:w="0" w:type="auto"/>
            <w:hideMark/>
          </w:tcPr>
          <w:p w14:paraId="1FEE9A71" w14:textId="77777777" w:rsidR="00000000" w:rsidRDefault="002F725F">
            <w:pPr>
              <w:jc w:val="both"/>
              <w:rPr>
                <w:rFonts w:eastAsia="Times New Roman"/>
                <w:sz w:val="20"/>
                <w:szCs w:val="20"/>
              </w:rPr>
            </w:pPr>
            <w:r>
              <w:rPr>
                <w:rFonts w:eastAsia="Times New Roman"/>
                <w:sz w:val="20"/>
                <w:szCs w:val="20"/>
              </w:rPr>
              <w:t xml:space="preserve">Assumed that there has been no material change in the assets, liabilities (contingent or otherwise), financial condition, results of operations, business, or prospects of the </w:t>
            </w:r>
            <w:r>
              <w:rPr>
                <w:rFonts w:eastAsia="Times New Roman"/>
                <w:sz w:val="20"/>
                <w:szCs w:val="20"/>
              </w:rPr>
              <w:t>Company since the date of the most recent financial statements and other information made available to Duff &amp; Phelps, and that there is no information or facts that would make the information reviewed by Duff &amp; Phelps incomplete or misleading;</w:t>
            </w:r>
          </w:p>
        </w:tc>
      </w:tr>
    </w:tbl>
    <w:p w14:paraId="7F9FDB2C"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7AFC374A" w14:textId="77777777">
        <w:trPr>
          <w:divId w:val="415980837"/>
          <w:tblCellSpacing w:w="0" w:type="dxa"/>
        </w:trPr>
        <w:tc>
          <w:tcPr>
            <w:tcW w:w="0" w:type="pct"/>
            <w:hideMark/>
          </w:tcPr>
          <w:p w14:paraId="32A8149B" w14:textId="77777777" w:rsidR="00000000" w:rsidRDefault="002F725F">
            <w:pPr>
              <w:rPr>
                <w:sz w:val="20"/>
                <w:szCs w:val="20"/>
              </w:rPr>
            </w:pPr>
          </w:p>
        </w:tc>
        <w:tc>
          <w:tcPr>
            <w:tcW w:w="360" w:type="dxa"/>
            <w:hideMark/>
          </w:tcPr>
          <w:p w14:paraId="752B4E41" w14:textId="77777777" w:rsidR="00000000" w:rsidRDefault="002F725F">
            <w:pPr>
              <w:rPr>
                <w:rFonts w:eastAsia="Times New Roman"/>
                <w:sz w:val="20"/>
                <w:szCs w:val="20"/>
              </w:rPr>
            </w:pPr>
            <w:r>
              <w:rPr>
                <w:rFonts w:eastAsia="Times New Roman"/>
                <w:sz w:val="20"/>
                <w:szCs w:val="20"/>
              </w:rPr>
              <w:t>8.</w:t>
            </w:r>
          </w:p>
        </w:tc>
        <w:tc>
          <w:tcPr>
            <w:tcW w:w="0" w:type="auto"/>
            <w:hideMark/>
          </w:tcPr>
          <w:p w14:paraId="19660C8D" w14:textId="77777777" w:rsidR="00000000" w:rsidRDefault="002F725F">
            <w:pPr>
              <w:jc w:val="both"/>
              <w:rPr>
                <w:rFonts w:eastAsia="Times New Roman"/>
                <w:sz w:val="20"/>
                <w:szCs w:val="20"/>
              </w:rPr>
            </w:pPr>
            <w:r>
              <w:rPr>
                <w:rFonts w:eastAsia="Times New Roman"/>
                <w:sz w:val="20"/>
                <w:szCs w:val="20"/>
              </w:rPr>
              <w:t>Assumed that all of the conditions required to implement the Proposed Transaction will be satisfied and that the Proposed Transaction will be completed in accordance with the Merger Agreement without any amendments thereto or any waivers of any terms or co</w:t>
            </w:r>
            <w:r>
              <w:rPr>
                <w:rFonts w:eastAsia="Times New Roman"/>
                <w:sz w:val="20"/>
                <w:szCs w:val="20"/>
              </w:rPr>
              <w:t>nditions thereof;</w:t>
            </w:r>
          </w:p>
        </w:tc>
      </w:tr>
    </w:tbl>
    <w:p w14:paraId="38E20952"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63021EF7" w14:textId="77777777">
        <w:trPr>
          <w:divId w:val="415980837"/>
          <w:tblCellSpacing w:w="0" w:type="dxa"/>
        </w:trPr>
        <w:tc>
          <w:tcPr>
            <w:tcW w:w="0" w:type="pct"/>
            <w:hideMark/>
          </w:tcPr>
          <w:p w14:paraId="528C56F2" w14:textId="77777777" w:rsidR="00000000" w:rsidRDefault="002F725F">
            <w:pPr>
              <w:rPr>
                <w:sz w:val="20"/>
                <w:szCs w:val="20"/>
              </w:rPr>
            </w:pPr>
          </w:p>
        </w:tc>
        <w:tc>
          <w:tcPr>
            <w:tcW w:w="360" w:type="dxa"/>
            <w:hideMark/>
          </w:tcPr>
          <w:p w14:paraId="6CF058AE" w14:textId="77777777" w:rsidR="00000000" w:rsidRDefault="002F725F">
            <w:pPr>
              <w:rPr>
                <w:rFonts w:eastAsia="Times New Roman"/>
                <w:sz w:val="20"/>
                <w:szCs w:val="20"/>
              </w:rPr>
            </w:pPr>
            <w:r>
              <w:rPr>
                <w:rFonts w:eastAsia="Times New Roman"/>
                <w:sz w:val="20"/>
                <w:szCs w:val="20"/>
              </w:rPr>
              <w:t>9.</w:t>
            </w:r>
          </w:p>
        </w:tc>
        <w:tc>
          <w:tcPr>
            <w:tcW w:w="0" w:type="auto"/>
            <w:hideMark/>
          </w:tcPr>
          <w:p w14:paraId="5B86F216" w14:textId="77777777" w:rsidR="00000000" w:rsidRDefault="002F725F">
            <w:pPr>
              <w:jc w:val="both"/>
              <w:rPr>
                <w:rFonts w:eastAsia="Times New Roman"/>
                <w:sz w:val="20"/>
                <w:szCs w:val="20"/>
              </w:rPr>
            </w:pPr>
            <w:r>
              <w:rPr>
                <w:rFonts w:eastAsia="Times New Roman"/>
                <w:sz w:val="20"/>
                <w:szCs w:val="20"/>
              </w:rPr>
              <w:t>Assumed that all governmental, regulatory or other consents and approvals necessary for the consummation of the Proposed Transaction will be obtained without any adverse effect on the Company or the contemplated benefits expected t</w:t>
            </w:r>
            <w:r>
              <w:rPr>
                <w:rFonts w:eastAsia="Times New Roman"/>
                <w:sz w:val="20"/>
                <w:szCs w:val="20"/>
              </w:rPr>
              <w:t>o be derived in the Proposed Transaction; and</w:t>
            </w:r>
          </w:p>
        </w:tc>
      </w:tr>
    </w:tbl>
    <w:p w14:paraId="636AD5ED"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9000"/>
      </w:tblGrid>
      <w:tr w:rsidR="00000000" w14:paraId="616BDF21" w14:textId="77777777">
        <w:trPr>
          <w:divId w:val="415980837"/>
          <w:tblCellSpacing w:w="0" w:type="dxa"/>
        </w:trPr>
        <w:tc>
          <w:tcPr>
            <w:tcW w:w="360" w:type="dxa"/>
            <w:hideMark/>
          </w:tcPr>
          <w:p w14:paraId="149DCA07" w14:textId="77777777" w:rsidR="00000000" w:rsidRDefault="002F725F">
            <w:pPr>
              <w:rPr>
                <w:rFonts w:eastAsia="Times New Roman"/>
                <w:sz w:val="20"/>
                <w:szCs w:val="20"/>
              </w:rPr>
            </w:pPr>
            <w:r>
              <w:rPr>
                <w:rFonts w:eastAsia="Times New Roman"/>
                <w:sz w:val="20"/>
                <w:szCs w:val="20"/>
              </w:rPr>
              <w:t>10.</w:t>
            </w:r>
          </w:p>
        </w:tc>
        <w:tc>
          <w:tcPr>
            <w:tcW w:w="0" w:type="auto"/>
            <w:hideMark/>
          </w:tcPr>
          <w:p w14:paraId="045C3BB9" w14:textId="77777777" w:rsidR="00000000" w:rsidRDefault="002F725F">
            <w:pPr>
              <w:jc w:val="both"/>
              <w:rPr>
                <w:rFonts w:eastAsia="Times New Roman"/>
                <w:sz w:val="20"/>
                <w:szCs w:val="20"/>
              </w:rPr>
            </w:pPr>
            <w:r>
              <w:rPr>
                <w:rFonts w:eastAsia="Times New Roman"/>
                <w:sz w:val="20"/>
                <w:szCs w:val="20"/>
              </w:rPr>
              <w:t>Assumed that the aggregate financial liabilities of approximately RMB576,500,000 resulting from the arbitral awards issued by the Kaifeng Arbitration Commission regarding three arbitration cases involvin</w:t>
            </w:r>
            <w:r>
              <w:rPr>
                <w:rFonts w:eastAsia="Times New Roman"/>
                <w:sz w:val="20"/>
                <w:szCs w:val="20"/>
              </w:rPr>
              <w:t>g Liaoning Yisheng Biopharma Co., Ltd. and Beijing Yisheng Biotechnology Co., Ltd., received by the Company on January 21, 2026 and January 22, 2026 and any liabilities, losses or damages incurred by the Company or any of its Subsidiaries therefrom are fin</w:t>
            </w:r>
            <w:r>
              <w:rPr>
                <w:rFonts w:eastAsia="Times New Roman"/>
                <w:sz w:val="20"/>
                <w:szCs w:val="20"/>
              </w:rPr>
              <w:t>al, conclusive and binding on the Company, notwithstanding any Legal Proceeding (as defined in the Merger Agreement) seeking to enforce, recognize, challenge, vacate, modify, dispute, or otherwise give effect to such arbitral awards.</w:t>
            </w:r>
          </w:p>
        </w:tc>
      </w:tr>
    </w:tbl>
    <w:p w14:paraId="025BD44D" w14:textId="77777777" w:rsidR="00000000" w:rsidRDefault="002F725F">
      <w:pPr>
        <w:pStyle w:val="NormalWeb"/>
        <w:spacing w:before="0" w:beforeAutospacing="0" w:after="0" w:afterAutospacing="0"/>
        <w:divId w:val="415980837"/>
        <w:rPr>
          <w:sz w:val="20"/>
          <w:szCs w:val="20"/>
        </w:rPr>
      </w:pPr>
      <w:r>
        <w:rPr>
          <w:sz w:val="20"/>
          <w:szCs w:val="20"/>
        </w:rPr>
        <w:t> </w:t>
      </w:r>
    </w:p>
    <w:p w14:paraId="17EC4340" w14:textId="77777777" w:rsidR="00000000" w:rsidRDefault="002F725F">
      <w:pPr>
        <w:pStyle w:val="NormalWeb"/>
        <w:spacing w:before="0" w:beforeAutospacing="0" w:after="0" w:afterAutospacing="0"/>
        <w:jc w:val="both"/>
        <w:divId w:val="415980837"/>
        <w:rPr>
          <w:sz w:val="20"/>
          <w:szCs w:val="20"/>
        </w:rPr>
      </w:pPr>
      <w:r>
        <w:rPr>
          <w:sz w:val="20"/>
          <w:szCs w:val="20"/>
        </w:rPr>
        <w:t xml:space="preserve">To the extent that </w:t>
      </w:r>
      <w:r>
        <w:rPr>
          <w:sz w:val="20"/>
          <w:szCs w:val="20"/>
        </w:rPr>
        <w:t>any of the foregoing assumptions or any of the facts on which this Opinion is based prove to be untrue in any material respect, this Opinion cannot and should not be relied upon. Furthermore, in Duff &amp; Phelps’ analysis and in connection with the preparatio</w:t>
      </w:r>
      <w:r>
        <w:rPr>
          <w:sz w:val="20"/>
          <w:szCs w:val="20"/>
        </w:rPr>
        <w:t>n of this Opinion, Duff &amp; Phelps has made numerous assumptions with respect to industry performance, general business, market and economic conditions and other matters, many of which are beyond the control of any party involved in the Proposed Transaction.</w:t>
      </w:r>
    </w:p>
    <w:p w14:paraId="5DDCA75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50CDB8B" w14:textId="77777777" w:rsidR="00000000" w:rsidRDefault="002F725F">
      <w:pPr>
        <w:pStyle w:val="NormalWeb"/>
        <w:spacing w:before="0" w:beforeAutospacing="0" w:after="0" w:afterAutospacing="0"/>
        <w:jc w:val="center"/>
        <w:divId w:val="1045176854"/>
        <w:rPr>
          <w:sz w:val="20"/>
          <w:szCs w:val="20"/>
        </w:rPr>
      </w:pPr>
      <w:r>
        <w:rPr>
          <w:sz w:val="20"/>
          <w:szCs w:val="20"/>
        </w:rPr>
        <w:t>C</w:t>
      </w:r>
      <w:r>
        <w:rPr>
          <w:sz w:val="20"/>
          <w:szCs w:val="20"/>
        </w:rPr>
        <w:t>-</w:t>
      </w:r>
      <w:r>
        <w:rPr>
          <w:sz w:val="20"/>
          <w:szCs w:val="20"/>
        </w:rPr>
        <w:t>3</w:t>
      </w:r>
    </w:p>
    <w:p w14:paraId="094F5803" w14:textId="77777777" w:rsidR="00000000" w:rsidRDefault="002F725F">
      <w:pPr>
        <w:pStyle w:val="NormalWeb"/>
        <w:spacing w:before="0" w:beforeAutospacing="0" w:after="0" w:afterAutospacing="0"/>
        <w:divId w:val="1054697256"/>
        <w:rPr>
          <w:sz w:val="20"/>
          <w:szCs w:val="20"/>
        </w:rPr>
      </w:pPr>
      <w:r>
        <w:rPr>
          <w:sz w:val="20"/>
          <w:szCs w:val="20"/>
        </w:rPr>
        <w:t> </w:t>
      </w:r>
    </w:p>
    <w:p w14:paraId="43F02FF3"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706C5457" w14:textId="77777777" w:rsidR="00000000" w:rsidRDefault="002F725F">
      <w:pPr>
        <w:pStyle w:val="NormalWeb"/>
        <w:spacing w:before="0" w:beforeAutospacing="0" w:after="0" w:afterAutospacing="0"/>
        <w:jc w:val="both"/>
        <w:divId w:val="415980837"/>
        <w:rPr>
          <w:sz w:val="20"/>
          <w:szCs w:val="20"/>
        </w:rPr>
      </w:pPr>
      <w:r>
        <w:rPr>
          <w:b/>
          <w:bCs/>
          <w:sz w:val="20"/>
          <w:szCs w:val="20"/>
          <w:u w:val="single"/>
        </w:rPr>
        <w:t>Qualifications</w:t>
      </w:r>
    </w:p>
    <w:p w14:paraId="06EC905C"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C6ACB8D" w14:textId="77777777" w:rsidR="00000000" w:rsidRDefault="002F725F">
      <w:pPr>
        <w:pStyle w:val="NormalWeb"/>
        <w:spacing w:before="0" w:beforeAutospacing="0" w:after="0" w:afterAutospacing="0"/>
        <w:jc w:val="both"/>
        <w:divId w:val="415980837"/>
        <w:rPr>
          <w:sz w:val="20"/>
          <w:szCs w:val="20"/>
        </w:rPr>
      </w:pPr>
      <w:r>
        <w:rPr>
          <w:sz w:val="20"/>
          <w:szCs w:val="20"/>
        </w:rPr>
        <w:t xml:space="preserve">Duff &amp; Phelps has prepared this Opinion effective </w:t>
      </w:r>
      <w:r>
        <w:rPr>
          <w:sz w:val="20"/>
          <w:szCs w:val="20"/>
        </w:rPr>
        <w:t>as of the date hereof. This Opinion is necessarily based upon market, economic, financial and other conditions as they exist and can be evaluated as of the date hereof, and Duff &amp; Phelps disclaims any undertaking or obligation to advise any person of any c</w:t>
      </w:r>
      <w:r>
        <w:rPr>
          <w:sz w:val="20"/>
          <w:szCs w:val="20"/>
        </w:rPr>
        <w:t>hange in any fact or matter affecting this Opinion which may come or be brought to the attention of Duff &amp; Phelps after the date hereof.</w:t>
      </w:r>
    </w:p>
    <w:p w14:paraId="680FA78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B9BC96E" w14:textId="77777777" w:rsidR="00000000" w:rsidRDefault="002F725F">
      <w:pPr>
        <w:pStyle w:val="NormalWeb"/>
        <w:spacing w:before="0" w:beforeAutospacing="0" w:after="0" w:afterAutospacing="0"/>
        <w:jc w:val="both"/>
        <w:divId w:val="415980837"/>
        <w:rPr>
          <w:sz w:val="20"/>
          <w:szCs w:val="20"/>
        </w:rPr>
      </w:pPr>
      <w:r>
        <w:rPr>
          <w:sz w:val="20"/>
          <w:szCs w:val="20"/>
        </w:rPr>
        <w:t>Duff &amp; Phelps did not evaluate the Company’s solvency or conduct an independent appraisal or physical inspection of a</w:t>
      </w:r>
      <w:r>
        <w:rPr>
          <w:sz w:val="20"/>
          <w:szCs w:val="20"/>
        </w:rPr>
        <w:t xml:space="preserve">ny specific assets or liabilities (contingent or otherwise). Duff &amp; Phelps has not been requested to, and did not, (i) initiate any discussions with, or solicit any indications of interest from, third parties with respect to the Proposed </w:t>
      </w:r>
      <w:r>
        <w:rPr>
          <w:sz w:val="20"/>
          <w:szCs w:val="20"/>
        </w:rPr>
        <w:lastRenderedPageBreak/>
        <w:t>Transaction, the a</w:t>
      </w:r>
      <w:r>
        <w:rPr>
          <w:sz w:val="20"/>
          <w:szCs w:val="20"/>
        </w:rPr>
        <w:t>ssets, businesses or operations of the Company, or any alternatives to the Proposed Transaction, (ii) negotiate the terms of the Proposed Transaction, and therefore, Duff &amp; Phelps has assumed that such terms are the most beneficial terms, from the Company’</w:t>
      </w:r>
      <w:r>
        <w:rPr>
          <w:sz w:val="20"/>
          <w:szCs w:val="20"/>
        </w:rPr>
        <w:t>s perspective, that could, under the circumstances, be negotiated among the parties to the Merger Agreement and the Proposed Transaction, or (iii) advise the Special Committee or any other party with respect to alternatives to the Proposed Transaction. Duf</w:t>
      </w:r>
      <w:r>
        <w:rPr>
          <w:sz w:val="20"/>
          <w:szCs w:val="20"/>
        </w:rPr>
        <w:t>f &amp; Phelps did not undertake an independent analysis of any potential or actual litigation, regulatory action, possible unasserted claims or other contingent liabilities, to which the Company is or may be a party or is or may be subject, or of any governme</w:t>
      </w:r>
      <w:r>
        <w:rPr>
          <w:sz w:val="20"/>
          <w:szCs w:val="20"/>
        </w:rPr>
        <w:t>ntal investigation of any possible unasserted claims or other contingent liabilities to which the Company is or may be a party or is or may be subject.</w:t>
      </w:r>
    </w:p>
    <w:p w14:paraId="628B487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1466FBD5" w14:textId="77777777" w:rsidR="00000000" w:rsidRDefault="002F725F">
      <w:pPr>
        <w:pStyle w:val="NormalWeb"/>
        <w:spacing w:before="0" w:beforeAutospacing="0" w:after="0" w:afterAutospacing="0"/>
        <w:jc w:val="both"/>
        <w:divId w:val="415980837"/>
        <w:rPr>
          <w:sz w:val="20"/>
          <w:szCs w:val="20"/>
        </w:rPr>
      </w:pPr>
      <w:r>
        <w:rPr>
          <w:sz w:val="20"/>
          <w:szCs w:val="20"/>
        </w:rPr>
        <w:t>Duff &amp; Phelps is not expressing any opinion as to the market price or value of the Company’s Shares (o</w:t>
      </w:r>
      <w:r>
        <w:rPr>
          <w:sz w:val="20"/>
          <w:szCs w:val="20"/>
        </w:rPr>
        <w:t>r anything else) prior to or after the announcement or the consummation of the Proposed Transaction. This Opinion should not be construed as a valuation opinion, credit rating, solvency opinion, an analysis of the Company’s credit worthiness, as tax advice</w:t>
      </w:r>
      <w:r>
        <w:rPr>
          <w:sz w:val="20"/>
          <w:szCs w:val="20"/>
        </w:rPr>
        <w:t>, or as accounting advice. Duff &amp; Phelps has not made, and assumes no responsibility to make, any representation, or render any opinion, as to any legal matter.</w:t>
      </w:r>
    </w:p>
    <w:p w14:paraId="4DD7D99E"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CC467ED" w14:textId="77777777" w:rsidR="00000000" w:rsidRDefault="002F725F">
      <w:pPr>
        <w:pStyle w:val="NormalWeb"/>
        <w:spacing w:before="0" w:beforeAutospacing="0" w:after="0" w:afterAutospacing="0"/>
        <w:jc w:val="both"/>
        <w:divId w:val="415980837"/>
        <w:rPr>
          <w:sz w:val="20"/>
          <w:szCs w:val="20"/>
        </w:rPr>
      </w:pPr>
      <w:r>
        <w:rPr>
          <w:sz w:val="20"/>
          <w:szCs w:val="20"/>
        </w:rPr>
        <w:t>In rendering this Opinion, Duff &amp; Phelps is not expressing any opinion with respect to the am</w:t>
      </w:r>
      <w:r>
        <w:rPr>
          <w:sz w:val="20"/>
          <w:szCs w:val="20"/>
        </w:rPr>
        <w:t>ount or nature of any compensation to any of the Company’s officers, directors, or employees, or any class of such persons, relative to the Per Share Merger Consideration, or with respect to the fairness of any such compensation.</w:t>
      </w:r>
    </w:p>
    <w:p w14:paraId="45D3CDA8"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98588DC" w14:textId="77777777" w:rsidR="00000000" w:rsidRDefault="002F725F">
      <w:pPr>
        <w:pStyle w:val="NormalWeb"/>
        <w:spacing w:before="0" w:beforeAutospacing="0" w:after="0" w:afterAutospacing="0"/>
        <w:jc w:val="both"/>
        <w:divId w:val="415980837"/>
        <w:rPr>
          <w:sz w:val="20"/>
          <w:szCs w:val="20"/>
        </w:rPr>
      </w:pPr>
      <w:r>
        <w:rPr>
          <w:b/>
          <w:bCs/>
          <w:sz w:val="20"/>
          <w:szCs w:val="20"/>
          <w:u w:val="single"/>
        </w:rPr>
        <w:t>Limiting Conditions</w:t>
      </w:r>
    </w:p>
    <w:p w14:paraId="42E0502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27038D8" w14:textId="77777777" w:rsidR="00000000" w:rsidRDefault="002F725F">
      <w:pPr>
        <w:pStyle w:val="NormalWeb"/>
        <w:spacing w:before="0" w:beforeAutospacing="0" w:after="0" w:afterAutospacing="0"/>
        <w:jc w:val="both"/>
        <w:divId w:val="415980837"/>
        <w:rPr>
          <w:sz w:val="20"/>
          <w:szCs w:val="20"/>
        </w:rPr>
      </w:pPr>
      <w:r>
        <w:rPr>
          <w:sz w:val="20"/>
          <w:szCs w:val="20"/>
        </w:rPr>
        <w:t>Th</w:t>
      </w:r>
      <w:r>
        <w:rPr>
          <w:sz w:val="20"/>
          <w:szCs w:val="20"/>
        </w:rPr>
        <w:t>is Opinion is furnished for the use and benefit of the Special Committee in connection with its consideration of the Proposed Transaction. This Opinion (i) does not address the merits of the underlying business decision to enter into the Proposed Transacti</w:t>
      </w:r>
      <w:r>
        <w:rPr>
          <w:sz w:val="20"/>
          <w:szCs w:val="20"/>
        </w:rPr>
        <w:t>on versus any alternative strategy or transaction; (ii) does not address any transaction related to the Proposed Transaction; (iii) is not a recommendation as to how the Special Committee, the Board of Directors or any other person (including security hold</w:t>
      </w:r>
      <w:r>
        <w:rPr>
          <w:sz w:val="20"/>
          <w:szCs w:val="20"/>
        </w:rPr>
        <w:t>ers of the Company) should vote or act with respect to any matters relating to the Proposed Transaction, or whether to proceed with the Proposed Transaction or any related transaction; and (iv) does not indicate that the Per Share Merger Consideration is t</w:t>
      </w:r>
      <w:r>
        <w:rPr>
          <w:sz w:val="20"/>
          <w:szCs w:val="20"/>
        </w:rPr>
        <w:t xml:space="preserve">he best possibly attainable under any circumstances; instead, it merely states whether the Per Share Merger Consideration in the Proposed Transaction is within or above a range suggested by certain financial analyses. The decision as to whether to proceed </w:t>
      </w:r>
      <w:r>
        <w:rPr>
          <w:sz w:val="20"/>
          <w:szCs w:val="20"/>
        </w:rPr>
        <w:t>with the Proposed Transaction or any related transaction may depend on an assessment of factors unrelated to the financial analysis on which this Opinion is based. This Opinion should not be construed as creating any fiduciary duty on the part of Duff &amp; Ph</w:t>
      </w:r>
      <w:r>
        <w:rPr>
          <w:sz w:val="20"/>
          <w:szCs w:val="20"/>
        </w:rPr>
        <w:t>elps to any party.</w:t>
      </w:r>
    </w:p>
    <w:p w14:paraId="16418B4A"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6B896109" w14:textId="77777777" w:rsidR="00000000" w:rsidRDefault="002F725F">
      <w:pPr>
        <w:pStyle w:val="NormalWeb"/>
        <w:spacing w:before="0" w:beforeAutospacing="0" w:after="0" w:afterAutospacing="0"/>
        <w:jc w:val="both"/>
        <w:divId w:val="415980837"/>
        <w:rPr>
          <w:sz w:val="20"/>
          <w:szCs w:val="20"/>
        </w:rPr>
      </w:pPr>
      <w:r>
        <w:rPr>
          <w:sz w:val="20"/>
          <w:szCs w:val="20"/>
        </w:rPr>
        <w:t>This Opinion is solely that of Duff &amp; Phelps, and Duff &amp; Phelps’ liability in connection with this Opinion shall be limited in accordance with the terms set forth in the engagement letter among Duff &amp; Phelps, the Company and the Specia</w:t>
      </w:r>
      <w:r>
        <w:rPr>
          <w:sz w:val="20"/>
          <w:szCs w:val="20"/>
        </w:rPr>
        <w:t>l Committee dated September 9, 2025 and the addendum thereto dated April 7, 2026 (collectively, the “</w:t>
      </w:r>
      <w:r>
        <w:rPr>
          <w:sz w:val="20"/>
          <w:szCs w:val="20"/>
          <w:u w:val="single"/>
        </w:rPr>
        <w:t>Engagement Letter</w:t>
      </w:r>
      <w:r>
        <w:rPr>
          <w:sz w:val="20"/>
          <w:szCs w:val="20"/>
        </w:rPr>
        <w:t>”). This Opinion is confidential, and its use and disclosure are strictly limited in accordance with the terms set forth in the Engagement</w:t>
      </w:r>
      <w:r>
        <w:rPr>
          <w:sz w:val="20"/>
          <w:szCs w:val="20"/>
        </w:rPr>
        <w:t xml:space="preserve"> Letter.</w:t>
      </w:r>
    </w:p>
    <w:p w14:paraId="105C773B"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4656C7B5" w14:textId="77777777" w:rsidR="00000000" w:rsidRDefault="002F725F">
      <w:pPr>
        <w:pStyle w:val="NormalWeb"/>
        <w:spacing w:before="0" w:beforeAutospacing="0" w:after="0" w:afterAutospacing="0"/>
        <w:jc w:val="center"/>
        <w:divId w:val="592781196"/>
        <w:rPr>
          <w:sz w:val="20"/>
          <w:szCs w:val="20"/>
        </w:rPr>
      </w:pPr>
      <w:r>
        <w:rPr>
          <w:sz w:val="20"/>
          <w:szCs w:val="20"/>
        </w:rPr>
        <w:t>C</w:t>
      </w:r>
      <w:r>
        <w:rPr>
          <w:sz w:val="20"/>
          <w:szCs w:val="20"/>
        </w:rPr>
        <w:t>-</w:t>
      </w:r>
      <w:r>
        <w:rPr>
          <w:sz w:val="20"/>
          <w:szCs w:val="20"/>
        </w:rPr>
        <w:t>4</w:t>
      </w:r>
    </w:p>
    <w:p w14:paraId="0A384A37" w14:textId="77777777" w:rsidR="00000000" w:rsidRDefault="002F725F">
      <w:pPr>
        <w:pStyle w:val="NormalWeb"/>
        <w:spacing w:before="0" w:beforeAutospacing="0" w:after="0" w:afterAutospacing="0"/>
        <w:divId w:val="1140997897"/>
        <w:rPr>
          <w:sz w:val="20"/>
          <w:szCs w:val="20"/>
        </w:rPr>
      </w:pPr>
      <w:r>
        <w:rPr>
          <w:sz w:val="20"/>
          <w:szCs w:val="20"/>
        </w:rPr>
        <w:t> </w:t>
      </w:r>
    </w:p>
    <w:p w14:paraId="2C83E331"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AAFA604" w14:textId="77777777" w:rsidR="00000000" w:rsidRDefault="002F725F">
      <w:pPr>
        <w:pStyle w:val="NormalWeb"/>
        <w:spacing w:before="0" w:beforeAutospacing="0" w:after="0" w:afterAutospacing="0"/>
        <w:jc w:val="both"/>
        <w:divId w:val="415980837"/>
        <w:rPr>
          <w:sz w:val="20"/>
          <w:szCs w:val="20"/>
        </w:rPr>
      </w:pPr>
      <w:r>
        <w:rPr>
          <w:b/>
          <w:bCs/>
          <w:sz w:val="20"/>
          <w:szCs w:val="20"/>
          <w:u w:val="single"/>
        </w:rPr>
        <w:t>Disclosure of Prior Relationships</w:t>
      </w:r>
    </w:p>
    <w:p w14:paraId="1F80D1C7"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2BFC8F78" w14:textId="77777777" w:rsidR="00000000" w:rsidRDefault="002F725F">
      <w:pPr>
        <w:pStyle w:val="NormalWeb"/>
        <w:spacing w:before="0" w:beforeAutospacing="0" w:after="0" w:afterAutospacing="0"/>
        <w:jc w:val="both"/>
        <w:divId w:val="415980837"/>
        <w:rPr>
          <w:sz w:val="20"/>
          <w:szCs w:val="20"/>
        </w:rPr>
      </w:pPr>
      <w:r>
        <w:rPr>
          <w:sz w:val="20"/>
          <w:szCs w:val="20"/>
        </w:rPr>
        <w:t>Duff &amp; Phelps has acted as a financial advisor to the Special Committee and will receive a fee for its services. No portion of Duff &amp; Phelps’ fee is contingent upon either the conclusion expressed in t</w:t>
      </w:r>
      <w:r>
        <w:rPr>
          <w:sz w:val="20"/>
          <w:szCs w:val="20"/>
        </w:rPr>
        <w:t>his Opinion or whether or not the Proposed Transaction is successfully consummated. Pursuant to the terms of the Engagement Letter, a portion of Duff &amp; Phelps’ fee is payable upon Duff &amp; Phelps’ delivery of its Opinion to the Special Committee. Pursuant to</w:t>
      </w:r>
      <w:r>
        <w:rPr>
          <w:sz w:val="20"/>
          <w:szCs w:val="20"/>
        </w:rPr>
        <w:t xml:space="preserve"> the Engagement Letter, the Company has also agreed to reimburse certain expenses of Duff &amp; Phelps and to indemnify Duff &amp; Phelps for certain liabilities. Other than this engagement, during the two years preceding the date of this Opinion, Duff &amp; Phelps ha</w:t>
      </w:r>
      <w:r>
        <w:rPr>
          <w:sz w:val="20"/>
          <w:szCs w:val="20"/>
        </w:rPr>
        <w:t xml:space="preserve">s not had any material relationship with any party to the Proposed Transaction for which </w:t>
      </w:r>
      <w:r>
        <w:rPr>
          <w:sz w:val="20"/>
          <w:szCs w:val="20"/>
        </w:rPr>
        <w:lastRenderedPageBreak/>
        <w:t>compensation has been received or is intended to be received, nor is any such material relationship or related compensation mutually understood to be contemplated.</w:t>
      </w:r>
    </w:p>
    <w:p w14:paraId="1318AFB6"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351986AD" w14:textId="77777777" w:rsidR="00000000" w:rsidRDefault="002F725F">
      <w:pPr>
        <w:pStyle w:val="NormalWeb"/>
        <w:spacing w:before="0" w:beforeAutospacing="0" w:after="0" w:afterAutospacing="0"/>
        <w:divId w:val="415980837"/>
        <w:rPr>
          <w:sz w:val="20"/>
          <w:szCs w:val="20"/>
        </w:rPr>
      </w:pPr>
      <w:r>
        <w:rPr>
          <w:b/>
          <w:bCs/>
          <w:sz w:val="20"/>
          <w:szCs w:val="20"/>
          <w:u w:val="single"/>
        </w:rPr>
        <w:t>C</w:t>
      </w:r>
      <w:r>
        <w:rPr>
          <w:b/>
          <w:bCs/>
          <w:sz w:val="20"/>
          <w:szCs w:val="20"/>
          <w:u w:val="single"/>
        </w:rPr>
        <w:t>onclusion</w:t>
      </w:r>
    </w:p>
    <w:p w14:paraId="2F505F1C" w14:textId="77777777" w:rsidR="00000000" w:rsidRDefault="002F725F">
      <w:pPr>
        <w:pStyle w:val="NormalWeb"/>
        <w:spacing w:before="0" w:beforeAutospacing="0" w:after="0" w:afterAutospacing="0"/>
        <w:divId w:val="415980837"/>
        <w:rPr>
          <w:sz w:val="20"/>
          <w:szCs w:val="20"/>
        </w:rPr>
      </w:pPr>
      <w:r>
        <w:rPr>
          <w:sz w:val="20"/>
          <w:szCs w:val="20"/>
        </w:rPr>
        <w:t> </w:t>
      </w:r>
    </w:p>
    <w:p w14:paraId="395D7ADB" w14:textId="77777777" w:rsidR="00000000" w:rsidRDefault="002F725F">
      <w:pPr>
        <w:pStyle w:val="NormalWeb"/>
        <w:spacing w:before="0" w:beforeAutospacing="0" w:after="0" w:afterAutospacing="0"/>
        <w:jc w:val="both"/>
        <w:divId w:val="415980837"/>
        <w:rPr>
          <w:sz w:val="20"/>
          <w:szCs w:val="20"/>
        </w:rPr>
      </w:pPr>
      <w:r>
        <w:rPr>
          <w:sz w:val="20"/>
          <w:szCs w:val="20"/>
        </w:rPr>
        <w:t xml:space="preserve">Based upon and subject to the foregoing, Duff &amp; </w:t>
      </w:r>
      <w:r>
        <w:rPr>
          <w:sz w:val="20"/>
          <w:szCs w:val="20"/>
        </w:rPr>
        <w:t>Phelps is of the opinion that as of the date hereof the Per Share Merger Consideration to be received by the holders of Shares (other than the Excluded Shares and the Dissenting Shares) in the Proposed Transaction is fair, from a financial point of view, t</w:t>
      </w:r>
      <w:r>
        <w:rPr>
          <w:sz w:val="20"/>
          <w:szCs w:val="20"/>
        </w:rPr>
        <w:t>o such holders of Shares (without giving effect to any impact of the Proposed Transaction on any particular holder of Shares other than in its capacity as a holder of Shares).</w:t>
      </w:r>
    </w:p>
    <w:p w14:paraId="523EFA8D"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51EC8A4" w14:textId="77777777" w:rsidR="00000000" w:rsidRDefault="002F725F">
      <w:pPr>
        <w:pStyle w:val="NormalWeb"/>
        <w:spacing w:before="0" w:beforeAutospacing="0" w:after="0" w:afterAutospacing="0"/>
        <w:divId w:val="415980837"/>
        <w:rPr>
          <w:sz w:val="20"/>
          <w:szCs w:val="20"/>
        </w:rPr>
      </w:pPr>
      <w:r>
        <w:rPr>
          <w:sz w:val="20"/>
          <w:szCs w:val="20"/>
        </w:rPr>
        <w:t>This Opinion has been approved by the Opinion Review Committee of Duff &amp; Phelp</w:t>
      </w:r>
      <w:r>
        <w:rPr>
          <w:sz w:val="20"/>
          <w:szCs w:val="20"/>
        </w:rPr>
        <w:t>s.</w:t>
      </w:r>
    </w:p>
    <w:p w14:paraId="1904181E" w14:textId="77777777" w:rsidR="00000000" w:rsidRDefault="002F725F">
      <w:pPr>
        <w:pStyle w:val="NormalWeb"/>
        <w:spacing w:before="0" w:beforeAutospacing="0" w:after="0" w:afterAutospacing="0"/>
        <w:divId w:val="415980837"/>
        <w:rPr>
          <w:sz w:val="20"/>
          <w:szCs w:val="20"/>
        </w:rPr>
      </w:pPr>
      <w:r>
        <w:rPr>
          <w:sz w:val="20"/>
          <w:szCs w:val="20"/>
        </w:rPr>
        <w:t> </w:t>
      </w:r>
    </w:p>
    <w:p w14:paraId="4D1DF6E3" w14:textId="77777777" w:rsidR="00000000" w:rsidRDefault="002F725F">
      <w:pPr>
        <w:pStyle w:val="NormalWeb"/>
        <w:spacing w:before="0" w:beforeAutospacing="0" w:after="0" w:afterAutospacing="0"/>
        <w:divId w:val="415980837"/>
        <w:rPr>
          <w:sz w:val="20"/>
          <w:szCs w:val="20"/>
        </w:rPr>
      </w:pPr>
      <w:r>
        <w:rPr>
          <w:sz w:val="20"/>
          <w:szCs w:val="20"/>
        </w:rPr>
        <w:t>Respectfully submitted,</w:t>
      </w:r>
    </w:p>
    <w:p w14:paraId="119540F4" w14:textId="77777777" w:rsidR="00000000" w:rsidRDefault="002F725F">
      <w:pPr>
        <w:pStyle w:val="NormalWeb"/>
        <w:spacing w:before="0" w:beforeAutospacing="0" w:after="0" w:afterAutospacing="0"/>
        <w:divId w:val="415980837"/>
        <w:rPr>
          <w:sz w:val="20"/>
          <w:szCs w:val="20"/>
        </w:rPr>
      </w:pPr>
      <w:r>
        <w:rPr>
          <w:sz w:val="20"/>
          <w:szCs w:val="20"/>
        </w:rPr>
        <w:t> </w:t>
      </w:r>
    </w:p>
    <w:p w14:paraId="25E985FE" w14:textId="77777777" w:rsidR="00000000" w:rsidRDefault="002F725F">
      <w:pPr>
        <w:pStyle w:val="NormalWeb"/>
        <w:spacing w:before="0" w:beforeAutospacing="0" w:after="0" w:afterAutospacing="0"/>
        <w:divId w:val="415980837"/>
        <w:rPr>
          <w:sz w:val="20"/>
          <w:szCs w:val="20"/>
        </w:rPr>
      </w:pPr>
      <w:r>
        <w:rPr>
          <w:sz w:val="20"/>
          <w:szCs w:val="20"/>
        </w:rPr>
        <w:t>Duff &amp; Phelps Opinions Practice</w:t>
      </w:r>
    </w:p>
    <w:p w14:paraId="0AC62157" w14:textId="77777777" w:rsidR="00000000" w:rsidRDefault="002F725F">
      <w:pPr>
        <w:pStyle w:val="NormalWeb"/>
        <w:spacing w:before="0" w:beforeAutospacing="0" w:after="0" w:afterAutospacing="0"/>
        <w:divId w:val="415980837"/>
        <w:rPr>
          <w:sz w:val="20"/>
          <w:szCs w:val="20"/>
        </w:rPr>
      </w:pPr>
      <w:r>
        <w:rPr>
          <w:sz w:val="20"/>
          <w:szCs w:val="20"/>
        </w:rPr>
        <w:t>Kroll, LLC</w:t>
      </w:r>
    </w:p>
    <w:p w14:paraId="6DF9C5B1" w14:textId="77777777" w:rsidR="00000000" w:rsidRDefault="002F725F">
      <w:pPr>
        <w:pStyle w:val="NormalWeb"/>
        <w:spacing w:before="0" w:beforeAutospacing="0" w:after="0" w:afterAutospacing="0"/>
        <w:divId w:val="415980837"/>
        <w:rPr>
          <w:sz w:val="20"/>
          <w:szCs w:val="20"/>
        </w:rPr>
      </w:pPr>
      <w:r>
        <w:rPr>
          <w:sz w:val="20"/>
          <w:szCs w:val="20"/>
        </w:rPr>
        <w:t> </w:t>
      </w:r>
    </w:p>
    <w:p w14:paraId="22221542" w14:textId="77777777" w:rsidR="00000000" w:rsidRDefault="002F725F">
      <w:pPr>
        <w:pStyle w:val="NormalWeb"/>
        <w:spacing w:before="0" w:beforeAutospacing="0" w:after="0" w:afterAutospacing="0"/>
        <w:jc w:val="center"/>
        <w:divId w:val="1595280821"/>
        <w:rPr>
          <w:sz w:val="20"/>
          <w:szCs w:val="20"/>
        </w:rPr>
      </w:pPr>
      <w:r>
        <w:rPr>
          <w:sz w:val="20"/>
          <w:szCs w:val="20"/>
        </w:rPr>
        <w:t>C</w:t>
      </w:r>
      <w:r>
        <w:rPr>
          <w:sz w:val="20"/>
          <w:szCs w:val="20"/>
        </w:rPr>
        <w:t>-</w:t>
      </w:r>
      <w:r>
        <w:rPr>
          <w:sz w:val="20"/>
          <w:szCs w:val="20"/>
        </w:rPr>
        <w:t>5</w:t>
      </w:r>
    </w:p>
    <w:p w14:paraId="1096457E" w14:textId="77777777" w:rsidR="00000000" w:rsidRDefault="002F725F">
      <w:pPr>
        <w:pStyle w:val="NormalWeb"/>
        <w:spacing w:before="0" w:beforeAutospacing="0" w:after="0" w:afterAutospacing="0"/>
        <w:divId w:val="1849253865"/>
        <w:rPr>
          <w:sz w:val="20"/>
          <w:szCs w:val="20"/>
        </w:rPr>
      </w:pPr>
      <w:r>
        <w:rPr>
          <w:sz w:val="20"/>
          <w:szCs w:val="20"/>
        </w:rPr>
        <w:t> </w:t>
      </w:r>
    </w:p>
    <w:p w14:paraId="6FF4B54F" w14:textId="77777777" w:rsidR="00000000" w:rsidRDefault="002F725F">
      <w:pPr>
        <w:pStyle w:val="NormalWeb"/>
        <w:spacing w:before="0" w:beforeAutospacing="0" w:after="0" w:afterAutospacing="0"/>
        <w:divId w:val="415980837"/>
        <w:rPr>
          <w:sz w:val="20"/>
          <w:szCs w:val="20"/>
        </w:rPr>
      </w:pPr>
      <w:r>
        <w:rPr>
          <w:sz w:val="20"/>
          <w:szCs w:val="20"/>
        </w:rPr>
        <w:t> </w:t>
      </w:r>
    </w:p>
    <w:p w14:paraId="19DC7CEE" w14:textId="77777777" w:rsidR="00000000" w:rsidRDefault="002F725F">
      <w:pPr>
        <w:pStyle w:val="NormalWeb"/>
        <w:spacing w:before="0" w:beforeAutospacing="0" w:after="0" w:afterAutospacing="0"/>
        <w:jc w:val="center"/>
        <w:divId w:val="415980837"/>
        <w:rPr>
          <w:sz w:val="20"/>
          <w:szCs w:val="20"/>
        </w:rPr>
      </w:pPr>
      <w:bookmarkStart w:id="38" w:name="gfpea028961701ex99-a1.htmD_01"/>
      <w:bookmarkEnd w:id="38"/>
      <w:r>
        <w:rPr>
          <w:b/>
          <w:bCs/>
          <w:sz w:val="20"/>
          <w:szCs w:val="20"/>
          <w:u w:val="single"/>
        </w:rPr>
        <w:t>Annex D</w:t>
      </w:r>
    </w:p>
    <w:p w14:paraId="3AB17939"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584537A" w14:textId="77777777" w:rsidR="00000000" w:rsidRDefault="002F725F">
      <w:pPr>
        <w:pStyle w:val="NormalWeb"/>
        <w:spacing w:before="0" w:beforeAutospacing="0" w:after="0" w:afterAutospacing="0"/>
        <w:jc w:val="center"/>
        <w:divId w:val="415980837"/>
        <w:rPr>
          <w:sz w:val="20"/>
          <w:szCs w:val="20"/>
        </w:rPr>
      </w:pPr>
      <w:r>
        <w:rPr>
          <w:b/>
          <w:bCs/>
          <w:sz w:val="20"/>
          <w:szCs w:val="20"/>
        </w:rPr>
        <w:t>CAYMAN ISLANDS COMPANIES ACT CAP. 22</w:t>
      </w:r>
    </w:p>
    <w:p w14:paraId="00834C03"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4807B6A7" w14:textId="77777777" w:rsidR="00000000" w:rsidRDefault="002F725F">
      <w:pPr>
        <w:pStyle w:val="NormalWeb"/>
        <w:spacing w:before="0" w:beforeAutospacing="0" w:after="0" w:afterAutospacing="0"/>
        <w:jc w:val="center"/>
        <w:divId w:val="415980837"/>
        <w:rPr>
          <w:sz w:val="20"/>
          <w:szCs w:val="20"/>
        </w:rPr>
      </w:pPr>
      <w:r>
        <w:rPr>
          <w:b/>
          <w:bCs/>
          <w:sz w:val="20"/>
          <w:szCs w:val="20"/>
        </w:rPr>
        <w:t>(LAW 3 OF 1961, AS CONSOLIDATED AND REVISED)—SECTION 238</w:t>
      </w:r>
    </w:p>
    <w:p w14:paraId="6AF6FAE9" w14:textId="77777777" w:rsidR="00000000" w:rsidRDefault="002F725F">
      <w:pPr>
        <w:pStyle w:val="NormalWeb"/>
        <w:spacing w:before="0" w:beforeAutospacing="0" w:after="0" w:afterAutospacing="0"/>
        <w:jc w:val="center"/>
        <w:divId w:val="415980837"/>
        <w:rPr>
          <w:sz w:val="20"/>
          <w:szCs w:val="20"/>
        </w:rPr>
      </w:pPr>
      <w:r>
        <w:rPr>
          <w:sz w:val="16"/>
          <w:szCs w:val="16"/>
        </w:rPr>
        <w:t> </w:t>
      </w:r>
    </w:p>
    <w:p w14:paraId="2004A493" w14:textId="77777777" w:rsidR="00000000" w:rsidRDefault="002F725F">
      <w:pPr>
        <w:pStyle w:val="NormalWeb"/>
        <w:spacing w:before="0" w:beforeAutospacing="0" w:after="0" w:afterAutospacing="0"/>
        <w:jc w:val="both"/>
        <w:divId w:val="415980837"/>
        <w:rPr>
          <w:sz w:val="20"/>
          <w:szCs w:val="20"/>
        </w:rPr>
      </w:pPr>
      <w:r>
        <w:rPr>
          <w:sz w:val="20"/>
          <w:szCs w:val="20"/>
        </w:rPr>
        <w:t>238. Rights of dissenters</w:t>
      </w:r>
    </w:p>
    <w:p w14:paraId="6D2A4C7A" w14:textId="77777777" w:rsidR="00000000" w:rsidRDefault="002F725F">
      <w:pPr>
        <w:pStyle w:val="NormalWeb"/>
        <w:spacing w:before="0" w:beforeAutospacing="0" w:after="0" w:afterAutospacing="0"/>
        <w:jc w:val="both"/>
        <w:divId w:val="415980837"/>
        <w:rPr>
          <w:sz w:val="14"/>
          <w:szCs w:val="14"/>
        </w:rPr>
      </w:pPr>
      <w:r>
        <w:rPr>
          <w:sz w:val="14"/>
          <w:szCs w:val="14"/>
        </w:rPr>
        <w:t> </w:t>
      </w:r>
    </w:p>
    <w:tbl>
      <w:tblPr>
        <w:tblW w:w="5000" w:type="pct"/>
        <w:tblCellSpacing w:w="0" w:type="dxa"/>
        <w:tblCellMar>
          <w:left w:w="0" w:type="dxa"/>
          <w:right w:w="0" w:type="dxa"/>
        </w:tblCellMar>
        <w:tblLook w:val="04A0" w:firstRow="1" w:lastRow="0" w:firstColumn="1" w:lastColumn="0" w:noHBand="0" w:noVBand="1"/>
      </w:tblPr>
      <w:tblGrid>
        <w:gridCol w:w="50"/>
        <w:gridCol w:w="360"/>
        <w:gridCol w:w="8950"/>
      </w:tblGrid>
      <w:tr w:rsidR="00000000" w14:paraId="32AD235D" w14:textId="77777777">
        <w:trPr>
          <w:divId w:val="415980837"/>
          <w:tblCellSpacing w:w="0" w:type="dxa"/>
        </w:trPr>
        <w:tc>
          <w:tcPr>
            <w:tcW w:w="0" w:type="pct"/>
            <w:hideMark/>
          </w:tcPr>
          <w:p w14:paraId="0AC4E38D" w14:textId="77777777" w:rsidR="00000000" w:rsidRDefault="002F725F">
            <w:pPr>
              <w:rPr>
                <w:rFonts w:eastAsia="Times New Roman"/>
                <w:sz w:val="20"/>
                <w:szCs w:val="20"/>
              </w:rPr>
            </w:pPr>
            <w:r>
              <w:rPr>
                <w:rFonts w:eastAsia="Times New Roman"/>
                <w:sz w:val="20"/>
                <w:szCs w:val="20"/>
              </w:rPr>
              <w:t> </w:t>
            </w:r>
          </w:p>
        </w:tc>
        <w:tc>
          <w:tcPr>
            <w:tcW w:w="360" w:type="dxa"/>
            <w:hideMark/>
          </w:tcPr>
          <w:p w14:paraId="3E5A5C2F" w14:textId="77777777" w:rsidR="00000000" w:rsidRDefault="002F725F">
            <w:pPr>
              <w:rPr>
                <w:rFonts w:eastAsia="Times New Roman"/>
                <w:sz w:val="20"/>
                <w:szCs w:val="20"/>
              </w:rPr>
            </w:pPr>
            <w:r>
              <w:rPr>
                <w:rFonts w:eastAsia="Times New Roman"/>
                <w:sz w:val="20"/>
                <w:szCs w:val="20"/>
              </w:rPr>
              <w:t>(1)</w:t>
            </w:r>
          </w:p>
        </w:tc>
        <w:tc>
          <w:tcPr>
            <w:tcW w:w="0" w:type="auto"/>
            <w:hideMark/>
          </w:tcPr>
          <w:p w14:paraId="2B8F4740" w14:textId="77777777" w:rsidR="00000000" w:rsidRDefault="002F725F">
            <w:pPr>
              <w:jc w:val="both"/>
              <w:rPr>
                <w:rFonts w:eastAsia="Times New Roman"/>
                <w:sz w:val="20"/>
                <w:szCs w:val="20"/>
              </w:rPr>
            </w:pPr>
            <w:r>
              <w:rPr>
                <w:rFonts w:eastAsia="Times New Roman"/>
                <w:sz w:val="20"/>
                <w:szCs w:val="20"/>
              </w:rPr>
              <w:t>A member of a constituent comp</w:t>
            </w:r>
            <w:r>
              <w:rPr>
                <w:rFonts w:eastAsia="Times New Roman"/>
                <w:sz w:val="20"/>
                <w:szCs w:val="20"/>
              </w:rPr>
              <w:t>any incorporated under this Act shall be entitled to payment of the fair value of that person’s shares upon dissenting from a merger or consolidation.</w:t>
            </w:r>
          </w:p>
        </w:tc>
      </w:tr>
    </w:tbl>
    <w:p w14:paraId="37327AB5" w14:textId="77777777" w:rsidR="00000000" w:rsidRDefault="002F725F">
      <w:pPr>
        <w:pStyle w:val="NormalWeb"/>
        <w:spacing w:before="0" w:beforeAutospacing="0" w:after="0" w:afterAutospacing="0"/>
        <w:divId w:val="415980837"/>
        <w:rPr>
          <w:sz w:val="14"/>
          <w:szCs w:val="14"/>
        </w:rPr>
      </w:pPr>
      <w:r>
        <w:rPr>
          <w:sz w:val="14"/>
          <w:szCs w:val="14"/>
        </w:rPr>
        <w:t> </w:t>
      </w:r>
    </w:p>
    <w:tbl>
      <w:tblPr>
        <w:tblW w:w="5000" w:type="pct"/>
        <w:tblCellSpacing w:w="0" w:type="dxa"/>
        <w:tblCellMar>
          <w:left w:w="0" w:type="dxa"/>
          <w:right w:w="0" w:type="dxa"/>
        </w:tblCellMar>
        <w:tblLook w:val="04A0" w:firstRow="1" w:lastRow="0" w:firstColumn="1" w:lastColumn="0" w:noHBand="0" w:noVBand="1"/>
      </w:tblPr>
      <w:tblGrid>
        <w:gridCol w:w="50"/>
        <w:gridCol w:w="360"/>
        <w:gridCol w:w="8950"/>
      </w:tblGrid>
      <w:tr w:rsidR="00000000" w14:paraId="5AAD3B2C" w14:textId="77777777">
        <w:trPr>
          <w:divId w:val="415980837"/>
          <w:tblCellSpacing w:w="0" w:type="dxa"/>
        </w:trPr>
        <w:tc>
          <w:tcPr>
            <w:tcW w:w="0" w:type="pct"/>
            <w:hideMark/>
          </w:tcPr>
          <w:p w14:paraId="269A3604" w14:textId="77777777" w:rsidR="00000000" w:rsidRDefault="002F725F">
            <w:pPr>
              <w:rPr>
                <w:rFonts w:eastAsia="Times New Roman"/>
                <w:sz w:val="20"/>
                <w:szCs w:val="20"/>
              </w:rPr>
            </w:pPr>
            <w:r>
              <w:rPr>
                <w:rFonts w:eastAsia="Times New Roman"/>
                <w:sz w:val="20"/>
                <w:szCs w:val="20"/>
              </w:rPr>
              <w:t> </w:t>
            </w:r>
          </w:p>
        </w:tc>
        <w:tc>
          <w:tcPr>
            <w:tcW w:w="360" w:type="dxa"/>
            <w:hideMark/>
          </w:tcPr>
          <w:p w14:paraId="0516FD24" w14:textId="77777777" w:rsidR="00000000" w:rsidRDefault="002F725F">
            <w:pPr>
              <w:rPr>
                <w:rFonts w:eastAsia="Times New Roman"/>
                <w:sz w:val="20"/>
                <w:szCs w:val="20"/>
              </w:rPr>
            </w:pPr>
            <w:r>
              <w:rPr>
                <w:rFonts w:eastAsia="Times New Roman"/>
                <w:sz w:val="20"/>
                <w:szCs w:val="20"/>
              </w:rPr>
              <w:t>(2)</w:t>
            </w:r>
          </w:p>
        </w:tc>
        <w:tc>
          <w:tcPr>
            <w:tcW w:w="0" w:type="auto"/>
            <w:hideMark/>
          </w:tcPr>
          <w:p w14:paraId="5DF9FEB5" w14:textId="77777777" w:rsidR="00000000" w:rsidRDefault="002F725F">
            <w:pPr>
              <w:jc w:val="both"/>
              <w:rPr>
                <w:rFonts w:eastAsia="Times New Roman"/>
                <w:sz w:val="20"/>
                <w:szCs w:val="20"/>
              </w:rPr>
            </w:pPr>
            <w:r>
              <w:rPr>
                <w:rFonts w:eastAsia="Times New Roman"/>
                <w:sz w:val="20"/>
                <w:szCs w:val="20"/>
              </w:rPr>
              <w:t>A member who desires to exercise that person’</w:t>
            </w:r>
            <w:r>
              <w:rPr>
                <w:rFonts w:eastAsia="Times New Roman"/>
                <w:sz w:val="20"/>
                <w:szCs w:val="20"/>
              </w:rPr>
              <w:t>s entitlement under subsection (1) shall give to the constituent company, before the vote on the merger or consolidation, written objection to the action.</w:t>
            </w:r>
          </w:p>
        </w:tc>
      </w:tr>
    </w:tbl>
    <w:p w14:paraId="42C3E385" w14:textId="77777777" w:rsidR="00000000" w:rsidRDefault="002F725F">
      <w:pPr>
        <w:pStyle w:val="NormalWeb"/>
        <w:spacing w:before="0" w:beforeAutospacing="0" w:after="0" w:afterAutospacing="0"/>
        <w:divId w:val="415980837"/>
        <w:rPr>
          <w:sz w:val="14"/>
          <w:szCs w:val="14"/>
        </w:rPr>
      </w:pPr>
      <w:r>
        <w:rPr>
          <w:sz w:val="14"/>
          <w:szCs w:val="14"/>
        </w:rPr>
        <w:t> </w:t>
      </w:r>
    </w:p>
    <w:tbl>
      <w:tblPr>
        <w:tblW w:w="5000" w:type="pct"/>
        <w:tblCellSpacing w:w="0" w:type="dxa"/>
        <w:tblCellMar>
          <w:left w:w="0" w:type="dxa"/>
          <w:right w:w="0" w:type="dxa"/>
        </w:tblCellMar>
        <w:tblLook w:val="04A0" w:firstRow="1" w:lastRow="0" w:firstColumn="1" w:lastColumn="0" w:noHBand="0" w:noVBand="1"/>
      </w:tblPr>
      <w:tblGrid>
        <w:gridCol w:w="50"/>
        <w:gridCol w:w="360"/>
        <w:gridCol w:w="8950"/>
      </w:tblGrid>
      <w:tr w:rsidR="00000000" w14:paraId="2C34E91E" w14:textId="77777777">
        <w:trPr>
          <w:divId w:val="415980837"/>
          <w:tblCellSpacing w:w="0" w:type="dxa"/>
        </w:trPr>
        <w:tc>
          <w:tcPr>
            <w:tcW w:w="0" w:type="pct"/>
            <w:hideMark/>
          </w:tcPr>
          <w:p w14:paraId="6FFC4BAA" w14:textId="77777777" w:rsidR="00000000" w:rsidRDefault="002F725F">
            <w:pPr>
              <w:rPr>
                <w:rFonts w:eastAsia="Times New Roman"/>
                <w:sz w:val="20"/>
                <w:szCs w:val="20"/>
              </w:rPr>
            </w:pPr>
            <w:r>
              <w:rPr>
                <w:rFonts w:eastAsia="Times New Roman"/>
                <w:sz w:val="20"/>
                <w:szCs w:val="20"/>
              </w:rPr>
              <w:t> </w:t>
            </w:r>
          </w:p>
        </w:tc>
        <w:tc>
          <w:tcPr>
            <w:tcW w:w="360" w:type="dxa"/>
            <w:hideMark/>
          </w:tcPr>
          <w:p w14:paraId="3CEFBD9B" w14:textId="77777777" w:rsidR="00000000" w:rsidRDefault="002F725F">
            <w:pPr>
              <w:rPr>
                <w:rFonts w:eastAsia="Times New Roman"/>
                <w:sz w:val="20"/>
                <w:szCs w:val="20"/>
              </w:rPr>
            </w:pPr>
            <w:r>
              <w:rPr>
                <w:rFonts w:eastAsia="Times New Roman"/>
                <w:sz w:val="20"/>
                <w:szCs w:val="20"/>
              </w:rPr>
              <w:t>(3)</w:t>
            </w:r>
          </w:p>
        </w:tc>
        <w:tc>
          <w:tcPr>
            <w:tcW w:w="0" w:type="auto"/>
            <w:hideMark/>
          </w:tcPr>
          <w:p w14:paraId="5449BF18" w14:textId="77777777" w:rsidR="00000000" w:rsidRDefault="002F725F">
            <w:pPr>
              <w:jc w:val="both"/>
              <w:rPr>
                <w:rFonts w:eastAsia="Times New Roman"/>
                <w:sz w:val="20"/>
                <w:szCs w:val="20"/>
              </w:rPr>
            </w:pPr>
            <w:r>
              <w:rPr>
                <w:rFonts w:eastAsia="Times New Roman"/>
                <w:sz w:val="20"/>
                <w:szCs w:val="20"/>
              </w:rPr>
              <w:t>An objection under subsection (2) shall include a statement that the member proposes to dema</w:t>
            </w:r>
            <w:r>
              <w:rPr>
                <w:rFonts w:eastAsia="Times New Roman"/>
                <w:sz w:val="20"/>
                <w:szCs w:val="20"/>
              </w:rPr>
              <w:t>nd payment for that person’s shares if the merger or consolidation is authorised by the vote.</w:t>
            </w:r>
          </w:p>
        </w:tc>
      </w:tr>
    </w:tbl>
    <w:p w14:paraId="04DFDEDF" w14:textId="77777777" w:rsidR="00000000" w:rsidRDefault="002F725F">
      <w:pPr>
        <w:pStyle w:val="NormalWeb"/>
        <w:spacing w:before="0" w:beforeAutospacing="0" w:after="0" w:afterAutospacing="0"/>
        <w:divId w:val="415980837"/>
        <w:rPr>
          <w:sz w:val="20"/>
          <w:szCs w:val="20"/>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50"/>
        <w:gridCol w:w="360"/>
        <w:gridCol w:w="8950"/>
      </w:tblGrid>
      <w:tr w:rsidR="00000000" w14:paraId="5D8EE4F9" w14:textId="77777777">
        <w:trPr>
          <w:divId w:val="415980837"/>
          <w:tblCellSpacing w:w="0" w:type="dxa"/>
        </w:trPr>
        <w:tc>
          <w:tcPr>
            <w:tcW w:w="0" w:type="pct"/>
            <w:hideMark/>
          </w:tcPr>
          <w:p w14:paraId="1B75C29E" w14:textId="77777777" w:rsidR="00000000" w:rsidRDefault="002F725F">
            <w:pPr>
              <w:rPr>
                <w:rFonts w:eastAsia="Times New Roman"/>
                <w:sz w:val="20"/>
                <w:szCs w:val="20"/>
              </w:rPr>
            </w:pPr>
            <w:r>
              <w:rPr>
                <w:rFonts w:eastAsia="Times New Roman"/>
                <w:sz w:val="20"/>
                <w:szCs w:val="20"/>
              </w:rPr>
              <w:t> </w:t>
            </w:r>
          </w:p>
        </w:tc>
        <w:tc>
          <w:tcPr>
            <w:tcW w:w="360" w:type="dxa"/>
            <w:hideMark/>
          </w:tcPr>
          <w:p w14:paraId="0FB7E452" w14:textId="77777777" w:rsidR="00000000" w:rsidRDefault="002F725F">
            <w:pPr>
              <w:rPr>
                <w:rFonts w:eastAsia="Times New Roman"/>
                <w:sz w:val="20"/>
                <w:szCs w:val="20"/>
              </w:rPr>
            </w:pPr>
            <w:r>
              <w:rPr>
                <w:rFonts w:eastAsia="Times New Roman"/>
                <w:sz w:val="20"/>
                <w:szCs w:val="20"/>
              </w:rPr>
              <w:t>(4)</w:t>
            </w:r>
          </w:p>
        </w:tc>
        <w:tc>
          <w:tcPr>
            <w:tcW w:w="0" w:type="auto"/>
            <w:hideMark/>
          </w:tcPr>
          <w:p w14:paraId="1CBEC4C1" w14:textId="77777777" w:rsidR="00000000" w:rsidRDefault="002F725F">
            <w:pPr>
              <w:jc w:val="both"/>
              <w:rPr>
                <w:rFonts w:eastAsia="Times New Roman"/>
                <w:sz w:val="20"/>
                <w:szCs w:val="20"/>
              </w:rPr>
            </w:pPr>
            <w:r>
              <w:rPr>
                <w:rFonts w:eastAsia="Times New Roman"/>
                <w:sz w:val="20"/>
                <w:szCs w:val="20"/>
              </w:rPr>
              <w:t>Within twenty days immediately following the date on which the vote of members giving authorisation for the merger or consolidation is made, the constitu</w:t>
            </w:r>
            <w:r>
              <w:rPr>
                <w:rFonts w:eastAsia="Times New Roman"/>
                <w:sz w:val="20"/>
                <w:szCs w:val="20"/>
              </w:rPr>
              <w:t>ent company shall give written notice of the authorisation to each member who made a written objection.</w:t>
            </w:r>
          </w:p>
        </w:tc>
      </w:tr>
    </w:tbl>
    <w:p w14:paraId="4DF2FB86" w14:textId="77777777" w:rsidR="00000000" w:rsidRDefault="002F725F">
      <w:pPr>
        <w:pStyle w:val="NormalWeb"/>
        <w:spacing w:before="0" w:beforeAutospacing="0" w:after="0" w:afterAutospacing="0"/>
        <w:divId w:val="415980837"/>
        <w:rPr>
          <w:sz w:val="20"/>
          <w:szCs w:val="20"/>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50"/>
        <w:gridCol w:w="360"/>
        <w:gridCol w:w="8950"/>
      </w:tblGrid>
      <w:tr w:rsidR="00000000" w14:paraId="22475E18" w14:textId="77777777">
        <w:trPr>
          <w:divId w:val="415980837"/>
          <w:tblCellSpacing w:w="0" w:type="dxa"/>
        </w:trPr>
        <w:tc>
          <w:tcPr>
            <w:tcW w:w="0" w:type="pct"/>
            <w:hideMark/>
          </w:tcPr>
          <w:p w14:paraId="7DA82010" w14:textId="77777777" w:rsidR="00000000" w:rsidRDefault="002F725F">
            <w:pPr>
              <w:rPr>
                <w:rFonts w:eastAsia="Times New Roman"/>
                <w:sz w:val="20"/>
                <w:szCs w:val="20"/>
              </w:rPr>
            </w:pPr>
            <w:r>
              <w:rPr>
                <w:rFonts w:eastAsia="Times New Roman"/>
                <w:sz w:val="20"/>
                <w:szCs w:val="20"/>
              </w:rPr>
              <w:t> </w:t>
            </w:r>
          </w:p>
        </w:tc>
        <w:tc>
          <w:tcPr>
            <w:tcW w:w="360" w:type="dxa"/>
            <w:hideMark/>
          </w:tcPr>
          <w:p w14:paraId="35E30498" w14:textId="77777777" w:rsidR="00000000" w:rsidRDefault="002F725F">
            <w:pPr>
              <w:rPr>
                <w:rFonts w:eastAsia="Times New Roman"/>
                <w:sz w:val="20"/>
                <w:szCs w:val="20"/>
              </w:rPr>
            </w:pPr>
            <w:r>
              <w:rPr>
                <w:rFonts w:eastAsia="Times New Roman"/>
                <w:sz w:val="20"/>
                <w:szCs w:val="20"/>
              </w:rPr>
              <w:t>(5)</w:t>
            </w:r>
          </w:p>
        </w:tc>
        <w:tc>
          <w:tcPr>
            <w:tcW w:w="0" w:type="auto"/>
            <w:hideMark/>
          </w:tcPr>
          <w:p w14:paraId="6133FB95" w14:textId="77777777" w:rsidR="00000000" w:rsidRDefault="002F725F">
            <w:pPr>
              <w:jc w:val="both"/>
              <w:rPr>
                <w:rFonts w:eastAsia="Times New Roman"/>
                <w:sz w:val="20"/>
                <w:szCs w:val="20"/>
              </w:rPr>
            </w:pPr>
            <w:r>
              <w:rPr>
                <w:rFonts w:eastAsia="Times New Roman"/>
                <w:sz w:val="20"/>
                <w:szCs w:val="20"/>
              </w:rPr>
              <w:t>A member who elects to dissent shall, within twenty days immediately following the date on which the notice referred to in subsection (4) is gi</w:t>
            </w:r>
            <w:r>
              <w:rPr>
                <w:rFonts w:eastAsia="Times New Roman"/>
                <w:sz w:val="20"/>
                <w:szCs w:val="20"/>
              </w:rPr>
              <w:t>ven, give to the constituent company a written notice of that person’s decision to dissent, stating—</w:t>
            </w:r>
          </w:p>
        </w:tc>
      </w:tr>
    </w:tbl>
    <w:p w14:paraId="26F185D4" w14:textId="77777777" w:rsidR="00000000" w:rsidRDefault="002F725F">
      <w:pPr>
        <w:pStyle w:val="NormalWeb"/>
        <w:spacing w:before="0" w:beforeAutospacing="0" w:after="0" w:afterAutospacing="0"/>
        <w:divId w:val="415980837"/>
        <w:rPr>
          <w:sz w:val="14"/>
          <w:szCs w:val="14"/>
        </w:rPr>
      </w:pPr>
      <w:r>
        <w:rPr>
          <w:sz w:val="14"/>
          <w:szCs w:val="14"/>
        </w:rPr>
        <w:t> </w:t>
      </w:r>
    </w:p>
    <w:tbl>
      <w:tblPr>
        <w:tblW w:w="5000" w:type="pct"/>
        <w:tblCellSpacing w:w="0" w:type="dxa"/>
        <w:tblCellMar>
          <w:left w:w="0" w:type="dxa"/>
          <w:right w:w="0" w:type="dxa"/>
        </w:tblCellMar>
        <w:tblLook w:val="04A0" w:firstRow="1" w:lastRow="0" w:firstColumn="1" w:lastColumn="0" w:noHBand="0" w:noVBand="1"/>
      </w:tblPr>
      <w:tblGrid>
        <w:gridCol w:w="360"/>
        <w:gridCol w:w="360"/>
        <w:gridCol w:w="8640"/>
      </w:tblGrid>
      <w:tr w:rsidR="00000000" w14:paraId="68411231" w14:textId="77777777">
        <w:trPr>
          <w:divId w:val="415980837"/>
          <w:tblCellSpacing w:w="0" w:type="dxa"/>
        </w:trPr>
        <w:tc>
          <w:tcPr>
            <w:tcW w:w="360" w:type="dxa"/>
            <w:hideMark/>
          </w:tcPr>
          <w:p w14:paraId="1AA7D7F5" w14:textId="77777777" w:rsidR="00000000" w:rsidRDefault="002F725F">
            <w:pPr>
              <w:rPr>
                <w:rFonts w:eastAsia="Times New Roman"/>
                <w:sz w:val="20"/>
                <w:szCs w:val="20"/>
              </w:rPr>
            </w:pPr>
            <w:r>
              <w:rPr>
                <w:rFonts w:eastAsia="Times New Roman"/>
                <w:sz w:val="20"/>
                <w:szCs w:val="20"/>
              </w:rPr>
              <w:t> </w:t>
            </w:r>
          </w:p>
        </w:tc>
        <w:tc>
          <w:tcPr>
            <w:tcW w:w="360" w:type="dxa"/>
            <w:hideMark/>
          </w:tcPr>
          <w:p w14:paraId="34147F7D" w14:textId="77777777" w:rsidR="00000000" w:rsidRDefault="002F725F">
            <w:pPr>
              <w:rPr>
                <w:rFonts w:eastAsia="Times New Roman"/>
                <w:sz w:val="20"/>
                <w:szCs w:val="20"/>
              </w:rPr>
            </w:pPr>
            <w:r>
              <w:rPr>
                <w:rFonts w:eastAsia="Times New Roman"/>
                <w:sz w:val="20"/>
                <w:szCs w:val="20"/>
              </w:rPr>
              <w:t>(a)</w:t>
            </w:r>
          </w:p>
        </w:tc>
        <w:tc>
          <w:tcPr>
            <w:tcW w:w="0" w:type="auto"/>
            <w:hideMark/>
          </w:tcPr>
          <w:p w14:paraId="116B9BB4" w14:textId="77777777" w:rsidR="00000000" w:rsidRDefault="002F725F">
            <w:pPr>
              <w:jc w:val="both"/>
              <w:rPr>
                <w:rFonts w:eastAsia="Times New Roman"/>
                <w:sz w:val="20"/>
                <w:szCs w:val="20"/>
              </w:rPr>
            </w:pPr>
            <w:r>
              <w:rPr>
                <w:rFonts w:eastAsia="Times New Roman"/>
                <w:sz w:val="20"/>
                <w:szCs w:val="20"/>
              </w:rPr>
              <w:t>that person’s name and address;</w:t>
            </w:r>
          </w:p>
        </w:tc>
      </w:tr>
    </w:tbl>
    <w:p w14:paraId="2363DEC9" w14:textId="77777777" w:rsidR="00000000" w:rsidRDefault="002F725F">
      <w:pPr>
        <w:pStyle w:val="NormalWeb"/>
        <w:spacing w:before="0" w:beforeAutospacing="0" w:after="0" w:afterAutospacing="0"/>
        <w:ind w:left="72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360"/>
        <w:gridCol w:w="8640"/>
      </w:tblGrid>
      <w:tr w:rsidR="00000000" w14:paraId="706A0BB8" w14:textId="77777777">
        <w:trPr>
          <w:divId w:val="415980837"/>
          <w:tblCellSpacing w:w="0" w:type="dxa"/>
        </w:trPr>
        <w:tc>
          <w:tcPr>
            <w:tcW w:w="360" w:type="dxa"/>
            <w:hideMark/>
          </w:tcPr>
          <w:p w14:paraId="49667799" w14:textId="77777777" w:rsidR="00000000" w:rsidRDefault="002F725F">
            <w:pPr>
              <w:rPr>
                <w:rFonts w:eastAsia="Times New Roman"/>
                <w:sz w:val="20"/>
                <w:szCs w:val="20"/>
              </w:rPr>
            </w:pPr>
            <w:r>
              <w:rPr>
                <w:rFonts w:eastAsia="Times New Roman"/>
                <w:sz w:val="20"/>
                <w:szCs w:val="20"/>
              </w:rPr>
              <w:t> </w:t>
            </w:r>
          </w:p>
        </w:tc>
        <w:tc>
          <w:tcPr>
            <w:tcW w:w="360" w:type="dxa"/>
            <w:hideMark/>
          </w:tcPr>
          <w:p w14:paraId="7B06F35B" w14:textId="77777777" w:rsidR="00000000" w:rsidRDefault="002F725F">
            <w:pPr>
              <w:rPr>
                <w:rFonts w:eastAsia="Times New Roman"/>
                <w:sz w:val="20"/>
                <w:szCs w:val="20"/>
              </w:rPr>
            </w:pPr>
            <w:r>
              <w:rPr>
                <w:rFonts w:eastAsia="Times New Roman"/>
                <w:sz w:val="20"/>
                <w:szCs w:val="20"/>
              </w:rPr>
              <w:t>(b)</w:t>
            </w:r>
          </w:p>
        </w:tc>
        <w:tc>
          <w:tcPr>
            <w:tcW w:w="0" w:type="auto"/>
            <w:hideMark/>
          </w:tcPr>
          <w:p w14:paraId="54B2F4E6" w14:textId="77777777" w:rsidR="00000000" w:rsidRDefault="002F725F">
            <w:pPr>
              <w:jc w:val="both"/>
              <w:rPr>
                <w:rFonts w:eastAsia="Times New Roman"/>
                <w:sz w:val="20"/>
                <w:szCs w:val="20"/>
              </w:rPr>
            </w:pPr>
            <w:r>
              <w:rPr>
                <w:rFonts w:eastAsia="Times New Roman"/>
                <w:sz w:val="20"/>
                <w:szCs w:val="20"/>
              </w:rPr>
              <w:t>the number and classes of shares in respect of which that person dissents; and</w:t>
            </w:r>
          </w:p>
        </w:tc>
      </w:tr>
    </w:tbl>
    <w:p w14:paraId="2F508ED3" w14:textId="77777777" w:rsidR="00000000" w:rsidRDefault="002F725F">
      <w:pPr>
        <w:pStyle w:val="NormalWeb"/>
        <w:spacing w:before="0" w:beforeAutospacing="0" w:after="0" w:afterAutospacing="0"/>
        <w:ind w:left="72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360"/>
        <w:gridCol w:w="8640"/>
      </w:tblGrid>
      <w:tr w:rsidR="00000000" w14:paraId="765A31A0" w14:textId="77777777">
        <w:trPr>
          <w:divId w:val="415980837"/>
          <w:tblCellSpacing w:w="0" w:type="dxa"/>
        </w:trPr>
        <w:tc>
          <w:tcPr>
            <w:tcW w:w="360" w:type="dxa"/>
            <w:hideMark/>
          </w:tcPr>
          <w:p w14:paraId="40840D98" w14:textId="77777777" w:rsidR="00000000" w:rsidRDefault="002F725F">
            <w:pPr>
              <w:rPr>
                <w:rFonts w:eastAsia="Times New Roman"/>
                <w:sz w:val="20"/>
                <w:szCs w:val="20"/>
              </w:rPr>
            </w:pPr>
            <w:r>
              <w:rPr>
                <w:rFonts w:eastAsia="Times New Roman"/>
                <w:sz w:val="20"/>
                <w:szCs w:val="20"/>
              </w:rPr>
              <w:t> </w:t>
            </w:r>
          </w:p>
        </w:tc>
        <w:tc>
          <w:tcPr>
            <w:tcW w:w="360" w:type="dxa"/>
            <w:hideMark/>
          </w:tcPr>
          <w:p w14:paraId="250A4B00" w14:textId="77777777" w:rsidR="00000000" w:rsidRDefault="002F725F">
            <w:pPr>
              <w:rPr>
                <w:rFonts w:eastAsia="Times New Roman"/>
                <w:sz w:val="20"/>
                <w:szCs w:val="20"/>
              </w:rPr>
            </w:pPr>
            <w:r>
              <w:rPr>
                <w:rFonts w:eastAsia="Times New Roman"/>
                <w:sz w:val="20"/>
                <w:szCs w:val="20"/>
              </w:rPr>
              <w:t>(c)</w:t>
            </w:r>
          </w:p>
        </w:tc>
        <w:tc>
          <w:tcPr>
            <w:tcW w:w="0" w:type="auto"/>
            <w:hideMark/>
          </w:tcPr>
          <w:p w14:paraId="16EBFD1E" w14:textId="77777777" w:rsidR="00000000" w:rsidRDefault="002F725F">
            <w:pPr>
              <w:jc w:val="both"/>
              <w:rPr>
                <w:rFonts w:eastAsia="Times New Roman"/>
                <w:sz w:val="20"/>
                <w:szCs w:val="20"/>
              </w:rPr>
            </w:pPr>
            <w:r>
              <w:rPr>
                <w:rFonts w:eastAsia="Times New Roman"/>
                <w:sz w:val="20"/>
                <w:szCs w:val="20"/>
              </w:rPr>
              <w:t>a demand for payment of the fair value of that person’s shares.</w:t>
            </w:r>
          </w:p>
        </w:tc>
      </w:tr>
    </w:tbl>
    <w:p w14:paraId="7D2EBD22" w14:textId="77777777" w:rsidR="00000000" w:rsidRDefault="002F725F">
      <w:pPr>
        <w:pStyle w:val="NormalWeb"/>
        <w:spacing w:before="0" w:beforeAutospacing="0" w:after="0" w:afterAutospacing="0"/>
        <w:divId w:val="415980837"/>
        <w:rPr>
          <w:sz w:val="20"/>
          <w:szCs w:val="20"/>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50"/>
        <w:gridCol w:w="360"/>
        <w:gridCol w:w="8950"/>
      </w:tblGrid>
      <w:tr w:rsidR="00000000" w14:paraId="06582657" w14:textId="77777777">
        <w:trPr>
          <w:divId w:val="415980837"/>
          <w:tblCellSpacing w:w="0" w:type="dxa"/>
        </w:trPr>
        <w:tc>
          <w:tcPr>
            <w:tcW w:w="0" w:type="pct"/>
            <w:hideMark/>
          </w:tcPr>
          <w:p w14:paraId="051AC4DB" w14:textId="77777777" w:rsidR="00000000" w:rsidRDefault="002F725F">
            <w:pPr>
              <w:rPr>
                <w:rFonts w:eastAsia="Times New Roman"/>
                <w:sz w:val="20"/>
                <w:szCs w:val="20"/>
              </w:rPr>
            </w:pPr>
            <w:r>
              <w:rPr>
                <w:rFonts w:eastAsia="Times New Roman"/>
                <w:sz w:val="20"/>
                <w:szCs w:val="20"/>
              </w:rPr>
              <w:t> </w:t>
            </w:r>
          </w:p>
        </w:tc>
        <w:tc>
          <w:tcPr>
            <w:tcW w:w="360" w:type="dxa"/>
            <w:hideMark/>
          </w:tcPr>
          <w:p w14:paraId="6EFEB0A4" w14:textId="77777777" w:rsidR="00000000" w:rsidRDefault="002F725F">
            <w:pPr>
              <w:rPr>
                <w:rFonts w:eastAsia="Times New Roman"/>
                <w:sz w:val="20"/>
                <w:szCs w:val="20"/>
              </w:rPr>
            </w:pPr>
            <w:r>
              <w:rPr>
                <w:rFonts w:eastAsia="Times New Roman"/>
                <w:sz w:val="20"/>
                <w:szCs w:val="20"/>
              </w:rPr>
              <w:t>(6)</w:t>
            </w:r>
          </w:p>
        </w:tc>
        <w:tc>
          <w:tcPr>
            <w:tcW w:w="0" w:type="auto"/>
            <w:hideMark/>
          </w:tcPr>
          <w:p w14:paraId="3BCB6E6D" w14:textId="77777777" w:rsidR="00000000" w:rsidRDefault="002F725F">
            <w:pPr>
              <w:jc w:val="both"/>
              <w:rPr>
                <w:rFonts w:eastAsia="Times New Roman"/>
                <w:sz w:val="20"/>
                <w:szCs w:val="20"/>
              </w:rPr>
            </w:pPr>
            <w:r>
              <w:rPr>
                <w:rFonts w:eastAsia="Times New Roman"/>
                <w:sz w:val="20"/>
                <w:szCs w:val="20"/>
              </w:rPr>
              <w:t>A member who dissents shall do so in respect of all shares that that person holds in the consti</w:t>
            </w:r>
            <w:r>
              <w:rPr>
                <w:rFonts w:eastAsia="Times New Roman"/>
                <w:sz w:val="20"/>
                <w:szCs w:val="20"/>
              </w:rPr>
              <w:t>tuent company.</w:t>
            </w:r>
          </w:p>
        </w:tc>
      </w:tr>
    </w:tbl>
    <w:p w14:paraId="7EC389CE" w14:textId="77777777" w:rsidR="00000000" w:rsidRDefault="002F725F">
      <w:pPr>
        <w:pStyle w:val="NormalWeb"/>
        <w:spacing w:before="0" w:beforeAutospacing="0" w:after="0" w:afterAutospacing="0"/>
        <w:divId w:val="415980837"/>
        <w:rPr>
          <w:sz w:val="20"/>
          <w:szCs w:val="20"/>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50"/>
        <w:gridCol w:w="360"/>
        <w:gridCol w:w="8950"/>
      </w:tblGrid>
      <w:tr w:rsidR="00000000" w14:paraId="2DA66A76" w14:textId="77777777">
        <w:trPr>
          <w:divId w:val="415980837"/>
          <w:tblCellSpacing w:w="0" w:type="dxa"/>
        </w:trPr>
        <w:tc>
          <w:tcPr>
            <w:tcW w:w="0" w:type="pct"/>
            <w:hideMark/>
          </w:tcPr>
          <w:p w14:paraId="2E8A9880" w14:textId="77777777" w:rsidR="00000000" w:rsidRDefault="002F725F">
            <w:pPr>
              <w:rPr>
                <w:rFonts w:eastAsia="Times New Roman"/>
                <w:sz w:val="20"/>
                <w:szCs w:val="20"/>
              </w:rPr>
            </w:pPr>
            <w:r>
              <w:rPr>
                <w:rFonts w:eastAsia="Times New Roman"/>
                <w:sz w:val="20"/>
                <w:szCs w:val="20"/>
              </w:rPr>
              <w:lastRenderedPageBreak/>
              <w:t> </w:t>
            </w:r>
          </w:p>
        </w:tc>
        <w:tc>
          <w:tcPr>
            <w:tcW w:w="360" w:type="dxa"/>
            <w:hideMark/>
          </w:tcPr>
          <w:p w14:paraId="1609394C" w14:textId="77777777" w:rsidR="00000000" w:rsidRDefault="002F725F">
            <w:pPr>
              <w:rPr>
                <w:rFonts w:eastAsia="Times New Roman"/>
                <w:sz w:val="20"/>
                <w:szCs w:val="20"/>
              </w:rPr>
            </w:pPr>
            <w:r>
              <w:rPr>
                <w:rFonts w:eastAsia="Times New Roman"/>
                <w:sz w:val="20"/>
                <w:szCs w:val="20"/>
              </w:rPr>
              <w:t>(7)</w:t>
            </w:r>
          </w:p>
        </w:tc>
        <w:tc>
          <w:tcPr>
            <w:tcW w:w="0" w:type="auto"/>
            <w:hideMark/>
          </w:tcPr>
          <w:p w14:paraId="7AE7E76E" w14:textId="77777777" w:rsidR="00000000" w:rsidRDefault="002F725F">
            <w:pPr>
              <w:jc w:val="both"/>
              <w:rPr>
                <w:rFonts w:eastAsia="Times New Roman"/>
                <w:sz w:val="20"/>
                <w:szCs w:val="20"/>
              </w:rPr>
            </w:pPr>
            <w:r>
              <w:rPr>
                <w:rFonts w:eastAsia="Times New Roman"/>
                <w:sz w:val="20"/>
                <w:szCs w:val="20"/>
              </w:rPr>
              <w:t>Upon the giving of a notice of dissent under subsection (5), the member to whom the notice relates shall cease to have any of the rights of a member except the right to be paid the fair value of that person’s shares and the rights referred to in subsection</w:t>
            </w:r>
            <w:r>
              <w:rPr>
                <w:rFonts w:eastAsia="Times New Roman"/>
                <w:sz w:val="20"/>
                <w:szCs w:val="20"/>
              </w:rPr>
              <w:t>s (12) and (16).</w:t>
            </w:r>
          </w:p>
        </w:tc>
      </w:tr>
    </w:tbl>
    <w:p w14:paraId="644F0250" w14:textId="77777777" w:rsidR="00000000" w:rsidRDefault="002F725F">
      <w:pPr>
        <w:pStyle w:val="NormalWeb"/>
        <w:spacing w:before="0" w:beforeAutospacing="0" w:after="0" w:afterAutospacing="0"/>
        <w:divId w:val="415980837"/>
        <w:rPr>
          <w:sz w:val="20"/>
          <w:szCs w:val="20"/>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50"/>
        <w:gridCol w:w="360"/>
        <w:gridCol w:w="8950"/>
      </w:tblGrid>
      <w:tr w:rsidR="00000000" w14:paraId="14ECA625" w14:textId="77777777">
        <w:trPr>
          <w:divId w:val="415980837"/>
          <w:tblCellSpacing w:w="0" w:type="dxa"/>
        </w:trPr>
        <w:tc>
          <w:tcPr>
            <w:tcW w:w="0" w:type="pct"/>
            <w:hideMark/>
          </w:tcPr>
          <w:p w14:paraId="4618A1E9" w14:textId="77777777" w:rsidR="00000000" w:rsidRDefault="002F725F">
            <w:pPr>
              <w:rPr>
                <w:rFonts w:eastAsia="Times New Roman"/>
                <w:sz w:val="20"/>
                <w:szCs w:val="20"/>
              </w:rPr>
            </w:pPr>
            <w:r>
              <w:rPr>
                <w:rFonts w:eastAsia="Times New Roman"/>
                <w:sz w:val="20"/>
                <w:szCs w:val="20"/>
              </w:rPr>
              <w:t> </w:t>
            </w:r>
          </w:p>
        </w:tc>
        <w:tc>
          <w:tcPr>
            <w:tcW w:w="360" w:type="dxa"/>
            <w:hideMark/>
          </w:tcPr>
          <w:p w14:paraId="3A08423C" w14:textId="77777777" w:rsidR="00000000" w:rsidRDefault="002F725F">
            <w:pPr>
              <w:rPr>
                <w:rFonts w:eastAsia="Times New Roman"/>
                <w:sz w:val="20"/>
                <w:szCs w:val="20"/>
              </w:rPr>
            </w:pPr>
            <w:r>
              <w:rPr>
                <w:rFonts w:eastAsia="Times New Roman"/>
                <w:sz w:val="20"/>
                <w:szCs w:val="20"/>
              </w:rPr>
              <w:t>(8)</w:t>
            </w:r>
          </w:p>
        </w:tc>
        <w:tc>
          <w:tcPr>
            <w:tcW w:w="0" w:type="auto"/>
            <w:hideMark/>
          </w:tcPr>
          <w:p w14:paraId="69E1C26C" w14:textId="77777777" w:rsidR="00000000" w:rsidRDefault="002F725F">
            <w:pPr>
              <w:jc w:val="both"/>
              <w:rPr>
                <w:rFonts w:eastAsia="Times New Roman"/>
                <w:sz w:val="20"/>
                <w:szCs w:val="20"/>
              </w:rPr>
            </w:pPr>
            <w:r>
              <w:rPr>
                <w:rFonts w:eastAsia="Times New Roman"/>
                <w:sz w:val="20"/>
                <w:szCs w:val="20"/>
              </w:rPr>
              <w:t>Within seven days immediately following the date of the expiration of the period specified in subsection (5), or within seven days immediately following the date on which the plan of merger or consolidation is filed, whichever is later, the constituent com</w:t>
            </w:r>
            <w:r>
              <w:rPr>
                <w:rFonts w:eastAsia="Times New Roman"/>
                <w:sz w:val="20"/>
                <w:szCs w:val="20"/>
              </w:rPr>
              <w:t>pany, the surviving company or the consolidated company shall make a written offer to each dissenting member to purchase that person’s shares at a specified price that the company determines to be their fair value; and if, within thirty days immediately fo</w:t>
            </w:r>
            <w:r>
              <w:rPr>
                <w:rFonts w:eastAsia="Times New Roman"/>
                <w:sz w:val="20"/>
                <w:szCs w:val="20"/>
              </w:rPr>
              <w:t>llowing the date on which the offer is made, the company making the offer and the dissenting member agree upon the price to be paid for that person’s shares, the company shall pay to the member the amount in money forthwith.</w:t>
            </w:r>
          </w:p>
        </w:tc>
      </w:tr>
    </w:tbl>
    <w:p w14:paraId="55AE850C" w14:textId="77777777" w:rsidR="00000000" w:rsidRDefault="002F725F">
      <w:pPr>
        <w:pStyle w:val="NormalWeb"/>
        <w:spacing w:before="0" w:beforeAutospacing="0" w:after="0" w:afterAutospacing="0"/>
        <w:divId w:val="415980837"/>
        <w:rPr>
          <w:sz w:val="14"/>
          <w:szCs w:val="14"/>
        </w:rPr>
      </w:pPr>
      <w:r>
        <w:rPr>
          <w:sz w:val="14"/>
          <w:szCs w:val="14"/>
        </w:rPr>
        <w:t> </w:t>
      </w:r>
    </w:p>
    <w:tbl>
      <w:tblPr>
        <w:tblW w:w="5000" w:type="pct"/>
        <w:tblCellSpacing w:w="0" w:type="dxa"/>
        <w:tblCellMar>
          <w:left w:w="0" w:type="dxa"/>
          <w:right w:w="0" w:type="dxa"/>
        </w:tblCellMar>
        <w:tblLook w:val="04A0" w:firstRow="1" w:lastRow="0" w:firstColumn="1" w:lastColumn="0" w:noHBand="0" w:noVBand="1"/>
      </w:tblPr>
      <w:tblGrid>
        <w:gridCol w:w="50"/>
        <w:gridCol w:w="360"/>
        <w:gridCol w:w="8950"/>
      </w:tblGrid>
      <w:tr w:rsidR="00000000" w14:paraId="316F91E3" w14:textId="77777777">
        <w:trPr>
          <w:divId w:val="415980837"/>
          <w:tblCellSpacing w:w="0" w:type="dxa"/>
        </w:trPr>
        <w:tc>
          <w:tcPr>
            <w:tcW w:w="0" w:type="pct"/>
            <w:hideMark/>
          </w:tcPr>
          <w:p w14:paraId="233312A0" w14:textId="77777777" w:rsidR="00000000" w:rsidRDefault="002F725F">
            <w:pPr>
              <w:rPr>
                <w:rFonts w:eastAsia="Times New Roman"/>
                <w:sz w:val="20"/>
                <w:szCs w:val="20"/>
              </w:rPr>
            </w:pPr>
            <w:r>
              <w:rPr>
                <w:rFonts w:eastAsia="Times New Roman"/>
                <w:sz w:val="20"/>
                <w:szCs w:val="20"/>
              </w:rPr>
              <w:t> </w:t>
            </w:r>
          </w:p>
        </w:tc>
        <w:tc>
          <w:tcPr>
            <w:tcW w:w="360" w:type="dxa"/>
            <w:hideMark/>
          </w:tcPr>
          <w:p w14:paraId="795E41DD" w14:textId="77777777" w:rsidR="00000000" w:rsidRDefault="002F725F">
            <w:pPr>
              <w:rPr>
                <w:rFonts w:eastAsia="Times New Roman"/>
                <w:sz w:val="20"/>
                <w:szCs w:val="20"/>
              </w:rPr>
            </w:pPr>
            <w:r>
              <w:rPr>
                <w:rFonts w:eastAsia="Times New Roman"/>
                <w:sz w:val="20"/>
                <w:szCs w:val="20"/>
              </w:rPr>
              <w:t>(9)</w:t>
            </w:r>
          </w:p>
        </w:tc>
        <w:tc>
          <w:tcPr>
            <w:tcW w:w="0" w:type="auto"/>
            <w:hideMark/>
          </w:tcPr>
          <w:p w14:paraId="3011AEE7" w14:textId="77777777" w:rsidR="00000000" w:rsidRDefault="002F725F">
            <w:pPr>
              <w:jc w:val="both"/>
              <w:rPr>
                <w:rFonts w:eastAsia="Times New Roman"/>
                <w:sz w:val="20"/>
                <w:szCs w:val="20"/>
              </w:rPr>
            </w:pPr>
            <w:r>
              <w:rPr>
                <w:rFonts w:eastAsia="Times New Roman"/>
                <w:sz w:val="20"/>
                <w:szCs w:val="20"/>
              </w:rPr>
              <w:t>If the company and a d</w:t>
            </w:r>
            <w:r>
              <w:rPr>
                <w:rFonts w:eastAsia="Times New Roman"/>
                <w:sz w:val="20"/>
                <w:szCs w:val="20"/>
              </w:rPr>
              <w:t>issenting member fail, within the period specified in subsection (8), to agree on the price to be paid for the shares owned by the member, within twenty days immediately following the date on which the period expires—</w:t>
            </w:r>
          </w:p>
        </w:tc>
      </w:tr>
    </w:tbl>
    <w:p w14:paraId="203C6D43" w14:textId="77777777" w:rsidR="00000000" w:rsidRDefault="002F725F">
      <w:pPr>
        <w:pStyle w:val="NormalWeb"/>
        <w:spacing w:before="0" w:beforeAutospacing="0" w:after="0" w:afterAutospacing="0"/>
        <w:divId w:val="415980837"/>
        <w:rPr>
          <w:sz w:val="20"/>
          <w:szCs w:val="20"/>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360"/>
        <w:gridCol w:w="360"/>
        <w:gridCol w:w="8640"/>
      </w:tblGrid>
      <w:tr w:rsidR="00000000" w14:paraId="4C9D1069" w14:textId="77777777">
        <w:trPr>
          <w:divId w:val="415980837"/>
          <w:tblCellSpacing w:w="0" w:type="dxa"/>
        </w:trPr>
        <w:tc>
          <w:tcPr>
            <w:tcW w:w="360" w:type="dxa"/>
            <w:hideMark/>
          </w:tcPr>
          <w:p w14:paraId="493854DE" w14:textId="77777777" w:rsidR="00000000" w:rsidRDefault="002F725F">
            <w:pPr>
              <w:rPr>
                <w:rFonts w:eastAsia="Times New Roman"/>
                <w:sz w:val="20"/>
                <w:szCs w:val="20"/>
              </w:rPr>
            </w:pPr>
            <w:r>
              <w:rPr>
                <w:rFonts w:eastAsia="Times New Roman"/>
                <w:sz w:val="20"/>
                <w:szCs w:val="20"/>
              </w:rPr>
              <w:t> </w:t>
            </w:r>
          </w:p>
        </w:tc>
        <w:tc>
          <w:tcPr>
            <w:tcW w:w="360" w:type="dxa"/>
            <w:hideMark/>
          </w:tcPr>
          <w:p w14:paraId="111CA4F7" w14:textId="77777777" w:rsidR="00000000" w:rsidRDefault="002F725F">
            <w:pPr>
              <w:rPr>
                <w:rFonts w:eastAsia="Times New Roman"/>
                <w:sz w:val="20"/>
                <w:szCs w:val="20"/>
              </w:rPr>
            </w:pPr>
            <w:r>
              <w:rPr>
                <w:rFonts w:eastAsia="Times New Roman"/>
                <w:sz w:val="20"/>
                <w:szCs w:val="20"/>
              </w:rPr>
              <w:t>(a)</w:t>
            </w:r>
          </w:p>
        </w:tc>
        <w:tc>
          <w:tcPr>
            <w:tcW w:w="0" w:type="auto"/>
            <w:hideMark/>
          </w:tcPr>
          <w:p w14:paraId="12F142D1" w14:textId="77777777" w:rsidR="00000000" w:rsidRDefault="002F725F">
            <w:pPr>
              <w:jc w:val="both"/>
              <w:rPr>
                <w:rFonts w:eastAsia="Times New Roman"/>
                <w:sz w:val="20"/>
                <w:szCs w:val="20"/>
              </w:rPr>
            </w:pPr>
            <w:r>
              <w:rPr>
                <w:rFonts w:eastAsia="Times New Roman"/>
                <w:sz w:val="20"/>
                <w:szCs w:val="20"/>
              </w:rPr>
              <w:t>the company shall (and any di</w:t>
            </w:r>
            <w:r>
              <w:rPr>
                <w:rFonts w:eastAsia="Times New Roman"/>
                <w:sz w:val="20"/>
                <w:szCs w:val="20"/>
              </w:rPr>
              <w:t>ssenting member may) file a petition with the Court for a determination of the fair value of the shares of all dissenting members; and</w:t>
            </w:r>
          </w:p>
        </w:tc>
      </w:tr>
    </w:tbl>
    <w:p w14:paraId="408B66BC" w14:textId="77777777" w:rsidR="00000000" w:rsidRDefault="002F725F">
      <w:pPr>
        <w:pStyle w:val="NormalWeb"/>
        <w:spacing w:before="0" w:beforeAutospacing="0" w:after="0" w:afterAutospacing="0"/>
        <w:ind w:left="720"/>
        <w:divId w:val="415980837"/>
        <w:rPr>
          <w:sz w:val="20"/>
          <w:szCs w:val="20"/>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360"/>
        <w:gridCol w:w="360"/>
        <w:gridCol w:w="8640"/>
      </w:tblGrid>
      <w:tr w:rsidR="00000000" w14:paraId="07F35F20" w14:textId="77777777">
        <w:trPr>
          <w:divId w:val="415980837"/>
          <w:tblCellSpacing w:w="0" w:type="dxa"/>
        </w:trPr>
        <w:tc>
          <w:tcPr>
            <w:tcW w:w="360" w:type="dxa"/>
            <w:hideMark/>
          </w:tcPr>
          <w:p w14:paraId="3EF104ED" w14:textId="77777777" w:rsidR="00000000" w:rsidRDefault="002F725F">
            <w:pPr>
              <w:rPr>
                <w:rFonts w:eastAsia="Times New Roman"/>
                <w:sz w:val="20"/>
                <w:szCs w:val="20"/>
              </w:rPr>
            </w:pPr>
            <w:r>
              <w:rPr>
                <w:rFonts w:eastAsia="Times New Roman"/>
                <w:sz w:val="20"/>
                <w:szCs w:val="20"/>
              </w:rPr>
              <w:t> </w:t>
            </w:r>
          </w:p>
        </w:tc>
        <w:tc>
          <w:tcPr>
            <w:tcW w:w="360" w:type="dxa"/>
            <w:hideMark/>
          </w:tcPr>
          <w:p w14:paraId="3F56CEA4" w14:textId="77777777" w:rsidR="00000000" w:rsidRDefault="002F725F">
            <w:pPr>
              <w:rPr>
                <w:rFonts w:eastAsia="Times New Roman"/>
                <w:sz w:val="20"/>
                <w:szCs w:val="20"/>
              </w:rPr>
            </w:pPr>
            <w:r>
              <w:rPr>
                <w:rFonts w:eastAsia="Times New Roman"/>
                <w:sz w:val="20"/>
                <w:szCs w:val="20"/>
              </w:rPr>
              <w:t>(b)</w:t>
            </w:r>
          </w:p>
        </w:tc>
        <w:tc>
          <w:tcPr>
            <w:tcW w:w="0" w:type="auto"/>
            <w:hideMark/>
          </w:tcPr>
          <w:p w14:paraId="00423B8E" w14:textId="77777777" w:rsidR="00000000" w:rsidRDefault="002F725F">
            <w:pPr>
              <w:jc w:val="both"/>
              <w:rPr>
                <w:rFonts w:eastAsia="Times New Roman"/>
                <w:sz w:val="20"/>
                <w:szCs w:val="20"/>
              </w:rPr>
            </w:pPr>
            <w:r>
              <w:rPr>
                <w:rFonts w:eastAsia="Times New Roman"/>
                <w:sz w:val="20"/>
                <w:szCs w:val="20"/>
              </w:rPr>
              <w:t>the petition by the company shall be accompanied by a verified list containing the names and addresses of all me</w:t>
            </w:r>
            <w:r>
              <w:rPr>
                <w:rFonts w:eastAsia="Times New Roman"/>
                <w:sz w:val="20"/>
                <w:szCs w:val="20"/>
              </w:rPr>
              <w:t>mbers who have filed a notice under subsection (5) and with whom agreements as to the fair value of their shares have not been reached by the company.</w:t>
            </w:r>
          </w:p>
        </w:tc>
      </w:tr>
    </w:tbl>
    <w:p w14:paraId="1E950C5F" w14:textId="77777777" w:rsidR="00000000" w:rsidRDefault="002F725F">
      <w:pPr>
        <w:pStyle w:val="NormalWeb"/>
        <w:spacing w:before="0" w:beforeAutospacing="0" w:after="0" w:afterAutospacing="0"/>
        <w:divId w:val="415980837"/>
        <w:rPr>
          <w:sz w:val="14"/>
          <w:szCs w:val="14"/>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50"/>
        <w:gridCol w:w="360"/>
        <w:gridCol w:w="8950"/>
      </w:tblGrid>
      <w:tr w:rsidR="00000000" w14:paraId="0EC3978F" w14:textId="77777777">
        <w:trPr>
          <w:divId w:val="415980837"/>
          <w:tblCellSpacing w:w="0" w:type="dxa"/>
        </w:trPr>
        <w:tc>
          <w:tcPr>
            <w:tcW w:w="0" w:type="pct"/>
            <w:hideMark/>
          </w:tcPr>
          <w:p w14:paraId="57084DC6" w14:textId="77777777" w:rsidR="00000000" w:rsidRDefault="002F725F">
            <w:pPr>
              <w:rPr>
                <w:rFonts w:eastAsia="Times New Roman"/>
                <w:sz w:val="20"/>
                <w:szCs w:val="20"/>
              </w:rPr>
            </w:pPr>
            <w:r>
              <w:rPr>
                <w:rFonts w:eastAsia="Times New Roman"/>
                <w:sz w:val="20"/>
                <w:szCs w:val="20"/>
              </w:rPr>
              <w:t> </w:t>
            </w:r>
          </w:p>
        </w:tc>
        <w:tc>
          <w:tcPr>
            <w:tcW w:w="360" w:type="dxa"/>
            <w:hideMark/>
          </w:tcPr>
          <w:p w14:paraId="749C9B80" w14:textId="77777777" w:rsidR="00000000" w:rsidRDefault="002F725F">
            <w:pPr>
              <w:rPr>
                <w:rFonts w:eastAsia="Times New Roman"/>
                <w:sz w:val="20"/>
                <w:szCs w:val="20"/>
              </w:rPr>
            </w:pPr>
            <w:r>
              <w:rPr>
                <w:rFonts w:eastAsia="Times New Roman"/>
                <w:sz w:val="20"/>
                <w:szCs w:val="20"/>
              </w:rPr>
              <w:t>(10)</w:t>
            </w:r>
          </w:p>
        </w:tc>
        <w:tc>
          <w:tcPr>
            <w:tcW w:w="0" w:type="auto"/>
            <w:hideMark/>
          </w:tcPr>
          <w:p w14:paraId="37067BAE" w14:textId="77777777" w:rsidR="00000000" w:rsidRDefault="002F725F">
            <w:pPr>
              <w:jc w:val="both"/>
              <w:rPr>
                <w:rFonts w:eastAsia="Times New Roman"/>
                <w:sz w:val="20"/>
                <w:szCs w:val="20"/>
              </w:rPr>
            </w:pPr>
            <w:r>
              <w:rPr>
                <w:rFonts w:eastAsia="Times New Roman"/>
                <w:sz w:val="20"/>
                <w:szCs w:val="20"/>
              </w:rPr>
              <w:t>A copy of any petition filed under subsection (9)(a) shall be served on the other party; and where a dissenting member has so filed, the company shall within ten days after such service file the verified list referred to in subsection (9)(b).</w:t>
            </w:r>
          </w:p>
        </w:tc>
      </w:tr>
    </w:tbl>
    <w:p w14:paraId="0099F829" w14:textId="77777777" w:rsidR="00000000" w:rsidRDefault="002F725F">
      <w:pPr>
        <w:pStyle w:val="NormalWeb"/>
        <w:spacing w:before="0" w:beforeAutospacing="0" w:after="0" w:afterAutospacing="0"/>
        <w:divId w:val="415980837"/>
        <w:rPr>
          <w:sz w:val="20"/>
          <w:szCs w:val="20"/>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50"/>
        <w:gridCol w:w="360"/>
        <w:gridCol w:w="8950"/>
      </w:tblGrid>
      <w:tr w:rsidR="00000000" w14:paraId="16A486D8" w14:textId="77777777">
        <w:trPr>
          <w:divId w:val="415980837"/>
          <w:tblCellSpacing w:w="0" w:type="dxa"/>
        </w:trPr>
        <w:tc>
          <w:tcPr>
            <w:tcW w:w="0" w:type="pct"/>
            <w:hideMark/>
          </w:tcPr>
          <w:p w14:paraId="2DD1DAA4" w14:textId="77777777" w:rsidR="00000000" w:rsidRDefault="002F725F">
            <w:pPr>
              <w:rPr>
                <w:rFonts w:eastAsia="Times New Roman"/>
                <w:sz w:val="20"/>
                <w:szCs w:val="20"/>
              </w:rPr>
            </w:pPr>
            <w:r>
              <w:rPr>
                <w:rFonts w:eastAsia="Times New Roman"/>
                <w:sz w:val="20"/>
                <w:szCs w:val="20"/>
              </w:rPr>
              <w:t> </w:t>
            </w:r>
          </w:p>
        </w:tc>
        <w:tc>
          <w:tcPr>
            <w:tcW w:w="360" w:type="dxa"/>
            <w:hideMark/>
          </w:tcPr>
          <w:p w14:paraId="66BDA3B0" w14:textId="77777777" w:rsidR="00000000" w:rsidRDefault="002F725F">
            <w:pPr>
              <w:rPr>
                <w:rFonts w:eastAsia="Times New Roman"/>
                <w:sz w:val="20"/>
                <w:szCs w:val="20"/>
              </w:rPr>
            </w:pPr>
            <w:r>
              <w:rPr>
                <w:rFonts w:eastAsia="Times New Roman"/>
                <w:sz w:val="20"/>
                <w:szCs w:val="20"/>
              </w:rPr>
              <w:t>(11)</w:t>
            </w:r>
          </w:p>
        </w:tc>
        <w:tc>
          <w:tcPr>
            <w:tcW w:w="0" w:type="auto"/>
            <w:hideMark/>
          </w:tcPr>
          <w:p w14:paraId="143D81AD" w14:textId="77777777" w:rsidR="00000000" w:rsidRDefault="002F725F">
            <w:pPr>
              <w:jc w:val="both"/>
              <w:rPr>
                <w:rFonts w:eastAsia="Times New Roman"/>
                <w:sz w:val="20"/>
                <w:szCs w:val="20"/>
              </w:rPr>
            </w:pPr>
            <w:r>
              <w:rPr>
                <w:rFonts w:eastAsia="Times New Roman"/>
                <w:sz w:val="20"/>
                <w:szCs w:val="20"/>
              </w:rPr>
              <w:t xml:space="preserve">At </w:t>
            </w:r>
            <w:r>
              <w:rPr>
                <w:rFonts w:eastAsia="Times New Roman"/>
                <w:sz w:val="20"/>
                <w:szCs w:val="20"/>
              </w:rPr>
              <w:t>the hearing of a petition, the Court shall determine the fair value of the shares of such dissenting members as it finds are involved, together with a fair rate of interest, if any, to be paid by the company upon the amount determined to be the fair value.</w:t>
            </w:r>
          </w:p>
        </w:tc>
      </w:tr>
    </w:tbl>
    <w:p w14:paraId="40D5BA66" w14:textId="77777777" w:rsidR="00000000" w:rsidRDefault="002F725F">
      <w:pPr>
        <w:pStyle w:val="NormalWeb"/>
        <w:spacing w:before="0" w:beforeAutospacing="0" w:after="0" w:afterAutospacing="0"/>
        <w:divId w:val="415980837"/>
        <w:rPr>
          <w:sz w:val="20"/>
          <w:szCs w:val="20"/>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50"/>
        <w:gridCol w:w="360"/>
        <w:gridCol w:w="8950"/>
      </w:tblGrid>
      <w:tr w:rsidR="00000000" w14:paraId="4BD21FF6" w14:textId="77777777">
        <w:trPr>
          <w:divId w:val="415980837"/>
          <w:tblCellSpacing w:w="0" w:type="dxa"/>
        </w:trPr>
        <w:tc>
          <w:tcPr>
            <w:tcW w:w="0" w:type="pct"/>
            <w:hideMark/>
          </w:tcPr>
          <w:p w14:paraId="625CC227" w14:textId="77777777" w:rsidR="00000000" w:rsidRDefault="002F725F">
            <w:pPr>
              <w:rPr>
                <w:rFonts w:eastAsia="Times New Roman"/>
                <w:sz w:val="20"/>
                <w:szCs w:val="20"/>
              </w:rPr>
            </w:pPr>
            <w:r>
              <w:rPr>
                <w:rFonts w:eastAsia="Times New Roman"/>
                <w:sz w:val="20"/>
                <w:szCs w:val="20"/>
              </w:rPr>
              <w:t> </w:t>
            </w:r>
          </w:p>
        </w:tc>
        <w:tc>
          <w:tcPr>
            <w:tcW w:w="360" w:type="dxa"/>
            <w:hideMark/>
          </w:tcPr>
          <w:p w14:paraId="1B914FFA" w14:textId="77777777" w:rsidR="00000000" w:rsidRDefault="002F725F">
            <w:pPr>
              <w:rPr>
                <w:rFonts w:eastAsia="Times New Roman"/>
                <w:sz w:val="20"/>
                <w:szCs w:val="20"/>
              </w:rPr>
            </w:pPr>
            <w:r>
              <w:rPr>
                <w:rFonts w:eastAsia="Times New Roman"/>
                <w:sz w:val="20"/>
                <w:szCs w:val="20"/>
              </w:rPr>
              <w:t>(12)</w:t>
            </w:r>
          </w:p>
        </w:tc>
        <w:tc>
          <w:tcPr>
            <w:tcW w:w="0" w:type="auto"/>
            <w:hideMark/>
          </w:tcPr>
          <w:p w14:paraId="30B5DC53" w14:textId="77777777" w:rsidR="00000000" w:rsidRDefault="002F725F">
            <w:pPr>
              <w:jc w:val="both"/>
              <w:rPr>
                <w:rFonts w:eastAsia="Times New Roman"/>
                <w:sz w:val="20"/>
                <w:szCs w:val="20"/>
              </w:rPr>
            </w:pPr>
            <w:r>
              <w:rPr>
                <w:rFonts w:eastAsia="Times New Roman"/>
                <w:sz w:val="20"/>
                <w:szCs w:val="20"/>
              </w:rPr>
              <w:t>Any member whose name appears on the list filed by the company under subsection (9)(b) or (10) and who the Court finds are involved may participate fully in all proceedings until the determination of fair value is reached.</w:t>
            </w:r>
          </w:p>
        </w:tc>
      </w:tr>
    </w:tbl>
    <w:p w14:paraId="572108F7" w14:textId="77777777" w:rsidR="00000000" w:rsidRDefault="002F725F">
      <w:pPr>
        <w:pStyle w:val="NormalWeb"/>
        <w:spacing w:before="0" w:beforeAutospacing="0" w:after="0" w:afterAutospacing="0"/>
        <w:divId w:val="415980837"/>
        <w:rPr>
          <w:sz w:val="14"/>
          <w:szCs w:val="14"/>
        </w:rPr>
      </w:pPr>
      <w:r>
        <w:rPr>
          <w:sz w:val="14"/>
          <w:szCs w:val="14"/>
        </w:rPr>
        <w:t> </w:t>
      </w:r>
    </w:p>
    <w:tbl>
      <w:tblPr>
        <w:tblW w:w="5000" w:type="pct"/>
        <w:tblCellSpacing w:w="0" w:type="dxa"/>
        <w:tblCellMar>
          <w:left w:w="0" w:type="dxa"/>
          <w:right w:w="0" w:type="dxa"/>
        </w:tblCellMar>
        <w:tblLook w:val="04A0" w:firstRow="1" w:lastRow="0" w:firstColumn="1" w:lastColumn="0" w:noHBand="0" w:noVBand="1"/>
      </w:tblPr>
      <w:tblGrid>
        <w:gridCol w:w="50"/>
        <w:gridCol w:w="360"/>
        <w:gridCol w:w="8950"/>
      </w:tblGrid>
      <w:tr w:rsidR="00000000" w14:paraId="79D1A2A8" w14:textId="77777777">
        <w:trPr>
          <w:divId w:val="415980837"/>
          <w:tblCellSpacing w:w="0" w:type="dxa"/>
        </w:trPr>
        <w:tc>
          <w:tcPr>
            <w:tcW w:w="0" w:type="pct"/>
            <w:hideMark/>
          </w:tcPr>
          <w:p w14:paraId="2961DB73" w14:textId="77777777" w:rsidR="00000000" w:rsidRDefault="002F725F">
            <w:pPr>
              <w:rPr>
                <w:rFonts w:eastAsia="Times New Roman"/>
                <w:sz w:val="20"/>
                <w:szCs w:val="20"/>
              </w:rPr>
            </w:pPr>
            <w:r>
              <w:rPr>
                <w:rFonts w:eastAsia="Times New Roman"/>
                <w:sz w:val="20"/>
                <w:szCs w:val="20"/>
              </w:rPr>
              <w:t> </w:t>
            </w:r>
          </w:p>
        </w:tc>
        <w:tc>
          <w:tcPr>
            <w:tcW w:w="360" w:type="dxa"/>
            <w:hideMark/>
          </w:tcPr>
          <w:p w14:paraId="2A2C9DF3" w14:textId="77777777" w:rsidR="00000000" w:rsidRDefault="002F725F">
            <w:pPr>
              <w:rPr>
                <w:rFonts w:eastAsia="Times New Roman"/>
                <w:sz w:val="20"/>
                <w:szCs w:val="20"/>
              </w:rPr>
            </w:pPr>
            <w:r>
              <w:rPr>
                <w:rFonts w:eastAsia="Times New Roman"/>
                <w:sz w:val="20"/>
                <w:szCs w:val="20"/>
              </w:rPr>
              <w:t>(13)</w:t>
            </w:r>
          </w:p>
        </w:tc>
        <w:tc>
          <w:tcPr>
            <w:tcW w:w="0" w:type="auto"/>
            <w:hideMark/>
          </w:tcPr>
          <w:p w14:paraId="0CB43E95" w14:textId="77777777" w:rsidR="00000000" w:rsidRDefault="002F725F">
            <w:pPr>
              <w:jc w:val="both"/>
              <w:rPr>
                <w:rFonts w:eastAsia="Times New Roman"/>
                <w:sz w:val="20"/>
                <w:szCs w:val="20"/>
              </w:rPr>
            </w:pPr>
            <w:r>
              <w:rPr>
                <w:rFonts w:eastAsia="Times New Roman"/>
                <w:sz w:val="20"/>
                <w:szCs w:val="20"/>
              </w:rPr>
              <w:t>The order of</w:t>
            </w:r>
            <w:r>
              <w:rPr>
                <w:rFonts w:eastAsia="Times New Roman"/>
                <w:sz w:val="20"/>
                <w:szCs w:val="20"/>
              </w:rPr>
              <w:t xml:space="preserve"> the Court resulting from proceeding on the petition shall be enforceable in such manner as other orders of the Court are enforced, whether the company is incorporated under the laws of the Islands or not.</w:t>
            </w:r>
          </w:p>
        </w:tc>
      </w:tr>
    </w:tbl>
    <w:p w14:paraId="7A5A00A3" w14:textId="77777777" w:rsidR="00000000" w:rsidRDefault="002F725F">
      <w:pPr>
        <w:pStyle w:val="NormalWeb"/>
        <w:spacing w:before="0" w:beforeAutospacing="0" w:after="0" w:afterAutospacing="0"/>
        <w:divId w:val="415980837"/>
        <w:rPr>
          <w:sz w:val="14"/>
          <w:szCs w:val="14"/>
        </w:rPr>
      </w:pPr>
      <w:r>
        <w:rPr>
          <w:sz w:val="14"/>
          <w:szCs w:val="14"/>
        </w:rPr>
        <w:t> </w:t>
      </w:r>
    </w:p>
    <w:tbl>
      <w:tblPr>
        <w:tblW w:w="5000" w:type="pct"/>
        <w:tblCellSpacing w:w="0" w:type="dxa"/>
        <w:tblCellMar>
          <w:left w:w="0" w:type="dxa"/>
          <w:right w:w="0" w:type="dxa"/>
        </w:tblCellMar>
        <w:tblLook w:val="04A0" w:firstRow="1" w:lastRow="0" w:firstColumn="1" w:lastColumn="0" w:noHBand="0" w:noVBand="1"/>
      </w:tblPr>
      <w:tblGrid>
        <w:gridCol w:w="50"/>
        <w:gridCol w:w="360"/>
        <w:gridCol w:w="8950"/>
      </w:tblGrid>
      <w:tr w:rsidR="00000000" w14:paraId="0C860C4F" w14:textId="77777777">
        <w:trPr>
          <w:divId w:val="415980837"/>
          <w:tblCellSpacing w:w="0" w:type="dxa"/>
        </w:trPr>
        <w:tc>
          <w:tcPr>
            <w:tcW w:w="0" w:type="pct"/>
            <w:hideMark/>
          </w:tcPr>
          <w:p w14:paraId="69D765EC" w14:textId="77777777" w:rsidR="00000000" w:rsidRDefault="002F725F">
            <w:pPr>
              <w:rPr>
                <w:rFonts w:eastAsia="Times New Roman"/>
                <w:sz w:val="20"/>
                <w:szCs w:val="20"/>
              </w:rPr>
            </w:pPr>
            <w:r>
              <w:rPr>
                <w:rFonts w:eastAsia="Times New Roman"/>
                <w:sz w:val="20"/>
                <w:szCs w:val="20"/>
              </w:rPr>
              <w:t> </w:t>
            </w:r>
          </w:p>
        </w:tc>
        <w:tc>
          <w:tcPr>
            <w:tcW w:w="360" w:type="dxa"/>
            <w:hideMark/>
          </w:tcPr>
          <w:p w14:paraId="076E008E" w14:textId="77777777" w:rsidR="00000000" w:rsidRDefault="002F725F">
            <w:pPr>
              <w:rPr>
                <w:rFonts w:eastAsia="Times New Roman"/>
                <w:sz w:val="20"/>
                <w:szCs w:val="20"/>
              </w:rPr>
            </w:pPr>
            <w:r>
              <w:rPr>
                <w:rFonts w:eastAsia="Times New Roman"/>
                <w:sz w:val="20"/>
                <w:szCs w:val="20"/>
              </w:rPr>
              <w:t>(14)</w:t>
            </w:r>
          </w:p>
        </w:tc>
        <w:tc>
          <w:tcPr>
            <w:tcW w:w="0" w:type="auto"/>
            <w:hideMark/>
          </w:tcPr>
          <w:p w14:paraId="2217F7B1" w14:textId="77777777" w:rsidR="00000000" w:rsidRDefault="002F725F">
            <w:pPr>
              <w:jc w:val="both"/>
              <w:rPr>
                <w:rFonts w:eastAsia="Times New Roman"/>
                <w:sz w:val="20"/>
                <w:szCs w:val="20"/>
              </w:rPr>
            </w:pPr>
            <w:r>
              <w:rPr>
                <w:rFonts w:eastAsia="Times New Roman"/>
                <w:sz w:val="20"/>
                <w:szCs w:val="20"/>
              </w:rPr>
              <w:t>The costs of the proceeding may be determined by the Court and taxed upon the parties as the Court deems equitable in the circumstances; and upon application of a member, the Court may order all or a portion of the expenses incurred by any member in connec</w:t>
            </w:r>
            <w:r>
              <w:rPr>
                <w:rFonts w:eastAsia="Times New Roman"/>
                <w:sz w:val="20"/>
                <w:szCs w:val="20"/>
              </w:rPr>
              <w:t>tion with the proceeding, including reasonable attorney’s fees and the fees and expenses of experts, to be charged pro rata against the value of all the shares which are the subject of the proceeding.</w:t>
            </w:r>
          </w:p>
        </w:tc>
      </w:tr>
    </w:tbl>
    <w:p w14:paraId="0D92DF5C" w14:textId="77777777" w:rsidR="00000000" w:rsidRDefault="002F725F">
      <w:pPr>
        <w:pStyle w:val="NormalWeb"/>
        <w:spacing w:before="0" w:beforeAutospacing="0" w:after="0" w:afterAutospacing="0"/>
        <w:divId w:val="415980837"/>
        <w:rPr>
          <w:sz w:val="20"/>
          <w:szCs w:val="20"/>
        </w:rPr>
      </w:pPr>
      <w:r>
        <w:rPr>
          <w:sz w:val="16"/>
          <w:szCs w:val="16"/>
        </w:rPr>
        <w:t> </w:t>
      </w:r>
    </w:p>
    <w:tbl>
      <w:tblPr>
        <w:tblW w:w="5000" w:type="pct"/>
        <w:tblCellSpacing w:w="0" w:type="dxa"/>
        <w:tblCellMar>
          <w:left w:w="0" w:type="dxa"/>
          <w:right w:w="0" w:type="dxa"/>
        </w:tblCellMar>
        <w:tblLook w:val="04A0" w:firstRow="1" w:lastRow="0" w:firstColumn="1" w:lastColumn="0" w:noHBand="0" w:noVBand="1"/>
      </w:tblPr>
      <w:tblGrid>
        <w:gridCol w:w="50"/>
        <w:gridCol w:w="360"/>
        <w:gridCol w:w="8950"/>
      </w:tblGrid>
      <w:tr w:rsidR="00000000" w14:paraId="08D1C5DC" w14:textId="77777777">
        <w:trPr>
          <w:divId w:val="415980837"/>
          <w:tblCellSpacing w:w="0" w:type="dxa"/>
        </w:trPr>
        <w:tc>
          <w:tcPr>
            <w:tcW w:w="0" w:type="pct"/>
            <w:hideMark/>
          </w:tcPr>
          <w:p w14:paraId="568F89C9" w14:textId="77777777" w:rsidR="00000000" w:rsidRDefault="002F725F">
            <w:pPr>
              <w:rPr>
                <w:rFonts w:eastAsia="Times New Roman"/>
                <w:sz w:val="20"/>
                <w:szCs w:val="20"/>
              </w:rPr>
            </w:pPr>
            <w:r>
              <w:rPr>
                <w:rFonts w:eastAsia="Times New Roman"/>
                <w:sz w:val="20"/>
                <w:szCs w:val="20"/>
              </w:rPr>
              <w:t> </w:t>
            </w:r>
          </w:p>
        </w:tc>
        <w:tc>
          <w:tcPr>
            <w:tcW w:w="360" w:type="dxa"/>
            <w:hideMark/>
          </w:tcPr>
          <w:p w14:paraId="5BA5DB27" w14:textId="77777777" w:rsidR="00000000" w:rsidRDefault="002F725F">
            <w:pPr>
              <w:rPr>
                <w:rFonts w:eastAsia="Times New Roman"/>
                <w:sz w:val="20"/>
                <w:szCs w:val="20"/>
              </w:rPr>
            </w:pPr>
            <w:r>
              <w:rPr>
                <w:rFonts w:eastAsia="Times New Roman"/>
                <w:sz w:val="20"/>
                <w:szCs w:val="20"/>
              </w:rPr>
              <w:t>(15)</w:t>
            </w:r>
          </w:p>
        </w:tc>
        <w:tc>
          <w:tcPr>
            <w:tcW w:w="0" w:type="auto"/>
            <w:hideMark/>
          </w:tcPr>
          <w:p w14:paraId="04D56008" w14:textId="77777777" w:rsidR="00000000" w:rsidRDefault="002F725F">
            <w:pPr>
              <w:jc w:val="both"/>
              <w:rPr>
                <w:rFonts w:eastAsia="Times New Roman"/>
                <w:sz w:val="20"/>
                <w:szCs w:val="20"/>
              </w:rPr>
            </w:pPr>
            <w:r>
              <w:rPr>
                <w:rFonts w:eastAsia="Times New Roman"/>
                <w:sz w:val="20"/>
                <w:szCs w:val="20"/>
              </w:rPr>
              <w:t>Shares acquired by the company pursuant to th</w:t>
            </w:r>
            <w:r>
              <w:rPr>
                <w:rFonts w:eastAsia="Times New Roman"/>
                <w:sz w:val="20"/>
                <w:szCs w:val="20"/>
              </w:rPr>
              <w:t>is section shall be cancelled and, if they are shares of a surviving company, they shall be available for re-issue.</w:t>
            </w:r>
          </w:p>
        </w:tc>
      </w:tr>
    </w:tbl>
    <w:p w14:paraId="72A0502D" w14:textId="77777777" w:rsidR="00000000" w:rsidRDefault="002F725F">
      <w:pPr>
        <w:pStyle w:val="NormalWeb"/>
        <w:spacing w:before="0" w:beforeAutospacing="0" w:after="0" w:afterAutospacing="0"/>
        <w:divId w:val="415980837"/>
        <w:rPr>
          <w:sz w:val="14"/>
          <w:szCs w:val="14"/>
        </w:rPr>
      </w:pPr>
      <w:r>
        <w:rPr>
          <w:sz w:val="14"/>
          <w:szCs w:val="14"/>
        </w:rPr>
        <w:t> </w:t>
      </w:r>
    </w:p>
    <w:tbl>
      <w:tblPr>
        <w:tblW w:w="5000" w:type="pct"/>
        <w:tblCellSpacing w:w="0" w:type="dxa"/>
        <w:tblCellMar>
          <w:left w:w="0" w:type="dxa"/>
          <w:right w:w="0" w:type="dxa"/>
        </w:tblCellMar>
        <w:tblLook w:val="04A0" w:firstRow="1" w:lastRow="0" w:firstColumn="1" w:lastColumn="0" w:noHBand="0" w:noVBand="1"/>
      </w:tblPr>
      <w:tblGrid>
        <w:gridCol w:w="50"/>
        <w:gridCol w:w="360"/>
        <w:gridCol w:w="8950"/>
      </w:tblGrid>
      <w:tr w:rsidR="00000000" w14:paraId="2F9D952B" w14:textId="77777777">
        <w:trPr>
          <w:divId w:val="415980837"/>
          <w:tblCellSpacing w:w="0" w:type="dxa"/>
        </w:trPr>
        <w:tc>
          <w:tcPr>
            <w:tcW w:w="0" w:type="pct"/>
            <w:hideMark/>
          </w:tcPr>
          <w:p w14:paraId="0B30C497" w14:textId="77777777" w:rsidR="00000000" w:rsidRDefault="002F725F">
            <w:pPr>
              <w:rPr>
                <w:rFonts w:eastAsia="Times New Roman"/>
                <w:sz w:val="20"/>
                <w:szCs w:val="20"/>
              </w:rPr>
            </w:pPr>
            <w:r>
              <w:rPr>
                <w:rFonts w:eastAsia="Times New Roman"/>
                <w:sz w:val="20"/>
                <w:szCs w:val="20"/>
              </w:rPr>
              <w:t> </w:t>
            </w:r>
          </w:p>
        </w:tc>
        <w:tc>
          <w:tcPr>
            <w:tcW w:w="360" w:type="dxa"/>
            <w:hideMark/>
          </w:tcPr>
          <w:p w14:paraId="68F27A3E" w14:textId="77777777" w:rsidR="00000000" w:rsidRDefault="002F725F">
            <w:pPr>
              <w:rPr>
                <w:rFonts w:eastAsia="Times New Roman"/>
                <w:sz w:val="20"/>
                <w:szCs w:val="20"/>
              </w:rPr>
            </w:pPr>
            <w:r>
              <w:rPr>
                <w:rFonts w:eastAsia="Times New Roman"/>
                <w:sz w:val="20"/>
                <w:szCs w:val="20"/>
              </w:rPr>
              <w:t>(16)</w:t>
            </w:r>
          </w:p>
        </w:tc>
        <w:tc>
          <w:tcPr>
            <w:tcW w:w="0" w:type="auto"/>
            <w:hideMark/>
          </w:tcPr>
          <w:p w14:paraId="39488EDD" w14:textId="77777777" w:rsidR="00000000" w:rsidRDefault="002F725F">
            <w:pPr>
              <w:jc w:val="both"/>
              <w:rPr>
                <w:rFonts w:eastAsia="Times New Roman"/>
                <w:sz w:val="20"/>
                <w:szCs w:val="20"/>
              </w:rPr>
            </w:pPr>
            <w:r>
              <w:rPr>
                <w:rFonts w:eastAsia="Times New Roman"/>
                <w:sz w:val="20"/>
                <w:szCs w:val="20"/>
              </w:rPr>
              <w:t>The enforcement by a member of that person’s entitlement under this section shall exclude the enforcement by the member of any rig</w:t>
            </w:r>
            <w:r>
              <w:rPr>
                <w:rFonts w:eastAsia="Times New Roman"/>
                <w:sz w:val="20"/>
                <w:szCs w:val="20"/>
              </w:rPr>
              <w:t>ht to which that person might otherwise be entitled by virtue of that person holding shares, except that this section shall not exclude the right of the member to institute proceedings to obtain relief on the ground that the merger or consolidation is void</w:t>
            </w:r>
            <w:r>
              <w:rPr>
                <w:rFonts w:eastAsia="Times New Roman"/>
                <w:sz w:val="20"/>
                <w:szCs w:val="20"/>
              </w:rPr>
              <w:t xml:space="preserve"> or unlawful.</w:t>
            </w:r>
          </w:p>
        </w:tc>
      </w:tr>
    </w:tbl>
    <w:p w14:paraId="4B706724" w14:textId="77777777" w:rsidR="00000000" w:rsidRDefault="002F725F">
      <w:pPr>
        <w:pStyle w:val="NormalWeb"/>
        <w:spacing w:before="0" w:beforeAutospacing="0" w:after="0" w:afterAutospacing="0"/>
        <w:divId w:val="415980837"/>
        <w:rPr>
          <w:sz w:val="20"/>
          <w:szCs w:val="20"/>
        </w:rPr>
      </w:pPr>
      <w:r>
        <w:rPr>
          <w:sz w:val="16"/>
          <w:szCs w:val="16"/>
        </w:rPr>
        <w:t> </w:t>
      </w:r>
    </w:p>
    <w:p w14:paraId="3231A5B9" w14:textId="77777777" w:rsidR="00000000" w:rsidRDefault="002F725F">
      <w:pPr>
        <w:pStyle w:val="NormalWeb"/>
        <w:spacing w:before="0" w:beforeAutospacing="0" w:after="0" w:afterAutospacing="0"/>
        <w:jc w:val="center"/>
        <w:divId w:val="334501381"/>
        <w:rPr>
          <w:sz w:val="20"/>
          <w:szCs w:val="20"/>
        </w:rPr>
      </w:pPr>
      <w:r>
        <w:rPr>
          <w:sz w:val="20"/>
          <w:szCs w:val="20"/>
        </w:rPr>
        <w:t>D</w:t>
      </w:r>
      <w:r>
        <w:rPr>
          <w:sz w:val="20"/>
          <w:szCs w:val="20"/>
        </w:rPr>
        <w:t>-</w:t>
      </w:r>
      <w:r>
        <w:rPr>
          <w:sz w:val="20"/>
          <w:szCs w:val="20"/>
        </w:rPr>
        <w:t>1</w:t>
      </w:r>
    </w:p>
    <w:p w14:paraId="35AF7549"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7334B83" w14:textId="77777777" w:rsidR="00000000" w:rsidRDefault="002F725F">
      <w:pPr>
        <w:pStyle w:val="NormalWeb"/>
        <w:spacing w:before="0" w:beforeAutospacing="0" w:after="0" w:afterAutospacing="0"/>
        <w:jc w:val="center"/>
        <w:divId w:val="415980837"/>
        <w:rPr>
          <w:sz w:val="20"/>
          <w:szCs w:val="20"/>
        </w:rPr>
      </w:pPr>
      <w:bookmarkStart w:id="39" w:name="gfpea028961701ex99-a1.htme_01"/>
      <w:bookmarkEnd w:id="39"/>
      <w:r>
        <w:rPr>
          <w:b/>
          <w:bCs/>
          <w:sz w:val="20"/>
          <w:szCs w:val="20"/>
          <w:u w:val="single"/>
        </w:rPr>
        <w:t>Annex E</w:t>
      </w:r>
    </w:p>
    <w:p w14:paraId="75E499D5"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DEE77E3" w14:textId="77777777" w:rsidR="00000000" w:rsidRDefault="002F725F">
      <w:pPr>
        <w:pStyle w:val="NormalWeb"/>
        <w:spacing w:before="0" w:beforeAutospacing="0" w:after="0" w:afterAutospacing="0"/>
        <w:jc w:val="center"/>
        <w:divId w:val="415980837"/>
        <w:rPr>
          <w:sz w:val="20"/>
          <w:szCs w:val="20"/>
        </w:rPr>
      </w:pPr>
      <w:r>
        <w:rPr>
          <w:b/>
          <w:bCs/>
          <w:sz w:val="20"/>
          <w:szCs w:val="20"/>
        </w:rPr>
        <w:t>DIRECTORS AND EXECUTIVE OFFICERS OF EACH FILING PERSON</w:t>
      </w:r>
    </w:p>
    <w:p w14:paraId="207A34E1" w14:textId="77777777" w:rsidR="00000000" w:rsidRDefault="002F725F">
      <w:pPr>
        <w:pStyle w:val="NormalWeb"/>
        <w:spacing w:before="0" w:beforeAutospacing="0" w:after="0" w:afterAutospacing="0"/>
        <w:jc w:val="center"/>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8640"/>
      </w:tblGrid>
      <w:tr w:rsidR="00000000" w14:paraId="1D51F4BE" w14:textId="77777777">
        <w:trPr>
          <w:divId w:val="415980837"/>
          <w:tblCellSpacing w:w="0" w:type="dxa"/>
        </w:trPr>
        <w:tc>
          <w:tcPr>
            <w:tcW w:w="720" w:type="dxa"/>
            <w:hideMark/>
          </w:tcPr>
          <w:p w14:paraId="0B4B676B" w14:textId="77777777" w:rsidR="00000000" w:rsidRDefault="002F725F">
            <w:pPr>
              <w:rPr>
                <w:rFonts w:eastAsia="Times New Roman"/>
                <w:sz w:val="20"/>
                <w:szCs w:val="20"/>
              </w:rPr>
            </w:pPr>
            <w:r>
              <w:rPr>
                <w:rFonts w:eastAsia="Times New Roman"/>
                <w:b/>
                <w:bCs/>
                <w:sz w:val="20"/>
                <w:szCs w:val="20"/>
              </w:rPr>
              <w:lastRenderedPageBreak/>
              <w:t>1.</w:t>
            </w:r>
          </w:p>
        </w:tc>
        <w:tc>
          <w:tcPr>
            <w:tcW w:w="0" w:type="auto"/>
            <w:hideMark/>
          </w:tcPr>
          <w:p w14:paraId="66CB38E1" w14:textId="77777777" w:rsidR="00000000" w:rsidRDefault="002F725F">
            <w:pPr>
              <w:jc w:val="both"/>
              <w:rPr>
                <w:rFonts w:eastAsia="Times New Roman"/>
                <w:sz w:val="20"/>
                <w:szCs w:val="20"/>
              </w:rPr>
            </w:pPr>
            <w:r>
              <w:rPr>
                <w:rFonts w:eastAsia="Times New Roman"/>
                <w:b/>
                <w:bCs/>
                <w:sz w:val="20"/>
                <w:szCs w:val="20"/>
              </w:rPr>
              <w:t>Directors and Executive Officers of the Company</w:t>
            </w:r>
          </w:p>
        </w:tc>
      </w:tr>
    </w:tbl>
    <w:p w14:paraId="6C26F12A" w14:textId="77777777" w:rsidR="00000000" w:rsidRDefault="002F725F">
      <w:pPr>
        <w:pStyle w:val="NormalWeb"/>
        <w:spacing w:before="0" w:beforeAutospacing="0" w:after="0" w:afterAutospacing="0"/>
        <w:divId w:val="415980837"/>
        <w:rPr>
          <w:sz w:val="20"/>
          <w:szCs w:val="20"/>
        </w:rPr>
      </w:pPr>
      <w:r>
        <w:rPr>
          <w:sz w:val="20"/>
          <w:szCs w:val="20"/>
        </w:rPr>
        <w:t> </w:t>
      </w:r>
    </w:p>
    <w:p w14:paraId="2CFED7CA" w14:textId="77777777" w:rsidR="00000000" w:rsidRDefault="002F725F">
      <w:pPr>
        <w:pStyle w:val="NormalWeb"/>
        <w:spacing w:before="0" w:beforeAutospacing="0" w:after="0" w:afterAutospacing="0"/>
        <w:ind w:firstLine="720"/>
        <w:jc w:val="both"/>
        <w:divId w:val="415980837"/>
        <w:rPr>
          <w:sz w:val="20"/>
          <w:szCs w:val="20"/>
        </w:rPr>
      </w:pPr>
      <w:r>
        <w:rPr>
          <w:sz w:val="20"/>
          <w:szCs w:val="20"/>
          <w:shd w:val="clear" w:color="auto" w:fill="FFFFFF"/>
        </w:rPr>
        <w:t xml:space="preserve">The </w:t>
      </w:r>
      <w:r>
        <w:rPr>
          <w:sz w:val="20"/>
          <w:szCs w:val="20"/>
          <w:shd w:val="clear" w:color="auto" w:fill="FFFFFF"/>
        </w:rPr>
        <w:t>name, present principal employment and citizenship of each director and executive officer of the Company are set forth below. The business address of our directors and executive officers is Building No. 2, 38 Yongda Road, Daxing Biomedical Industry Park, D</w:t>
      </w:r>
      <w:r>
        <w:rPr>
          <w:sz w:val="20"/>
          <w:szCs w:val="20"/>
          <w:shd w:val="clear" w:color="auto" w:fill="FFFFFF"/>
        </w:rPr>
        <w:t>axing District, Beijing, PRC.</w:t>
      </w:r>
    </w:p>
    <w:p w14:paraId="47A919D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2434"/>
        <w:gridCol w:w="187"/>
        <w:gridCol w:w="4399"/>
        <w:gridCol w:w="94"/>
        <w:gridCol w:w="2246"/>
      </w:tblGrid>
      <w:tr w:rsidR="00000000" w14:paraId="2568503F" w14:textId="77777777">
        <w:trPr>
          <w:divId w:val="415980837"/>
        </w:trPr>
        <w:tc>
          <w:tcPr>
            <w:tcW w:w="1300" w:type="pct"/>
            <w:tcBorders>
              <w:bottom w:val="single" w:sz="12" w:space="0" w:color="000000"/>
            </w:tcBorders>
            <w:hideMark/>
          </w:tcPr>
          <w:p w14:paraId="3D51A640" w14:textId="77777777" w:rsidR="00000000" w:rsidRDefault="002F725F">
            <w:pPr>
              <w:rPr>
                <w:rFonts w:eastAsia="Times New Roman"/>
                <w:sz w:val="20"/>
                <w:szCs w:val="20"/>
              </w:rPr>
            </w:pPr>
            <w:r>
              <w:rPr>
                <w:rFonts w:eastAsia="Times New Roman"/>
                <w:b/>
                <w:bCs/>
                <w:sz w:val="20"/>
                <w:szCs w:val="20"/>
              </w:rPr>
              <w:t>Name</w:t>
            </w:r>
          </w:p>
        </w:tc>
        <w:tc>
          <w:tcPr>
            <w:tcW w:w="100" w:type="pct"/>
            <w:tcMar>
              <w:top w:w="0" w:type="dxa"/>
              <w:left w:w="0" w:type="dxa"/>
              <w:bottom w:w="30" w:type="dxa"/>
              <w:right w:w="0" w:type="dxa"/>
            </w:tcMar>
            <w:vAlign w:val="bottom"/>
            <w:hideMark/>
          </w:tcPr>
          <w:p w14:paraId="0063A7DE" w14:textId="77777777" w:rsidR="00000000" w:rsidRDefault="002F725F">
            <w:pPr>
              <w:rPr>
                <w:rFonts w:eastAsia="Times New Roman"/>
                <w:sz w:val="20"/>
                <w:szCs w:val="20"/>
              </w:rPr>
            </w:pPr>
            <w:r>
              <w:rPr>
                <w:rFonts w:eastAsia="Times New Roman"/>
                <w:sz w:val="20"/>
                <w:szCs w:val="20"/>
              </w:rPr>
              <w:t> </w:t>
            </w:r>
          </w:p>
        </w:tc>
        <w:tc>
          <w:tcPr>
            <w:tcW w:w="2350" w:type="pct"/>
            <w:tcBorders>
              <w:bottom w:val="single" w:sz="12" w:space="0" w:color="000000"/>
            </w:tcBorders>
            <w:vAlign w:val="bottom"/>
            <w:hideMark/>
          </w:tcPr>
          <w:p w14:paraId="0A2B8F1F" w14:textId="77777777" w:rsidR="00000000" w:rsidRDefault="002F725F">
            <w:pPr>
              <w:jc w:val="center"/>
              <w:rPr>
                <w:rFonts w:eastAsia="Times New Roman"/>
                <w:sz w:val="20"/>
                <w:szCs w:val="20"/>
              </w:rPr>
            </w:pPr>
            <w:r>
              <w:rPr>
                <w:rFonts w:eastAsia="Times New Roman"/>
                <w:b/>
                <w:bCs/>
                <w:sz w:val="20"/>
                <w:szCs w:val="20"/>
              </w:rPr>
              <w:t>Present Principal Employment</w:t>
            </w:r>
          </w:p>
        </w:tc>
        <w:tc>
          <w:tcPr>
            <w:tcW w:w="50" w:type="pct"/>
            <w:tcMar>
              <w:top w:w="0" w:type="dxa"/>
              <w:left w:w="0" w:type="dxa"/>
              <w:bottom w:w="30" w:type="dxa"/>
              <w:right w:w="0" w:type="dxa"/>
            </w:tcMar>
            <w:vAlign w:val="bottom"/>
            <w:hideMark/>
          </w:tcPr>
          <w:p w14:paraId="441E56D4" w14:textId="77777777" w:rsidR="00000000" w:rsidRDefault="002F725F">
            <w:pPr>
              <w:rPr>
                <w:rFonts w:eastAsia="Times New Roman"/>
                <w:sz w:val="20"/>
                <w:szCs w:val="20"/>
              </w:rPr>
            </w:pPr>
            <w:r>
              <w:rPr>
                <w:rFonts w:eastAsia="Times New Roman"/>
                <w:sz w:val="20"/>
                <w:szCs w:val="20"/>
              </w:rPr>
              <w:t> </w:t>
            </w:r>
          </w:p>
        </w:tc>
        <w:tc>
          <w:tcPr>
            <w:tcW w:w="1200" w:type="pct"/>
            <w:tcBorders>
              <w:bottom w:val="single" w:sz="12" w:space="0" w:color="000000"/>
            </w:tcBorders>
            <w:hideMark/>
          </w:tcPr>
          <w:p w14:paraId="5AF5DE91" w14:textId="77777777" w:rsidR="00000000" w:rsidRDefault="002F725F">
            <w:pPr>
              <w:jc w:val="center"/>
              <w:rPr>
                <w:rFonts w:eastAsia="Times New Roman"/>
                <w:sz w:val="20"/>
                <w:szCs w:val="20"/>
              </w:rPr>
            </w:pPr>
            <w:r>
              <w:rPr>
                <w:rFonts w:eastAsia="Times New Roman"/>
                <w:b/>
                <w:bCs/>
                <w:sz w:val="20"/>
                <w:szCs w:val="20"/>
              </w:rPr>
              <w:t>Citizenship</w:t>
            </w:r>
          </w:p>
        </w:tc>
      </w:tr>
      <w:tr w:rsidR="00000000" w14:paraId="06A1ABEF" w14:textId="77777777">
        <w:trPr>
          <w:divId w:val="415980837"/>
        </w:trPr>
        <w:tc>
          <w:tcPr>
            <w:tcW w:w="0" w:type="auto"/>
            <w:shd w:val="clear" w:color="auto" w:fill="CCEEFF"/>
            <w:hideMark/>
          </w:tcPr>
          <w:p w14:paraId="2DDB461F" w14:textId="77777777" w:rsidR="00000000" w:rsidRDefault="002F725F">
            <w:pPr>
              <w:rPr>
                <w:rFonts w:eastAsia="Times New Roman"/>
                <w:sz w:val="20"/>
                <w:szCs w:val="20"/>
              </w:rPr>
            </w:pPr>
            <w:r>
              <w:rPr>
                <w:rFonts w:eastAsia="Times New Roman"/>
                <w:sz w:val="20"/>
                <w:szCs w:val="20"/>
              </w:rPr>
              <w:t>Yue (Pierson) Pan</w:t>
            </w:r>
          </w:p>
        </w:tc>
        <w:tc>
          <w:tcPr>
            <w:tcW w:w="0" w:type="auto"/>
            <w:shd w:val="clear" w:color="auto" w:fill="CCEEFF"/>
            <w:vAlign w:val="bottom"/>
            <w:hideMark/>
          </w:tcPr>
          <w:p w14:paraId="501DE6C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62C5AFC" w14:textId="77777777" w:rsidR="00000000" w:rsidRDefault="002F725F">
            <w:pPr>
              <w:rPr>
                <w:rFonts w:eastAsia="Times New Roman"/>
                <w:sz w:val="20"/>
                <w:szCs w:val="20"/>
              </w:rPr>
            </w:pPr>
            <w:r>
              <w:rPr>
                <w:rFonts w:eastAsia="Times New Roman"/>
                <w:sz w:val="20"/>
                <w:szCs w:val="20"/>
              </w:rPr>
              <w:t>Director and Chairperson of the Board</w:t>
            </w:r>
          </w:p>
        </w:tc>
        <w:tc>
          <w:tcPr>
            <w:tcW w:w="0" w:type="auto"/>
            <w:shd w:val="clear" w:color="auto" w:fill="CCEEFF"/>
            <w:vAlign w:val="bottom"/>
            <w:hideMark/>
          </w:tcPr>
          <w:p w14:paraId="0EAB297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5762DC13" w14:textId="77777777" w:rsidR="00000000" w:rsidRDefault="002F725F">
            <w:pPr>
              <w:rPr>
                <w:rFonts w:eastAsia="Times New Roman"/>
                <w:sz w:val="20"/>
                <w:szCs w:val="20"/>
              </w:rPr>
            </w:pPr>
            <w:r>
              <w:rPr>
                <w:rFonts w:eastAsia="Times New Roman"/>
                <w:sz w:val="20"/>
                <w:szCs w:val="20"/>
              </w:rPr>
              <w:t>People’s Republic of China</w:t>
            </w:r>
          </w:p>
        </w:tc>
      </w:tr>
      <w:tr w:rsidR="00000000" w14:paraId="6001006B" w14:textId="77777777">
        <w:trPr>
          <w:divId w:val="415980837"/>
        </w:trPr>
        <w:tc>
          <w:tcPr>
            <w:tcW w:w="0" w:type="auto"/>
            <w:shd w:val="clear" w:color="auto" w:fill="FFFFFF"/>
            <w:hideMark/>
          </w:tcPr>
          <w:p w14:paraId="034D99F0" w14:textId="77777777" w:rsidR="00000000" w:rsidRDefault="002F725F">
            <w:pPr>
              <w:rPr>
                <w:rFonts w:eastAsia="Times New Roman"/>
                <w:sz w:val="20"/>
                <w:szCs w:val="20"/>
              </w:rPr>
            </w:pPr>
            <w:r>
              <w:rPr>
                <w:rFonts w:eastAsia="Times New Roman"/>
                <w:sz w:val="20"/>
                <w:szCs w:val="20"/>
              </w:rPr>
              <w:t>Xu Wang</w:t>
            </w:r>
          </w:p>
        </w:tc>
        <w:tc>
          <w:tcPr>
            <w:tcW w:w="0" w:type="auto"/>
            <w:shd w:val="clear" w:color="auto" w:fill="FFFFFF"/>
            <w:vAlign w:val="bottom"/>
            <w:hideMark/>
          </w:tcPr>
          <w:p w14:paraId="531742C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3E6AE900" w14:textId="77777777" w:rsidR="00000000" w:rsidRDefault="002F725F">
            <w:pPr>
              <w:rPr>
                <w:rFonts w:eastAsia="Times New Roman"/>
                <w:sz w:val="20"/>
                <w:szCs w:val="20"/>
              </w:rPr>
            </w:pPr>
            <w:r>
              <w:rPr>
                <w:rFonts w:eastAsia="Times New Roman"/>
                <w:sz w:val="20"/>
                <w:szCs w:val="20"/>
              </w:rPr>
              <w:t>Director and Chief Executive Officer</w:t>
            </w:r>
          </w:p>
        </w:tc>
        <w:tc>
          <w:tcPr>
            <w:tcW w:w="0" w:type="auto"/>
            <w:shd w:val="clear" w:color="auto" w:fill="FFFFFF"/>
            <w:vAlign w:val="bottom"/>
            <w:hideMark/>
          </w:tcPr>
          <w:p w14:paraId="267981C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1E73EABC" w14:textId="77777777" w:rsidR="00000000" w:rsidRDefault="002F725F">
            <w:pPr>
              <w:rPr>
                <w:rFonts w:eastAsia="Times New Roman"/>
                <w:sz w:val="20"/>
                <w:szCs w:val="20"/>
              </w:rPr>
            </w:pPr>
            <w:r>
              <w:rPr>
                <w:rFonts w:eastAsia="Times New Roman"/>
                <w:sz w:val="20"/>
                <w:szCs w:val="20"/>
              </w:rPr>
              <w:t>People’</w:t>
            </w:r>
            <w:r>
              <w:rPr>
                <w:rFonts w:eastAsia="Times New Roman"/>
                <w:sz w:val="20"/>
                <w:szCs w:val="20"/>
              </w:rPr>
              <w:t>s Republic of China</w:t>
            </w:r>
          </w:p>
        </w:tc>
      </w:tr>
      <w:tr w:rsidR="00000000" w14:paraId="7B5EF3C0" w14:textId="77777777">
        <w:trPr>
          <w:divId w:val="415980837"/>
        </w:trPr>
        <w:tc>
          <w:tcPr>
            <w:tcW w:w="0" w:type="auto"/>
            <w:shd w:val="clear" w:color="auto" w:fill="CCEEFF"/>
            <w:hideMark/>
          </w:tcPr>
          <w:p w14:paraId="2179E5B6" w14:textId="77777777" w:rsidR="00000000" w:rsidRDefault="002F725F">
            <w:pPr>
              <w:rPr>
                <w:rFonts w:eastAsia="Times New Roman"/>
                <w:sz w:val="20"/>
                <w:szCs w:val="20"/>
              </w:rPr>
            </w:pPr>
            <w:r>
              <w:rPr>
                <w:rFonts w:eastAsia="Times New Roman"/>
                <w:sz w:val="20"/>
                <w:szCs w:val="20"/>
              </w:rPr>
              <w:t>Dr. Hui (David) Shao</w:t>
            </w:r>
          </w:p>
        </w:tc>
        <w:tc>
          <w:tcPr>
            <w:tcW w:w="0" w:type="auto"/>
            <w:shd w:val="clear" w:color="auto" w:fill="CCEEFF"/>
            <w:vAlign w:val="bottom"/>
            <w:hideMark/>
          </w:tcPr>
          <w:p w14:paraId="5C6E2C9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09B27767" w14:textId="77777777" w:rsidR="00000000" w:rsidRDefault="002F725F">
            <w:pPr>
              <w:rPr>
                <w:rFonts w:eastAsia="Times New Roman"/>
                <w:sz w:val="20"/>
                <w:szCs w:val="20"/>
              </w:rPr>
            </w:pPr>
            <w:r>
              <w:rPr>
                <w:rFonts w:eastAsia="Times New Roman"/>
                <w:sz w:val="20"/>
                <w:szCs w:val="20"/>
              </w:rPr>
              <w:t>Director, President, Chief Business Officer and Vice Chairman of the Board</w:t>
            </w:r>
          </w:p>
        </w:tc>
        <w:tc>
          <w:tcPr>
            <w:tcW w:w="0" w:type="auto"/>
            <w:shd w:val="clear" w:color="auto" w:fill="CCEEFF"/>
            <w:vAlign w:val="bottom"/>
            <w:hideMark/>
          </w:tcPr>
          <w:p w14:paraId="1E9B614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49EF460B" w14:textId="77777777" w:rsidR="00000000" w:rsidRDefault="002F725F">
            <w:pPr>
              <w:rPr>
                <w:rFonts w:eastAsia="Times New Roman"/>
                <w:sz w:val="20"/>
                <w:szCs w:val="20"/>
              </w:rPr>
            </w:pPr>
            <w:r>
              <w:rPr>
                <w:rFonts w:eastAsia="Times New Roman"/>
                <w:sz w:val="20"/>
                <w:szCs w:val="20"/>
              </w:rPr>
              <w:t>United States</w:t>
            </w:r>
          </w:p>
        </w:tc>
      </w:tr>
      <w:tr w:rsidR="00000000" w14:paraId="738F2595" w14:textId="77777777">
        <w:trPr>
          <w:divId w:val="415980837"/>
        </w:trPr>
        <w:tc>
          <w:tcPr>
            <w:tcW w:w="0" w:type="auto"/>
            <w:shd w:val="clear" w:color="auto" w:fill="FFFFFF"/>
            <w:hideMark/>
          </w:tcPr>
          <w:p w14:paraId="04BA1234" w14:textId="77777777" w:rsidR="00000000" w:rsidRDefault="002F725F">
            <w:pPr>
              <w:rPr>
                <w:rFonts w:eastAsia="Times New Roman"/>
                <w:sz w:val="20"/>
                <w:szCs w:val="20"/>
              </w:rPr>
            </w:pPr>
            <w:r>
              <w:rPr>
                <w:rFonts w:eastAsia="Times New Roman"/>
                <w:sz w:val="20"/>
                <w:szCs w:val="20"/>
              </w:rPr>
              <w:t>Rui (Rachel) Yu</w:t>
            </w:r>
          </w:p>
        </w:tc>
        <w:tc>
          <w:tcPr>
            <w:tcW w:w="0" w:type="auto"/>
            <w:shd w:val="clear" w:color="auto" w:fill="FFFFFF"/>
            <w:vAlign w:val="bottom"/>
            <w:hideMark/>
          </w:tcPr>
          <w:p w14:paraId="7158F55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CC8B0AA" w14:textId="77777777" w:rsidR="00000000" w:rsidRDefault="002F725F">
            <w:pPr>
              <w:rPr>
                <w:rFonts w:eastAsia="Times New Roman"/>
                <w:sz w:val="20"/>
                <w:szCs w:val="20"/>
              </w:rPr>
            </w:pPr>
            <w:r>
              <w:rPr>
                <w:rFonts w:eastAsia="Times New Roman"/>
                <w:sz w:val="20"/>
                <w:szCs w:val="20"/>
              </w:rPr>
              <w:t>Director and Chief Financial Officer</w:t>
            </w:r>
          </w:p>
        </w:tc>
        <w:tc>
          <w:tcPr>
            <w:tcW w:w="0" w:type="auto"/>
            <w:shd w:val="clear" w:color="auto" w:fill="FFFFFF"/>
            <w:vAlign w:val="bottom"/>
            <w:hideMark/>
          </w:tcPr>
          <w:p w14:paraId="3A2E747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23364203" w14:textId="77777777" w:rsidR="00000000" w:rsidRDefault="002F725F">
            <w:pPr>
              <w:rPr>
                <w:rFonts w:eastAsia="Times New Roman"/>
                <w:sz w:val="20"/>
                <w:szCs w:val="20"/>
              </w:rPr>
            </w:pPr>
            <w:r>
              <w:rPr>
                <w:rFonts w:eastAsia="Times New Roman"/>
                <w:sz w:val="20"/>
                <w:szCs w:val="20"/>
              </w:rPr>
              <w:t>United States</w:t>
            </w:r>
          </w:p>
        </w:tc>
      </w:tr>
      <w:tr w:rsidR="00000000" w14:paraId="73A7281F" w14:textId="77777777">
        <w:trPr>
          <w:divId w:val="415980837"/>
        </w:trPr>
        <w:tc>
          <w:tcPr>
            <w:tcW w:w="0" w:type="auto"/>
            <w:shd w:val="clear" w:color="auto" w:fill="CCEEFF"/>
            <w:hideMark/>
          </w:tcPr>
          <w:p w14:paraId="55A1C3AF" w14:textId="77777777" w:rsidR="00000000" w:rsidRDefault="002F725F">
            <w:pPr>
              <w:rPr>
                <w:rFonts w:eastAsia="Times New Roman"/>
                <w:sz w:val="20"/>
                <w:szCs w:val="20"/>
              </w:rPr>
            </w:pPr>
            <w:r>
              <w:rPr>
                <w:rFonts w:eastAsia="Times New Roman"/>
                <w:sz w:val="20"/>
                <w:szCs w:val="20"/>
              </w:rPr>
              <w:t>Jutao (Adam) Zhao</w:t>
            </w:r>
          </w:p>
        </w:tc>
        <w:tc>
          <w:tcPr>
            <w:tcW w:w="0" w:type="auto"/>
            <w:shd w:val="clear" w:color="auto" w:fill="CCEEFF"/>
            <w:vAlign w:val="bottom"/>
            <w:hideMark/>
          </w:tcPr>
          <w:p w14:paraId="39DCE27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9E903E3" w14:textId="77777777" w:rsidR="00000000" w:rsidRDefault="002F725F">
            <w:pPr>
              <w:rPr>
                <w:rFonts w:eastAsia="Times New Roman"/>
                <w:sz w:val="20"/>
                <w:szCs w:val="20"/>
              </w:rPr>
            </w:pPr>
            <w:r>
              <w:rPr>
                <w:rFonts w:eastAsia="Times New Roman"/>
                <w:sz w:val="20"/>
                <w:szCs w:val="20"/>
              </w:rPr>
              <w:t>Director</w:t>
            </w:r>
          </w:p>
        </w:tc>
        <w:tc>
          <w:tcPr>
            <w:tcW w:w="0" w:type="auto"/>
            <w:shd w:val="clear" w:color="auto" w:fill="CCEEFF"/>
            <w:vAlign w:val="bottom"/>
            <w:hideMark/>
          </w:tcPr>
          <w:p w14:paraId="2B4703B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5E656A2D" w14:textId="77777777" w:rsidR="00000000" w:rsidRDefault="002F725F">
            <w:pPr>
              <w:rPr>
                <w:rFonts w:eastAsia="Times New Roman"/>
                <w:sz w:val="20"/>
                <w:szCs w:val="20"/>
              </w:rPr>
            </w:pPr>
            <w:r>
              <w:rPr>
                <w:rFonts w:eastAsia="Times New Roman"/>
                <w:sz w:val="20"/>
                <w:szCs w:val="20"/>
              </w:rPr>
              <w:t>People’s Republic</w:t>
            </w:r>
            <w:r>
              <w:rPr>
                <w:rFonts w:eastAsia="Times New Roman"/>
                <w:sz w:val="20"/>
                <w:szCs w:val="20"/>
              </w:rPr>
              <w:t xml:space="preserve"> of China</w:t>
            </w:r>
          </w:p>
        </w:tc>
      </w:tr>
      <w:tr w:rsidR="00000000" w14:paraId="07BB83F2" w14:textId="77777777">
        <w:trPr>
          <w:divId w:val="415980837"/>
        </w:trPr>
        <w:tc>
          <w:tcPr>
            <w:tcW w:w="0" w:type="auto"/>
            <w:shd w:val="clear" w:color="auto" w:fill="FFFFFF"/>
            <w:hideMark/>
          </w:tcPr>
          <w:p w14:paraId="6EBB1D0D" w14:textId="77777777" w:rsidR="00000000" w:rsidRDefault="002F725F">
            <w:pPr>
              <w:rPr>
                <w:rFonts w:eastAsia="Times New Roman"/>
                <w:sz w:val="20"/>
                <w:szCs w:val="20"/>
              </w:rPr>
            </w:pPr>
            <w:r>
              <w:rPr>
                <w:rFonts w:eastAsia="Times New Roman"/>
                <w:sz w:val="20"/>
                <w:szCs w:val="20"/>
              </w:rPr>
              <w:t>Linnan (Thomas) Xue</w:t>
            </w:r>
          </w:p>
        </w:tc>
        <w:tc>
          <w:tcPr>
            <w:tcW w:w="0" w:type="auto"/>
            <w:shd w:val="clear" w:color="auto" w:fill="FFFFFF"/>
            <w:vAlign w:val="bottom"/>
            <w:hideMark/>
          </w:tcPr>
          <w:p w14:paraId="1B567C3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FE88453" w14:textId="77777777" w:rsidR="00000000" w:rsidRDefault="002F725F">
            <w:pPr>
              <w:rPr>
                <w:rFonts w:eastAsia="Times New Roman"/>
                <w:sz w:val="20"/>
                <w:szCs w:val="20"/>
              </w:rPr>
            </w:pPr>
            <w:r>
              <w:rPr>
                <w:rFonts w:eastAsia="Times New Roman"/>
                <w:sz w:val="20"/>
                <w:szCs w:val="20"/>
              </w:rPr>
              <w:t>Director</w:t>
            </w:r>
          </w:p>
        </w:tc>
        <w:tc>
          <w:tcPr>
            <w:tcW w:w="0" w:type="auto"/>
            <w:shd w:val="clear" w:color="auto" w:fill="FFFFFF"/>
            <w:vAlign w:val="bottom"/>
            <w:hideMark/>
          </w:tcPr>
          <w:p w14:paraId="76295A6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2B7D79EF" w14:textId="77777777" w:rsidR="00000000" w:rsidRDefault="002F725F">
            <w:pPr>
              <w:rPr>
                <w:rFonts w:eastAsia="Times New Roman"/>
                <w:sz w:val="20"/>
                <w:szCs w:val="20"/>
              </w:rPr>
            </w:pPr>
            <w:r>
              <w:rPr>
                <w:rFonts w:eastAsia="Times New Roman"/>
                <w:sz w:val="20"/>
                <w:szCs w:val="20"/>
              </w:rPr>
              <w:t>People’s Republic of China</w:t>
            </w:r>
          </w:p>
        </w:tc>
      </w:tr>
      <w:tr w:rsidR="00000000" w14:paraId="42C0DA7B" w14:textId="77777777">
        <w:trPr>
          <w:divId w:val="415980837"/>
        </w:trPr>
        <w:tc>
          <w:tcPr>
            <w:tcW w:w="0" w:type="auto"/>
            <w:shd w:val="clear" w:color="auto" w:fill="CCEEFF"/>
            <w:hideMark/>
          </w:tcPr>
          <w:p w14:paraId="3FC17E48" w14:textId="77777777" w:rsidR="00000000" w:rsidRDefault="002F725F">
            <w:pPr>
              <w:rPr>
                <w:rFonts w:eastAsia="Times New Roman"/>
                <w:sz w:val="20"/>
                <w:szCs w:val="20"/>
              </w:rPr>
            </w:pPr>
            <w:r>
              <w:rPr>
                <w:rFonts w:eastAsia="Times New Roman"/>
                <w:sz w:val="20"/>
                <w:szCs w:val="20"/>
              </w:rPr>
              <w:t>Chunyang Shao</w:t>
            </w:r>
          </w:p>
        </w:tc>
        <w:tc>
          <w:tcPr>
            <w:tcW w:w="0" w:type="auto"/>
            <w:shd w:val="clear" w:color="auto" w:fill="CCEEFF"/>
            <w:vAlign w:val="bottom"/>
            <w:hideMark/>
          </w:tcPr>
          <w:p w14:paraId="7D165FC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5E663EE5" w14:textId="77777777" w:rsidR="00000000" w:rsidRDefault="002F725F">
            <w:pPr>
              <w:rPr>
                <w:rFonts w:eastAsia="Times New Roman"/>
                <w:sz w:val="20"/>
                <w:szCs w:val="20"/>
              </w:rPr>
            </w:pPr>
            <w:r>
              <w:rPr>
                <w:rFonts w:eastAsia="Times New Roman"/>
                <w:sz w:val="20"/>
                <w:szCs w:val="20"/>
              </w:rPr>
              <w:t>Director</w:t>
            </w:r>
          </w:p>
        </w:tc>
        <w:tc>
          <w:tcPr>
            <w:tcW w:w="0" w:type="auto"/>
            <w:shd w:val="clear" w:color="auto" w:fill="CCEEFF"/>
            <w:vAlign w:val="bottom"/>
            <w:hideMark/>
          </w:tcPr>
          <w:p w14:paraId="1387C81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5B14A9BF" w14:textId="77777777" w:rsidR="00000000" w:rsidRDefault="002F725F">
            <w:pPr>
              <w:rPr>
                <w:rFonts w:eastAsia="Times New Roman"/>
                <w:sz w:val="20"/>
                <w:szCs w:val="20"/>
              </w:rPr>
            </w:pPr>
            <w:r>
              <w:rPr>
                <w:rFonts w:eastAsia="Times New Roman"/>
                <w:sz w:val="20"/>
                <w:szCs w:val="20"/>
              </w:rPr>
              <w:t>People’s Republic of China</w:t>
            </w:r>
          </w:p>
        </w:tc>
      </w:tr>
      <w:tr w:rsidR="00000000" w14:paraId="0A98A465" w14:textId="77777777">
        <w:trPr>
          <w:divId w:val="415980837"/>
        </w:trPr>
        <w:tc>
          <w:tcPr>
            <w:tcW w:w="0" w:type="auto"/>
            <w:shd w:val="clear" w:color="auto" w:fill="FFFFFF"/>
            <w:hideMark/>
          </w:tcPr>
          <w:p w14:paraId="7B8A6F35" w14:textId="77777777" w:rsidR="00000000" w:rsidRDefault="002F725F">
            <w:pPr>
              <w:rPr>
                <w:rFonts w:eastAsia="Times New Roman"/>
                <w:sz w:val="20"/>
                <w:szCs w:val="20"/>
              </w:rPr>
            </w:pPr>
            <w:r>
              <w:rPr>
                <w:rFonts w:eastAsia="Times New Roman"/>
                <w:sz w:val="20"/>
                <w:szCs w:val="20"/>
              </w:rPr>
              <w:t>Dr. Yuan Liu</w:t>
            </w:r>
          </w:p>
        </w:tc>
        <w:tc>
          <w:tcPr>
            <w:tcW w:w="0" w:type="auto"/>
            <w:shd w:val="clear" w:color="auto" w:fill="FFFFFF"/>
            <w:vAlign w:val="bottom"/>
            <w:hideMark/>
          </w:tcPr>
          <w:p w14:paraId="08D92BE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0E7538AC" w14:textId="77777777" w:rsidR="00000000" w:rsidRDefault="002F725F">
            <w:pPr>
              <w:rPr>
                <w:rFonts w:eastAsia="Times New Roman"/>
                <w:sz w:val="20"/>
                <w:szCs w:val="20"/>
              </w:rPr>
            </w:pPr>
            <w:r>
              <w:rPr>
                <w:rFonts w:eastAsia="Times New Roman"/>
                <w:sz w:val="20"/>
                <w:szCs w:val="20"/>
              </w:rPr>
              <w:t>Head of Vaccine Research</w:t>
            </w:r>
          </w:p>
        </w:tc>
        <w:tc>
          <w:tcPr>
            <w:tcW w:w="0" w:type="auto"/>
            <w:shd w:val="clear" w:color="auto" w:fill="FFFFFF"/>
            <w:vAlign w:val="bottom"/>
            <w:hideMark/>
          </w:tcPr>
          <w:p w14:paraId="420BE178"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5CD5A144" w14:textId="77777777" w:rsidR="00000000" w:rsidRDefault="002F725F">
            <w:pPr>
              <w:rPr>
                <w:rFonts w:eastAsia="Times New Roman"/>
                <w:sz w:val="20"/>
                <w:szCs w:val="20"/>
              </w:rPr>
            </w:pPr>
            <w:r>
              <w:rPr>
                <w:rFonts w:eastAsia="Times New Roman"/>
                <w:sz w:val="20"/>
                <w:szCs w:val="20"/>
              </w:rPr>
              <w:t>People’s Republic of China</w:t>
            </w:r>
          </w:p>
        </w:tc>
      </w:tr>
      <w:tr w:rsidR="00000000" w14:paraId="5A8B9A2D" w14:textId="77777777">
        <w:trPr>
          <w:divId w:val="415980837"/>
        </w:trPr>
        <w:tc>
          <w:tcPr>
            <w:tcW w:w="0" w:type="auto"/>
            <w:shd w:val="clear" w:color="auto" w:fill="CCEEFF"/>
            <w:hideMark/>
          </w:tcPr>
          <w:p w14:paraId="1CE75F61" w14:textId="77777777" w:rsidR="00000000" w:rsidRDefault="002F725F">
            <w:pPr>
              <w:rPr>
                <w:rFonts w:eastAsia="Times New Roman"/>
                <w:sz w:val="20"/>
                <w:szCs w:val="20"/>
              </w:rPr>
            </w:pPr>
            <w:r>
              <w:rPr>
                <w:rFonts w:eastAsia="Times New Roman"/>
                <w:sz w:val="20"/>
                <w:szCs w:val="20"/>
              </w:rPr>
              <w:t>Zhiyuan Ran</w:t>
            </w:r>
          </w:p>
        </w:tc>
        <w:tc>
          <w:tcPr>
            <w:tcW w:w="0" w:type="auto"/>
            <w:shd w:val="clear" w:color="auto" w:fill="CCEEFF"/>
            <w:vAlign w:val="bottom"/>
            <w:hideMark/>
          </w:tcPr>
          <w:p w14:paraId="7342D7EA"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6621761" w14:textId="77777777" w:rsidR="00000000" w:rsidRDefault="002F725F">
            <w:pPr>
              <w:rPr>
                <w:rFonts w:eastAsia="Times New Roman"/>
                <w:sz w:val="20"/>
                <w:szCs w:val="20"/>
              </w:rPr>
            </w:pPr>
            <w:r>
              <w:rPr>
                <w:rFonts w:eastAsia="Times New Roman"/>
                <w:sz w:val="20"/>
                <w:szCs w:val="20"/>
              </w:rPr>
              <w:t>Head of Marketing and Sales</w:t>
            </w:r>
          </w:p>
        </w:tc>
        <w:tc>
          <w:tcPr>
            <w:tcW w:w="0" w:type="auto"/>
            <w:shd w:val="clear" w:color="auto" w:fill="CCEEFF"/>
            <w:vAlign w:val="bottom"/>
            <w:hideMark/>
          </w:tcPr>
          <w:p w14:paraId="5C27C95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7D630389" w14:textId="77777777" w:rsidR="00000000" w:rsidRDefault="002F725F">
            <w:pPr>
              <w:rPr>
                <w:rFonts w:eastAsia="Times New Roman"/>
                <w:sz w:val="20"/>
                <w:szCs w:val="20"/>
              </w:rPr>
            </w:pPr>
            <w:r>
              <w:rPr>
                <w:rFonts w:eastAsia="Times New Roman"/>
                <w:sz w:val="20"/>
                <w:szCs w:val="20"/>
              </w:rPr>
              <w:t>People’s Republic of China</w:t>
            </w:r>
          </w:p>
        </w:tc>
      </w:tr>
      <w:tr w:rsidR="00000000" w14:paraId="7B331794" w14:textId="77777777">
        <w:trPr>
          <w:divId w:val="415980837"/>
        </w:trPr>
        <w:tc>
          <w:tcPr>
            <w:tcW w:w="0" w:type="auto"/>
            <w:shd w:val="clear" w:color="auto" w:fill="FFFFFF"/>
            <w:hideMark/>
          </w:tcPr>
          <w:p w14:paraId="38A6907B" w14:textId="77777777" w:rsidR="00000000" w:rsidRDefault="002F725F">
            <w:pPr>
              <w:rPr>
                <w:rFonts w:eastAsia="Times New Roman"/>
                <w:sz w:val="20"/>
                <w:szCs w:val="20"/>
              </w:rPr>
            </w:pPr>
            <w:r>
              <w:rPr>
                <w:rFonts w:eastAsia="Times New Roman"/>
                <w:sz w:val="20"/>
                <w:szCs w:val="20"/>
              </w:rPr>
              <w:t>Dr. Honggang Teng</w:t>
            </w:r>
          </w:p>
        </w:tc>
        <w:tc>
          <w:tcPr>
            <w:tcW w:w="0" w:type="auto"/>
            <w:shd w:val="clear" w:color="auto" w:fill="FFFFFF"/>
            <w:vAlign w:val="bottom"/>
            <w:hideMark/>
          </w:tcPr>
          <w:p w14:paraId="69019A3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D873B60" w14:textId="77777777" w:rsidR="00000000" w:rsidRDefault="002F725F">
            <w:pPr>
              <w:rPr>
                <w:rFonts w:eastAsia="Times New Roman"/>
                <w:sz w:val="20"/>
                <w:szCs w:val="20"/>
              </w:rPr>
            </w:pPr>
            <w:r>
              <w:rPr>
                <w:rFonts w:eastAsia="Times New Roman"/>
                <w:sz w:val="20"/>
                <w:szCs w:val="20"/>
              </w:rPr>
              <w:t>Head of Production and Quality Management</w:t>
            </w:r>
          </w:p>
        </w:tc>
        <w:tc>
          <w:tcPr>
            <w:tcW w:w="0" w:type="auto"/>
            <w:shd w:val="clear" w:color="auto" w:fill="FFFFFF"/>
            <w:vAlign w:val="bottom"/>
            <w:hideMark/>
          </w:tcPr>
          <w:p w14:paraId="47FDBF9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6CAB1AE1" w14:textId="77777777" w:rsidR="00000000" w:rsidRDefault="002F725F">
            <w:pPr>
              <w:rPr>
                <w:rFonts w:eastAsia="Times New Roman"/>
                <w:sz w:val="20"/>
                <w:szCs w:val="20"/>
              </w:rPr>
            </w:pPr>
            <w:r>
              <w:rPr>
                <w:rFonts w:eastAsia="Times New Roman"/>
                <w:sz w:val="20"/>
                <w:szCs w:val="20"/>
              </w:rPr>
              <w:t>People’s Republic of China</w:t>
            </w:r>
          </w:p>
        </w:tc>
      </w:tr>
    </w:tbl>
    <w:p w14:paraId="721C940E"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D68D0B3"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shd w:val="clear" w:color="auto" w:fill="FFFFFF"/>
        </w:rPr>
        <w:t>Mr. Yue (Pierson) Pan</w:t>
      </w:r>
      <w:r>
        <w:rPr>
          <w:sz w:val="20"/>
          <w:szCs w:val="20"/>
        </w:rPr>
        <w:t xml:space="preserve"> </w:t>
      </w:r>
      <w:r>
        <w:rPr>
          <w:sz w:val="20"/>
          <w:szCs w:val="20"/>
          <w:shd w:val="clear" w:color="auto" w:fill="FFFFFF"/>
        </w:rPr>
        <w:t>has served as our director and chairperson of the board of directors since May 2025. He served as a member of the Board from February 2024 to May 2024. Mr. Pan is a senior executive with nearly 20 years of senior management experience and a strong track re</w:t>
      </w:r>
      <w:r>
        <w:rPr>
          <w:sz w:val="20"/>
          <w:szCs w:val="20"/>
          <w:shd w:val="clear" w:color="auto" w:fill="FFFFFF"/>
        </w:rPr>
        <w:t>cord of business success. He currently serves as the Deputy President and previously served as the Vice President at Monument Pacific Development Corp. since 2018, in charge of both its healthcare investment and real estate development business in Californ</w:t>
      </w:r>
      <w:r>
        <w:rPr>
          <w:sz w:val="20"/>
          <w:szCs w:val="20"/>
          <w:shd w:val="clear" w:color="auto" w:fill="FFFFFF"/>
        </w:rPr>
        <w:t>ia, the U.S. Prior to that, Mr. Pan worked as the Vice President of Business Development at Propriis, a real estate development company, from 2012 to 2018. From 2004 to 2011, he served as the General Manager of the African Market Division at China Civil En</w:t>
      </w:r>
      <w:r>
        <w:rPr>
          <w:sz w:val="20"/>
          <w:szCs w:val="20"/>
          <w:shd w:val="clear" w:color="auto" w:fill="FFFFFF"/>
        </w:rPr>
        <w:t>gineering Construction Company, a Fortune Global 500 enterprise. Mr. Pan holds an MBA from the University of California, Berkeley’s Hass School of Business and a bachelor’s degree in business administration from Shanghai University.</w:t>
      </w:r>
    </w:p>
    <w:p w14:paraId="491B475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68D5037"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shd w:val="clear" w:color="auto" w:fill="FFFFFF"/>
        </w:rPr>
        <w:t>Mr. Xu Wang</w:t>
      </w:r>
      <w:r>
        <w:rPr>
          <w:sz w:val="20"/>
          <w:szCs w:val="20"/>
        </w:rPr>
        <w:t xml:space="preserve"> </w:t>
      </w:r>
      <w:r>
        <w:rPr>
          <w:sz w:val="20"/>
          <w:szCs w:val="20"/>
          <w:shd w:val="clear" w:color="auto" w:fill="FFFFFF"/>
        </w:rPr>
        <w:t>has serve</w:t>
      </w:r>
      <w:r>
        <w:rPr>
          <w:sz w:val="20"/>
          <w:szCs w:val="20"/>
          <w:shd w:val="clear" w:color="auto" w:fill="FFFFFF"/>
        </w:rPr>
        <w:t>d as our chief operation officer from June 2024 to September 2024 and as our director and chief executive officer since September 2024. Mr. Wang has over twenty years of senior management and strong operational experience from a number of major pharmaceuti</w:t>
      </w:r>
      <w:r>
        <w:rPr>
          <w:sz w:val="20"/>
          <w:szCs w:val="20"/>
          <w:shd w:val="clear" w:color="auto" w:fill="FFFFFF"/>
        </w:rPr>
        <w:t>cal manufacturers, including GSK, Takeda, and others. Mr. Wang has served as the general manager at Xiamen Innovax Biotech Co., Ltd., where he led the production capacity expansion of HPV vaccine, since 2021. Prior to that, Mr. Wang worked at Takeda Pharma</w:t>
      </w:r>
      <w:r>
        <w:rPr>
          <w:sz w:val="20"/>
          <w:szCs w:val="20"/>
          <w:shd w:val="clear" w:color="auto" w:fill="FFFFFF"/>
        </w:rPr>
        <w:t>ceuticals from 2012 to 2020, where he managed its commercial-scale facilities in Guangzhou China and Singen Germany. From 2001 to 2012, Mr. Wang worked at Shanghai GSK Biologics. Mr. Wang was recognized as a Fujian Province Class A Talent and was a NMPA GM</w:t>
      </w:r>
      <w:r>
        <w:rPr>
          <w:sz w:val="20"/>
          <w:szCs w:val="20"/>
          <w:shd w:val="clear" w:color="auto" w:fill="FFFFFF"/>
        </w:rPr>
        <w:t>P Instructor. Mr. Wang obtained his Master of Science in Microbiology and a Bachelor of Science degree in Microbiology from Fudan University in 1998 and 1995, respectively.</w:t>
      </w:r>
    </w:p>
    <w:p w14:paraId="664B25D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BF8B852"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shd w:val="clear" w:color="auto" w:fill="FFFFFF"/>
        </w:rPr>
        <w:t>Dr. Hui (David) Shao</w:t>
      </w:r>
      <w:r>
        <w:rPr>
          <w:sz w:val="20"/>
          <w:szCs w:val="20"/>
        </w:rPr>
        <w:t xml:space="preserve"> </w:t>
      </w:r>
      <w:r>
        <w:rPr>
          <w:sz w:val="20"/>
          <w:szCs w:val="20"/>
          <w:shd w:val="clear" w:color="auto" w:fill="FFFFFF"/>
        </w:rPr>
        <w:t>has served as our director and chief executive officer since</w:t>
      </w:r>
      <w:r>
        <w:rPr>
          <w:sz w:val="20"/>
          <w:szCs w:val="20"/>
          <w:shd w:val="clear" w:color="auto" w:fill="FFFFFF"/>
        </w:rPr>
        <w:t xml:space="preserve"> December 2020 and is currently serving as our director, president, chief business officer and vice chairman of the board. Dr. Shao served as the director, president and chief executive officer of Yisheng Biopharma from February 2018 to December 2020, and </w:t>
      </w:r>
      <w:r>
        <w:rPr>
          <w:sz w:val="20"/>
          <w:szCs w:val="20"/>
          <w:shd w:val="clear" w:color="auto" w:fill="FFFFFF"/>
        </w:rPr>
        <w:t xml:space="preserve">prior to that, as the chief financial officer and global business head of the same company since October 2010. Dr. Shao served as the senior vice president of finance and then the chief financial officer of Aoxing Pharmaceutical Company, Inc. from January </w:t>
      </w:r>
      <w:r>
        <w:rPr>
          <w:sz w:val="20"/>
          <w:szCs w:val="20"/>
          <w:shd w:val="clear" w:color="auto" w:fill="FFFFFF"/>
        </w:rPr>
        <w:t>2007 to October 2010, where he was responsible for preparing financial statements in accordance with GAAP and SEC rules and regulations. From 2005 to 2007, Dr. Shao was a senior biotechnology analyst at Kamunting Street Capital Management in New York. From</w:t>
      </w:r>
      <w:r>
        <w:rPr>
          <w:sz w:val="20"/>
          <w:szCs w:val="20"/>
          <w:shd w:val="clear" w:color="auto" w:fill="FFFFFF"/>
        </w:rPr>
        <w:t xml:space="preserve"> 2003 to 2005, Dr. Shao was a healthcare analyst at Mehta Partners in New York. Prior to that, Dr. Shao had spent five years as a principal scientist at Roche Pharmaceuticals, USA. Dr. Shao received his bachelor’s degree in chemistry from University of Sci</w:t>
      </w:r>
      <w:r>
        <w:rPr>
          <w:sz w:val="20"/>
          <w:szCs w:val="20"/>
          <w:shd w:val="clear" w:color="auto" w:fill="FFFFFF"/>
        </w:rPr>
        <w:t>ence &amp; Technology of China in 1991, his Ph.D. degree in bioorganic chemistry from University of California, San Diego in 1996, and an M.B.A. degree in finance and accounting from Stern School of Business, New York University in 2003. Dr. Shao is a chartere</w:t>
      </w:r>
      <w:r>
        <w:rPr>
          <w:sz w:val="20"/>
          <w:szCs w:val="20"/>
          <w:shd w:val="clear" w:color="auto" w:fill="FFFFFF"/>
        </w:rPr>
        <w:t>d financial analyst (CFA) and AICPA holder in the State of Washington, the United States.</w:t>
      </w:r>
    </w:p>
    <w:p w14:paraId="3FC4199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116ED81" w14:textId="77777777" w:rsidR="00000000" w:rsidRDefault="002F725F">
      <w:pPr>
        <w:pStyle w:val="NormalWeb"/>
        <w:spacing w:before="0" w:beforeAutospacing="0" w:after="0" w:afterAutospacing="0"/>
        <w:jc w:val="center"/>
        <w:divId w:val="1219707983"/>
        <w:rPr>
          <w:sz w:val="20"/>
          <w:szCs w:val="20"/>
        </w:rPr>
      </w:pPr>
      <w:r>
        <w:rPr>
          <w:sz w:val="20"/>
          <w:szCs w:val="20"/>
        </w:rPr>
        <w:t>E</w:t>
      </w:r>
      <w:r>
        <w:rPr>
          <w:sz w:val="20"/>
          <w:szCs w:val="20"/>
        </w:rPr>
        <w:t>-</w:t>
      </w:r>
      <w:r>
        <w:rPr>
          <w:sz w:val="20"/>
          <w:szCs w:val="20"/>
        </w:rPr>
        <w:t>1</w:t>
      </w:r>
    </w:p>
    <w:p w14:paraId="47A24F6B"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 </w:t>
      </w:r>
    </w:p>
    <w:p w14:paraId="38CDA8BE"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shd w:val="clear" w:color="auto" w:fill="FFFFFF"/>
        </w:rPr>
        <w:t>Ms. Rui (Rachel) Yu</w:t>
      </w:r>
      <w:r>
        <w:rPr>
          <w:sz w:val="20"/>
          <w:szCs w:val="20"/>
        </w:rPr>
        <w:t xml:space="preserve"> </w:t>
      </w:r>
      <w:r>
        <w:rPr>
          <w:sz w:val="20"/>
          <w:szCs w:val="20"/>
          <w:shd w:val="clear" w:color="auto" w:fill="FFFFFF"/>
        </w:rPr>
        <w:t xml:space="preserve">has served as our director since December 2023 and our interim chief financial officer from June 2024 to September 2024 and has served as </w:t>
      </w:r>
      <w:r>
        <w:rPr>
          <w:sz w:val="20"/>
          <w:szCs w:val="20"/>
          <w:shd w:val="clear" w:color="auto" w:fill="FFFFFF"/>
        </w:rPr>
        <w:t>our chief financial officer since September 2024. Ms. Yu is a partner at Oceanpine Capital’s healthcare practice since May 2021, where she is responsible for formulating the overall investment strategies in the healthcare sector and taking day-to-day princ</w:t>
      </w:r>
      <w:r>
        <w:rPr>
          <w:sz w:val="20"/>
          <w:szCs w:val="20"/>
          <w:shd w:val="clear" w:color="auto" w:fill="FFFFFF"/>
        </w:rPr>
        <w:t>ipal leadership responsibility in financial and operational management of financial team, investment team and portfolio companies. Prior to that, she was a partner at China Renaissance Group, where she worked from 2014 to 2021 and took the principal respon</w:t>
      </w:r>
      <w:r>
        <w:rPr>
          <w:sz w:val="20"/>
          <w:szCs w:val="20"/>
          <w:shd w:val="clear" w:color="auto" w:fill="FFFFFF"/>
        </w:rPr>
        <w:t xml:space="preserve">sibility in deal sourcing, and conducting due diligence on investment targets, including financial and operational data, financial models and valuation and compliance. From 2012 to 2014, Ms. Yu served as vice president/head of China healthcare research at </w:t>
      </w:r>
      <w:r>
        <w:rPr>
          <w:sz w:val="20"/>
          <w:szCs w:val="20"/>
          <w:shd w:val="clear" w:color="auto" w:fill="FFFFFF"/>
        </w:rPr>
        <w:t>Gerson Lehman Group. Prior to that, Ms. Yu worked as an equity analyst at Maxim Group, Rodman &amp; Renshaw, and Deutsche Bank Securities. Ms. Yu received her BSc from Guangdong Pharmaceutical University, her MSc from The University of Missouri School of Medic</w:t>
      </w:r>
      <w:r>
        <w:rPr>
          <w:sz w:val="20"/>
          <w:szCs w:val="20"/>
          <w:shd w:val="clear" w:color="auto" w:fill="FFFFFF"/>
        </w:rPr>
        <w:t>ine, and her MBA from the University of Chicago Booth School of Business with concentrations in finance, accounting and entrepreneurship.</w:t>
      </w:r>
    </w:p>
    <w:p w14:paraId="44CF57F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16D8700"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shd w:val="clear" w:color="auto" w:fill="FFFFFF"/>
        </w:rPr>
        <w:t>Mr. Adam Zhao</w:t>
      </w:r>
      <w:r>
        <w:rPr>
          <w:sz w:val="20"/>
          <w:szCs w:val="20"/>
        </w:rPr>
        <w:t xml:space="preserve"> </w:t>
      </w:r>
      <w:r>
        <w:rPr>
          <w:sz w:val="20"/>
          <w:szCs w:val="20"/>
          <w:shd w:val="clear" w:color="auto" w:fill="FFFFFF"/>
        </w:rPr>
        <w:t>has served as our director since May 2024. Mr. Zhao is an experienced finance professional with extens</w:t>
      </w:r>
      <w:r>
        <w:rPr>
          <w:sz w:val="20"/>
          <w:szCs w:val="20"/>
          <w:shd w:val="clear" w:color="auto" w:fill="FFFFFF"/>
        </w:rPr>
        <w:t>ive experience in capital markets, corporate finance, and strategic governance. He currently holds positions as an independent director at Zhangmen Education (NYSE: ZME) and Cloopen Group (NYSE: RAAS), focusing on enhancing corporate governance and maintai</w:t>
      </w:r>
      <w:r>
        <w:rPr>
          <w:sz w:val="20"/>
          <w:szCs w:val="20"/>
          <w:shd w:val="clear" w:color="auto" w:fill="FFFFFF"/>
        </w:rPr>
        <w:t>ning compliance with audit standards. From 2015 to 2021, Mr. Zhao served as the CFO and Corporate Secretary at PapayaMobile in Beijing, where he was instrumental in their U.S. IPO process and managed significant financing rounds that shaped the company’s g</w:t>
      </w:r>
      <w:r>
        <w:rPr>
          <w:sz w:val="20"/>
          <w:szCs w:val="20"/>
          <w:shd w:val="clear" w:color="auto" w:fill="FFFFFF"/>
        </w:rPr>
        <w:t>rowth. His previous roles include serving as an independent director at Jumei International and eLong, where he was involved in financial oversight and corporate governance, contributing to successful privatization processes. Mr. Zhao holds an MBA with a f</w:t>
      </w:r>
      <w:r>
        <w:rPr>
          <w:sz w:val="20"/>
          <w:szCs w:val="20"/>
          <w:shd w:val="clear" w:color="auto" w:fill="FFFFFF"/>
        </w:rPr>
        <w:t>ocus on Finance and Accounting from the University of Illinois at Chicago and a bachelor’s degree in Economics from Beijing International Studies University. He is a Chartered Financial Analyst (CFA).</w:t>
      </w:r>
    </w:p>
    <w:p w14:paraId="41E0EBA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CBD7202"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shd w:val="clear" w:color="auto" w:fill="FFFFFF"/>
        </w:rPr>
        <w:t>Mr. Thomas Xue</w:t>
      </w:r>
      <w:r>
        <w:rPr>
          <w:sz w:val="20"/>
          <w:szCs w:val="20"/>
        </w:rPr>
        <w:t xml:space="preserve"> </w:t>
      </w:r>
      <w:r>
        <w:rPr>
          <w:sz w:val="20"/>
          <w:szCs w:val="20"/>
          <w:shd w:val="clear" w:color="auto" w:fill="FFFFFF"/>
        </w:rPr>
        <w:t>has served as our director since May 2</w:t>
      </w:r>
      <w:r>
        <w:rPr>
          <w:sz w:val="20"/>
          <w:szCs w:val="20"/>
          <w:shd w:val="clear" w:color="auto" w:fill="FFFFFF"/>
        </w:rPr>
        <w:t>024. Mr. Xue has served as the chief executive officer of McKindy Group since February 2023, taking charge of strategic planning, operations, and financial management. Mr. Xue also holds the position of Independent Director and Chairman of the Audit Commit</w:t>
      </w:r>
      <w:r>
        <w:rPr>
          <w:sz w:val="20"/>
          <w:szCs w:val="20"/>
          <w:shd w:val="clear" w:color="auto" w:fill="FFFFFF"/>
        </w:rPr>
        <w:t>tee at Techstar (HK: 7855). Mr. Xue also served as CFO at Deepwise Co., Ltd., where he managed the company’s financial strategies and operations from April 2021 to February 2023. He has held leadership roles in notable companies, including as Vice Chairman</w:t>
      </w:r>
      <w:r>
        <w:rPr>
          <w:sz w:val="20"/>
          <w:szCs w:val="20"/>
          <w:shd w:val="clear" w:color="auto" w:fill="FFFFFF"/>
        </w:rPr>
        <w:t xml:space="preserve"> and Global Partner at Fosun Hive Group, and CFO and Global Partner at Fosun Group (HK: 00656). His career also includes significant tenures at AEI – Huatong Energy, KPMG, and Briggs &amp; Stratton, focusing on risk management and audit services. Mr. Xue recei</w:t>
      </w:r>
      <w:r>
        <w:rPr>
          <w:sz w:val="20"/>
          <w:szCs w:val="20"/>
          <w:shd w:val="clear" w:color="auto" w:fill="FFFFFF"/>
        </w:rPr>
        <w:t>ved his master’s degree in economics from Boston University in 2001, and a bachelor’s degree from Renmin University of China in 1997. He has been a member of American Institute of Certified Public Accountants since February 2002 and a member of American In</w:t>
      </w:r>
      <w:r>
        <w:rPr>
          <w:sz w:val="20"/>
          <w:szCs w:val="20"/>
          <w:shd w:val="clear" w:color="auto" w:fill="FFFFFF"/>
        </w:rPr>
        <w:t>stitute of Internal Control since November 2006.</w:t>
      </w:r>
    </w:p>
    <w:p w14:paraId="3ACB98B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FAF2E41"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shd w:val="clear" w:color="auto" w:fill="FFFFFF"/>
        </w:rPr>
        <w:t>Mr. Chunyang Shao</w:t>
      </w:r>
      <w:r>
        <w:rPr>
          <w:sz w:val="20"/>
          <w:szCs w:val="20"/>
        </w:rPr>
        <w:t xml:space="preserve"> </w:t>
      </w:r>
      <w:r>
        <w:rPr>
          <w:sz w:val="20"/>
          <w:szCs w:val="20"/>
          <w:shd w:val="clear" w:color="auto" w:fill="FFFFFF"/>
        </w:rPr>
        <w:t xml:space="preserve">has served as our director since May 2024. Mr. Shao is a partner at the </w:t>
      </w:r>
      <w:r>
        <w:rPr>
          <w:sz w:val="20"/>
          <w:szCs w:val="20"/>
          <w:shd w:val="clear" w:color="auto" w:fill="FFFFFF"/>
        </w:rPr>
        <w:t>law firm JunHe LLP and currently practices at its Shanghai office as the managing partner. Mr. Shao specializes in corporate, foreign investment, real estate, mergers and acquisitions (“M&amp;A”), securities, infrastructure and project finance. Mr. Shao joined</w:t>
      </w:r>
      <w:r>
        <w:rPr>
          <w:sz w:val="20"/>
          <w:szCs w:val="20"/>
          <w:shd w:val="clear" w:color="auto" w:fill="FFFFFF"/>
        </w:rPr>
        <w:t xml:space="preserve"> JunHe in April 2002 and has since represented various multinational corporations and investment funds on their investments and M&amp;As in China. From 1995 to 2001, Mr. Shao worked in the London, Hong Kong and mainland China offices of major international law</w:t>
      </w:r>
      <w:r>
        <w:rPr>
          <w:sz w:val="20"/>
          <w:szCs w:val="20"/>
          <w:shd w:val="clear" w:color="auto" w:fill="FFFFFF"/>
        </w:rPr>
        <w:t xml:space="preserve"> firms, including Simmons &amp; Simmons (as Chinese legal counsel) and Sidley Austin (as a senior legal consultant), involved extensively in foreign direct investment, securities (including B-share, H-share, and red chip listing on the stock exchange in mainla</w:t>
      </w:r>
      <w:r>
        <w:rPr>
          <w:sz w:val="20"/>
          <w:szCs w:val="20"/>
          <w:shd w:val="clear" w:color="auto" w:fill="FFFFFF"/>
        </w:rPr>
        <w:t>nd China, Hong Kong, London and the U.S.), venture capital, project finance and real estate matters and representing a number of well-known multinational companies. Mr. Shao obtained his Bachelor and Master of Laws from East China University of Political S</w:t>
      </w:r>
      <w:r>
        <w:rPr>
          <w:sz w:val="20"/>
          <w:szCs w:val="20"/>
          <w:shd w:val="clear" w:color="auto" w:fill="FFFFFF"/>
        </w:rPr>
        <w:t>cience and Law in 1987 and 2002, respectively.</w:t>
      </w:r>
    </w:p>
    <w:p w14:paraId="6E8E31C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0197C88"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shd w:val="clear" w:color="auto" w:fill="FFFFFF"/>
        </w:rPr>
        <w:t>Dr. Yuan Liu</w:t>
      </w:r>
      <w:r>
        <w:rPr>
          <w:sz w:val="20"/>
          <w:szCs w:val="20"/>
        </w:rPr>
        <w:t xml:space="preserve"> </w:t>
      </w:r>
      <w:r>
        <w:rPr>
          <w:sz w:val="20"/>
          <w:szCs w:val="20"/>
          <w:shd w:val="clear" w:color="auto" w:fill="FFFFFF"/>
        </w:rPr>
        <w:t>has served as our head of vaccine research since January 2019. She is responsible for the R&amp;D of vaccine adjuvant, including PIKA hepatitis B vaccine, human PIKA rabies vaccine and new adjuvant-</w:t>
      </w:r>
      <w:r>
        <w:rPr>
          <w:sz w:val="20"/>
          <w:szCs w:val="20"/>
          <w:shd w:val="clear" w:color="auto" w:fill="FFFFFF"/>
        </w:rPr>
        <w:t>based tumor vaccine under development. Dr. Liu also served as the project leader of R&amp;D department of YS Group Xingye from July 2014 to January 2019 and subsequently has served as the vice president of research department of YS Group Xingye since January 2</w:t>
      </w:r>
      <w:r>
        <w:rPr>
          <w:sz w:val="20"/>
          <w:szCs w:val="20"/>
          <w:shd w:val="clear" w:color="auto" w:fill="FFFFFF"/>
        </w:rPr>
        <w:t xml:space="preserve">019. Dr. Liu has focused on the research of vaccine adjuvants for over 10 years. In 2016, she won the sponsorship of young backbone individual project by Beijing outstanding talent training fund. Dr. Liu </w:t>
      </w:r>
      <w:r>
        <w:rPr>
          <w:sz w:val="20"/>
          <w:szCs w:val="20"/>
          <w:shd w:val="clear" w:color="auto" w:fill="FFFFFF"/>
        </w:rPr>
        <w:lastRenderedPageBreak/>
        <w:t>received her Ph.D. degree in University of Chinese A</w:t>
      </w:r>
      <w:r>
        <w:rPr>
          <w:sz w:val="20"/>
          <w:szCs w:val="20"/>
          <w:shd w:val="clear" w:color="auto" w:fill="FFFFFF"/>
        </w:rPr>
        <w:t>cademy of Sciences in July 2014. She received her bachelor’s degree in Sun Yat-sen University in July 2008.</w:t>
      </w:r>
    </w:p>
    <w:p w14:paraId="4CCB5F5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116A3EB"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shd w:val="clear" w:color="auto" w:fill="FFFFFF"/>
        </w:rPr>
        <w:t>Ms. Zhiyuan Ran</w:t>
      </w:r>
      <w:r>
        <w:rPr>
          <w:sz w:val="20"/>
          <w:szCs w:val="20"/>
        </w:rPr>
        <w:t xml:space="preserve"> </w:t>
      </w:r>
      <w:r>
        <w:rPr>
          <w:sz w:val="20"/>
          <w:szCs w:val="20"/>
          <w:shd w:val="clear" w:color="auto" w:fill="FFFFFF"/>
        </w:rPr>
        <w:t>joined the company in January 2020 and has served as the Head of Marketing and Sales since November 2024, assuming full responsibi</w:t>
      </w:r>
      <w:r>
        <w:rPr>
          <w:sz w:val="20"/>
          <w:szCs w:val="20"/>
          <w:shd w:val="clear" w:color="auto" w:fill="FFFFFF"/>
        </w:rPr>
        <w:t>lity for the strategic planning and operational management of the marketing and sales department. Prior to joining the company, Ms. Ran held positions at renowned domestic and international pharmaceutical enterprises, including Sanofi, GlaxoSmithKline, and</w:t>
      </w:r>
      <w:r>
        <w:rPr>
          <w:sz w:val="20"/>
          <w:szCs w:val="20"/>
          <w:shd w:val="clear" w:color="auto" w:fill="FFFFFF"/>
        </w:rPr>
        <w:t xml:space="preserve"> Watson Biologics, where she specialized in the promotion of various vaccines such as rabies vaccine, influenza vaccine, hepatitis A vaccine, hepatitis B (adult formulation) vaccine, Hib vaccine, and others. Leveraging her extensive expertise in vaccine pr</w:t>
      </w:r>
      <w:r>
        <w:rPr>
          <w:sz w:val="20"/>
          <w:szCs w:val="20"/>
          <w:shd w:val="clear" w:color="auto" w:fill="FFFFFF"/>
        </w:rPr>
        <w:t>oducts and years of experience in sales and marketing, Ms. Ran spearheaded the development of the company’s omni-channel market strategy and the optimization of business processes by focusing on the construction of a robust marketing system and driving bus</w:t>
      </w:r>
      <w:r>
        <w:rPr>
          <w:sz w:val="20"/>
          <w:szCs w:val="20"/>
          <w:shd w:val="clear" w:color="auto" w:fill="FFFFFF"/>
        </w:rPr>
        <w:t>iness growth. Ms. Ran earned her Master’s degree in Public Health from the Chinese Center for Disease Control and Prevention in 2016 and her Bachelor’s degree in Microbial Pharmacy from Shenyang Pharmaceutical University in 2002.</w:t>
      </w:r>
    </w:p>
    <w:p w14:paraId="4C9B312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8B8B91E" w14:textId="77777777" w:rsidR="00000000" w:rsidRDefault="002F725F">
      <w:pPr>
        <w:pStyle w:val="NormalWeb"/>
        <w:spacing w:before="0" w:beforeAutospacing="0" w:after="0" w:afterAutospacing="0"/>
        <w:jc w:val="center"/>
        <w:divId w:val="886571061"/>
        <w:rPr>
          <w:sz w:val="20"/>
          <w:szCs w:val="20"/>
        </w:rPr>
      </w:pPr>
      <w:r>
        <w:rPr>
          <w:sz w:val="20"/>
          <w:szCs w:val="20"/>
        </w:rPr>
        <w:t>E</w:t>
      </w:r>
      <w:r>
        <w:rPr>
          <w:sz w:val="20"/>
          <w:szCs w:val="20"/>
        </w:rPr>
        <w:t>-</w:t>
      </w:r>
      <w:r>
        <w:rPr>
          <w:sz w:val="20"/>
          <w:szCs w:val="20"/>
        </w:rPr>
        <w:t>2</w:t>
      </w:r>
    </w:p>
    <w:p w14:paraId="61A2B6F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A515647" w14:textId="77777777" w:rsidR="00000000" w:rsidRDefault="002F725F">
      <w:pPr>
        <w:pStyle w:val="NormalWeb"/>
        <w:spacing w:before="0" w:beforeAutospacing="0" w:after="0" w:afterAutospacing="0"/>
        <w:ind w:firstLine="720"/>
        <w:jc w:val="both"/>
        <w:divId w:val="415980837"/>
        <w:rPr>
          <w:sz w:val="20"/>
          <w:szCs w:val="20"/>
        </w:rPr>
      </w:pPr>
      <w:r>
        <w:rPr>
          <w:b/>
          <w:bCs/>
          <w:sz w:val="20"/>
          <w:szCs w:val="20"/>
          <w:shd w:val="clear" w:color="auto" w:fill="FFFFFF"/>
        </w:rPr>
        <w:t xml:space="preserve">Dr. </w:t>
      </w:r>
      <w:r>
        <w:rPr>
          <w:b/>
          <w:bCs/>
          <w:sz w:val="20"/>
          <w:szCs w:val="20"/>
          <w:shd w:val="clear" w:color="auto" w:fill="FFFFFF"/>
        </w:rPr>
        <w:t>Honggang Teng</w:t>
      </w:r>
      <w:r>
        <w:rPr>
          <w:sz w:val="20"/>
          <w:szCs w:val="20"/>
        </w:rPr>
        <w:t xml:space="preserve"> </w:t>
      </w:r>
      <w:r>
        <w:rPr>
          <w:sz w:val="20"/>
          <w:szCs w:val="20"/>
          <w:shd w:val="clear" w:color="auto" w:fill="FFFFFF"/>
        </w:rPr>
        <w:t>has served as the general manager and head of production and quality management of Liaoning Yisheng since March 2024. Dr. Teng has over 20 years of R&amp;D and manufacturing experience in monoclonal antibody, HAV and HBV vaccines, HPV vaccine, ra</w:t>
      </w:r>
      <w:r>
        <w:rPr>
          <w:sz w:val="20"/>
          <w:szCs w:val="20"/>
          <w:shd w:val="clear" w:color="auto" w:fill="FFFFFF"/>
        </w:rPr>
        <w:t xml:space="preserve">bies vaccine and HIV/AIDS DNA vaccine programs. Prior to that, he served as the vice president of Jiangsu JDK Biotechnology Company Limited, responsible for overseeing manufacturing, research and development functions of the company. He served as the vice </w:t>
      </w:r>
      <w:r>
        <w:rPr>
          <w:sz w:val="20"/>
          <w:szCs w:val="20"/>
          <w:shd w:val="clear" w:color="auto" w:fill="FFFFFF"/>
        </w:rPr>
        <w:t>president of Liaoning Yisheng from August 2016 to March 2022 and head of production and quality management of Liaoning Yisheng from August 2016 to November 2018. Prior to joining us, Dr. Teng served as the production director in Chuangchun Zhuoyi Biologica</w:t>
      </w:r>
      <w:r>
        <w:rPr>
          <w:sz w:val="20"/>
          <w:szCs w:val="20"/>
          <w:shd w:val="clear" w:color="auto" w:fill="FFFFFF"/>
        </w:rPr>
        <w:t>l Co., Ltd from January 2012 to June 2015. From June 2007 to June 2009, he served as the general manager assistant and vice general manager in Yatai Bio-Pharmaceuticals Co., Ltd.</w:t>
      </w:r>
    </w:p>
    <w:p w14:paraId="5D67BF0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01761B3"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During the last five years, neither of the Company or any of the other pers</w:t>
      </w:r>
      <w:r>
        <w:rPr>
          <w:sz w:val="20"/>
          <w:szCs w:val="20"/>
        </w:rPr>
        <w:t>on listed above has been (a) convicted in a criminal proceeding (excluding traffic violations and similar misdemeanors) or (b) a party to any judicial or administrative proceeding (except for matters that were dismissed without sanction or settlement) that</w:t>
      </w:r>
      <w:r>
        <w:rPr>
          <w:sz w:val="20"/>
          <w:szCs w:val="20"/>
        </w:rPr>
        <w:t xml:space="preserve"> resulted in a judgment or decree or final order enjoining the person from future violations of, or prohibiting activities subject to, federal or state securities laws, or a finding of any violation of federal or state securities laws.</w:t>
      </w:r>
    </w:p>
    <w:p w14:paraId="4C0C162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8640"/>
      </w:tblGrid>
      <w:tr w:rsidR="00000000" w14:paraId="44D2388D" w14:textId="77777777">
        <w:trPr>
          <w:divId w:val="415980837"/>
          <w:tblCellSpacing w:w="0" w:type="dxa"/>
        </w:trPr>
        <w:tc>
          <w:tcPr>
            <w:tcW w:w="720" w:type="dxa"/>
            <w:hideMark/>
          </w:tcPr>
          <w:p w14:paraId="06BA8F0B" w14:textId="77777777" w:rsidR="00000000" w:rsidRDefault="002F725F">
            <w:pPr>
              <w:rPr>
                <w:rFonts w:eastAsia="Times New Roman"/>
                <w:sz w:val="20"/>
                <w:szCs w:val="20"/>
              </w:rPr>
            </w:pPr>
            <w:r>
              <w:rPr>
                <w:rFonts w:eastAsia="Times New Roman"/>
                <w:b/>
                <w:bCs/>
                <w:sz w:val="20"/>
                <w:szCs w:val="20"/>
              </w:rPr>
              <w:t>2.</w:t>
            </w:r>
          </w:p>
        </w:tc>
        <w:tc>
          <w:tcPr>
            <w:tcW w:w="0" w:type="auto"/>
            <w:hideMark/>
          </w:tcPr>
          <w:p w14:paraId="3E0E474D" w14:textId="77777777" w:rsidR="00000000" w:rsidRDefault="002F725F">
            <w:pPr>
              <w:jc w:val="both"/>
              <w:rPr>
                <w:rFonts w:eastAsia="Times New Roman"/>
                <w:sz w:val="20"/>
                <w:szCs w:val="20"/>
              </w:rPr>
            </w:pPr>
            <w:r>
              <w:rPr>
                <w:rFonts w:eastAsia="Times New Roman"/>
                <w:b/>
                <w:bCs/>
                <w:sz w:val="20"/>
                <w:szCs w:val="20"/>
              </w:rPr>
              <w:t>Directors and E</w:t>
            </w:r>
            <w:r>
              <w:rPr>
                <w:rFonts w:eastAsia="Times New Roman"/>
                <w:b/>
                <w:bCs/>
                <w:sz w:val="20"/>
                <w:szCs w:val="20"/>
              </w:rPr>
              <w:t>xecutive Officers of Parent</w:t>
            </w:r>
          </w:p>
        </w:tc>
      </w:tr>
    </w:tbl>
    <w:p w14:paraId="4FD0626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85CA3F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following table sets forth the information regarding the director of Parent as of the date of this proxy statement. The business address of the director of Parent is 21F, China Century Tower, No. 9 Xiaoyunli South St, Bei</w:t>
      </w:r>
      <w:r>
        <w:rPr>
          <w:sz w:val="20"/>
          <w:szCs w:val="20"/>
        </w:rPr>
        <w:t>jing 100026, China. As of the date of this proxy statement, Parent does not have any executive officer.</w:t>
      </w:r>
    </w:p>
    <w:p w14:paraId="650B600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2434"/>
        <w:gridCol w:w="187"/>
        <w:gridCol w:w="4399"/>
        <w:gridCol w:w="94"/>
        <w:gridCol w:w="2246"/>
      </w:tblGrid>
      <w:tr w:rsidR="00000000" w14:paraId="212DCF51" w14:textId="77777777">
        <w:trPr>
          <w:divId w:val="415980837"/>
        </w:trPr>
        <w:tc>
          <w:tcPr>
            <w:tcW w:w="1300" w:type="pct"/>
            <w:tcBorders>
              <w:bottom w:val="single" w:sz="12" w:space="0" w:color="000000"/>
            </w:tcBorders>
            <w:vAlign w:val="bottom"/>
            <w:hideMark/>
          </w:tcPr>
          <w:p w14:paraId="006F947C" w14:textId="77777777" w:rsidR="00000000" w:rsidRDefault="002F725F">
            <w:pPr>
              <w:rPr>
                <w:rFonts w:eastAsia="Times New Roman"/>
                <w:sz w:val="20"/>
                <w:szCs w:val="20"/>
              </w:rPr>
            </w:pPr>
            <w:r>
              <w:rPr>
                <w:rFonts w:eastAsia="Times New Roman"/>
                <w:b/>
                <w:bCs/>
                <w:sz w:val="20"/>
                <w:szCs w:val="20"/>
              </w:rPr>
              <w:t>Name</w:t>
            </w:r>
          </w:p>
        </w:tc>
        <w:tc>
          <w:tcPr>
            <w:tcW w:w="100" w:type="pct"/>
            <w:tcMar>
              <w:top w:w="0" w:type="dxa"/>
              <w:left w:w="0" w:type="dxa"/>
              <w:bottom w:w="30" w:type="dxa"/>
              <w:right w:w="0" w:type="dxa"/>
            </w:tcMar>
            <w:vAlign w:val="bottom"/>
            <w:hideMark/>
          </w:tcPr>
          <w:p w14:paraId="53A00567" w14:textId="77777777" w:rsidR="00000000" w:rsidRDefault="002F725F">
            <w:pPr>
              <w:rPr>
                <w:rFonts w:eastAsia="Times New Roman"/>
                <w:sz w:val="20"/>
                <w:szCs w:val="20"/>
              </w:rPr>
            </w:pPr>
            <w:r>
              <w:rPr>
                <w:rFonts w:eastAsia="Times New Roman"/>
                <w:sz w:val="20"/>
                <w:szCs w:val="20"/>
              </w:rPr>
              <w:t> </w:t>
            </w:r>
          </w:p>
        </w:tc>
        <w:tc>
          <w:tcPr>
            <w:tcW w:w="2350" w:type="pct"/>
            <w:tcBorders>
              <w:bottom w:val="single" w:sz="12" w:space="0" w:color="000000"/>
            </w:tcBorders>
            <w:vAlign w:val="bottom"/>
            <w:hideMark/>
          </w:tcPr>
          <w:p w14:paraId="3CFC2EA4" w14:textId="77777777" w:rsidR="00000000" w:rsidRDefault="002F725F">
            <w:pPr>
              <w:jc w:val="center"/>
              <w:rPr>
                <w:rFonts w:eastAsia="Times New Roman"/>
                <w:sz w:val="20"/>
                <w:szCs w:val="20"/>
              </w:rPr>
            </w:pPr>
            <w:r>
              <w:rPr>
                <w:rFonts w:eastAsia="Times New Roman"/>
                <w:b/>
                <w:bCs/>
                <w:sz w:val="20"/>
                <w:szCs w:val="20"/>
              </w:rPr>
              <w:t>Present Principal Occupation or Employment</w:t>
            </w:r>
          </w:p>
        </w:tc>
        <w:tc>
          <w:tcPr>
            <w:tcW w:w="50" w:type="pct"/>
            <w:tcMar>
              <w:top w:w="0" w:type="dxa"/>
              <w:left w:w="0" w:type="dxa"/>
              <w:bottom w:w="30" w:type="dxa"/>
              <w:right w:w="0" w:type="dxa"/>
            </w:tcMar>
            <w:vAlign w:val="bottom"/>
            <w:hideMark/>
          </w:tcPr>
          <w:p w14:paraId="31960FF0" w14:textId="77777777" w:rsidR="00000000" w:rsidRDefault="002F725F">
            <w:pPr>
              <w:rPr>
                <w:rFonts w:eastAsia="Times New Roman"/>
                <w:sz w:val="20"/>
                <w:szCs w:val="20"/>
              </w:rPr>
            </w:pPr>
            <w:r>
              <w:rPr>
                <w:rFonts w:eastAsia="Times New Roman"/>
                <w:sz w:val="20"/>
                <w:szCs w:val="20"/>
              </w:rPr>
              <w:t> </w:t>
            </w:r>
          </w:p>
        </w:tc>
        <w:tc>
          <w:tcPr>
            <w:tcW w:w="1200" w:type="pct"/>
            <w:tcBorders>
              <w:bottom w:val="single" w:sz="12" w:space="0" w:color="000000"/>
            </w:tcBorders>
            <w:vAlign w:val="bottom"/>
            <w:hideMark/>
          </w:tcPr>
          <w:p w14:paraId="64EE332A" w14:textId="77777777" w:rsidR="00000000" w:rsidRDefault="002F725F">
            <w:pPr>
              <w:jc w:val="center"/>
              <w:rPr>
                <w:rFonts w:eastAsia="Times New Roman"/>
                <w:sz w:val="20"/>
                <w:szCs w:val="20"/>
              </w:rPr>
            </w:pPr>
            <w:r>
              <w:rPr>
                <w:rFonts w:eastAsia="Times New Roman"/>
                <w:b/>
                <w:bCs/>
                <w:sz w:val="20"/>
                <w:szCs w:val="20"/>
              </w:rPr>
              <w:t>Citizenship</w:t>
            </w:r>
          </w:p>
        </w:tc>
      </w:tr>
      <w:tr w:rsidR="00000000" w14:paraId="43C5A960" w14:textId="77777777">
        <w:trPr>
          <w:divId w:val="415980837"/>
        </w:trPr>
        <w:tc>
          <w:tcPr>
            <w:tcW w:w="0" w:type="auto"/>
            <w:shd w:val="clear" w:color="auto" w:fill="CCEEFF"/>
            <w:vAlign w:val="bottom"/>
            <w:hideMark/>
          </w:tcPr>
          <w:p w14:paraId="75770FF8" w14:textId="77777777" w:rsidR="00000000" w:rsidRDefault="002F725F">
            <w:pPr>
              <w:rPr>
                <w:rFonts w:eastAsia="Times New Roman"/>
                <w:sz w:val="20"/>
                <w:szCs w:val="20"/>
              </w:rPr>
            </w:pPr>
            <w:r>
              <w:rPr>
                <w:rFonts w:eastAsia="Times New Roman"/>
                <w:sz w:val="20"/>
                <w:szCs w:val="20"/>
              </w:rPr>
              <w:t>NAN Shaodeng</w:t>
            </w:r>
          </w:p>
        </w:tc>
        <w:tc>
          <w:tcPr>
            <w:tcW w:w="0" w:type="auto"/>
            <w:shd w:val="clear" w:color="auto" w:fill="CCEEFF"/>
            <w:vAlign w:val="bottom"/>
            <w:hideMark/>
          </w:tcPr>
          <w:p w14:paraId="73AC8A1D"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3D3B5F77" w14:textId="77777777" w:rsidR="00000000" w:rsidRDefault="002F725F">
            <w:pPr>
              <w:rPr>
                <w:rFonts w:eastAsia="Times New Roman"/>
                <w:sz w:val="20"/>
                <w:szCs w:val="20"/>
              </w:rPr>
            </w:pPr>
            <w:r>
              <w:rPr>
                <w:rFonts w:eastAsia="Times New Roman"/>
                <w:sz w:val="20"/>
                <w:szCs w:val="20"/>
              </w:rPr>
              <w:t>Director</w:t>
            </w:r>
          </w:p>
        </w:tc>
        <w:tc>
          <w:tcPr>
            <w:tcW w:w="0" w:type="auto"/>
            <w:shd w:val="clear" w:color="auto" w:fill="CCEEFF"/>
            <w:vAlign w:val="bottom"/>
            <w:hideMark/>
          </w:tcPr>
          <w:p w14:paraId="29CA257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B0CC3F0" w14:textId="77777777" w:rsidR="00000000" w:rsidRDefault="002F725F">
            <w:pPr>
              <w:rPr>
                <w:rFonts w:eastAsia="Times New Roman"/>
                <w:sz w:val="20"/>
                <w:szCs w:val="20"/>
              </w:rPr>
            </w:pPr>
            <w:r>
              <w:rPr>
                <w:rFonts w:eastAsia="Times New Roman"/>
                <w:sz w:val="20"/>
                <w:szCs w:val="20"/>
              </w:rPr>
              <w:t>People’s Republic of China</w:t>
            </w:r>
          </w:p>
        </w:tc>
      </w:tr>
    </w:tbl>
    <w:p w14:paraId="10FFA3E4" w14:textId="77777777" w:rsidR="00000000" w:rsidRDefault="002F725F">
      <w:pPr>
        <w:pStyle w:val="NormalWeb"/>
        <w:spacing w:before="0" w:beforeAutospacing="0" w:after="0" w:afterAutospacing="0"/>
        <w:ind w:firstLine="720"/>
        <w:divId w:val="415980837"/>
        <w:rPr>
          <w:sz w:val="20"/>
          <w:szCs w:val="20"/>
        </w:rPr>
      </w:pPr>
      <w:r>
        <w:rPr>
          <w:sz w:val="20"/>
          <w:szCs w:val="20"/>
        </w:rPr>
        <w:t> </w:t>
      </w:r>
    </w:p>
    <w:p w14:paraId="3A3F176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NAN Shaodeng has been the director of Parent and Merger Sub since their establishments in 2025 and has also served as Chairman, Legal Representative, and General Manager of Oceanpine Pilot (Beijing) Private Fund Management Co., Ltd. since May 2021. From Ju</w:t>
      </w:r>
      <w:r>
        <w:rPr>
          <w:sz w:val="20"/>
          <w:szCs w:val="20"/>
        </w:rPr>
        <w:t xml:space="preserve">ly 2020 to May 2021, NAN Shaodeng served as the Chief Financial Officer of Oceanpine Pilot (Beijing) Private Fund Management Co., Ltd. Oceanpine Pilot (Beijing) Private Fund Management Co., Ltd. is principally engaged in private equity fund management and </w:t>
      </w:r>
      <w:r>
        <w:rPr>
          <w:sz w:val="20"/>
          <w:szCs w:val="20"/>
        </w:rPr>
        <w:t>venture capital fund management services, and its business address is c/o Room 1803, 18F, China Century Tower, No. 9 Xiaoyunli South St, Beijing 100026, China.</w:t>
      </w:r>
    </w:p>
    <w:p w14:paraId="21719F6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1EFC720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During the last five years, neither of Parent, or, to the knowledge of Parent, any of the othe</w:t>
      </w:r>
      <w:r>
        <w:rPr>
          <w:sz w:val="20"/>
          <w:szCs w:val="20"/>
        </w:rPr>
        <w:t>r person listed above has been (a) convicted in a criminal proceeding (excluding traffic violations and similar misdemeanors) or (b) a party to any judicial or administrative proceeding (except for matters that were dismissed without sanction or settlement</w:t>
      </w:r>
      <w:r>
        <w:rPr>
          <w:sz w:val="20"/>
          <w:szCs w:val="20"/>
        </w:rPr>
        <w:t xml:space="preserve">) that resulted in a judgment or decree or final order enjoining the person from future violations of, or </w:t>
      </w:r>
      <w:r>
        <w:rPr>
          <w:sz w:val="20"/>
          <w:szCs w:val="20"/>
        </w:rPr>
        <w:lastRenderedPageBreak/>
        <w:t>prohibiting activities subject to, federal or state securities laws, or a finding of any violation of federal or state securities laws.</w:t>
      </w:r>
    </w:p>
    <w:p w14:paraId="55B05BCD" w14:textId="77777777" w:rsidR="00000000" w:rsidRDefault="002F725F">
      <w:pPr>
        <w:pStyle w:val="NormalWeb"/>
        <w:spacing w:before="0" w:beforeAutospacing="0" w:after="0" w:afterAutospacing="0"/>
        <w:ind w:firstLine="72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8640"/>
      </w:tblGrid>
      <w:tr w:rsidR="00000000" w14:paraId="4D168130" w14:textId="77777777">
        <w:trPr>
          <w:divId w:val="415980837"/>
          <w:tblCellSpacing w:w="0" w:type="dxa"/>
        </w:trPr>
        <w:tc>
          <w:tcPr>
            <w:tcW w:w="720" w:type="dxa"/>
            <w:hideMark/>
          </w:tcPr>
          <w:p w14:paraId="69BEA3B5" w14:textId="77777777" w:rsidR="00000000" w:rsidRDefault="002F725F">
            <w:pPr>
              <w:rPr>
                <w:rFonts w:eastAsia="Times New Roman"/>
                <w:sz w:val="20"/>
                <w:szCs w:val="20"/>
              </w:rPr>
            </w:pPr>
            <w:r>
              <w:rPr>
                <w:rFonts w:eastAsia="Times New Roman"/>
                <w:b/>
                <w:bCs/>
                <w:sz w:val="20"/>
                <w:szCs w:val="20"/>
              </w:rPr>
              <w:t>3.</w:t>
            </w:r>
          </w:p>
        </w:tc>
        <w:tc>
          <w:tcPr>
            <w:tcW w:w="0" w:type="auto"/>
            <w:hideMark/>
          </w:tcPr>
          <w:p w14:paraId="519B4798" w14:textId="77777777" w:rsidR="00000000" w:rsidRDefault="002F725F">
            <w:pPr>
              <w:jc w:val="both"/>
              <w:rPr>
                <w:rFonts w:eastAsia="Times New Roman"/>
                <w:sz w:val="20"/>
                <w:szCs w:val="20"/>
              </w:rPr>
            </w:pPr>
            <w:r>
              <w:rPr>
                <w:rFonts w:eastAsia="Times New Roman"/>
                <w:b/>
                <w:bCs/>
                <w:sz w:val="20"/>
                <w:szCs w:val="20"/>
              </w:rPr>
              <w:t>Directors</w:t>
            </w:r>
            <w:r>
              <w:rPr>
                <w:rFonts w:eastAsia="Times New Roman"/>
                <w:b/>
                <w:bCs/>
                <w:sz w:val="20"/>
                <w:szCs w:val="20"/>
              </w:rPr>
              <w:t xml:space="preserve"> and Executive Officers of Merger Sub</w:t>
            </w:r>
          </w:p>
        </w:tc>
      </w:tr>
    </w:tbl>
    <w:p w14:paraId="7366E8A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DF81CD1"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following table sets forth the information regarding the director of Merger Sub as of the date of this proxy statement. The business address of the director of Merger Sub is 21F, China Century Tower, No. 9 Xiaoy</w:t>
      </w:r>
      <w:r>
        <w:rPr>
          <w:sz w:val="20"/>
          <w:szCs w:val="20"/>
        </w:rPr>
        <w:t>unli South St, Beijing 100026, China. As of the date of this proxy statement, Merger Sub does not have any executive officer.</w:t>
      </w:r>
    </w:p>
    <w:p w14:paraId="42766926" w14:textId="77777777" w:rsidR="00000000" w:rsidRDefault="002F725F">
      <w:pPr>
        <w:pStyle w:val="NormalWeb"/>
        <w:spacing w:before="0" w:beforeAutospacing="0" w:after="0" w:afterAutospacing="0"/>
        <w:ind w:firstLine="72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2434"/>
        <w:gridCol w:w="187"/>
        <w:gridCol w:w="4399"/>
        <w:gridCol w:w="94"/>
        <w:gridCol w:w="2246"/>
      </w:tblGrid>
      <w:tr w:rsidR="00000000" w14:paraId="2452FE39" w14:textId="77777777">
        <w:trPr>
          <w:divId w:val="415980837"/>
        </w:trPr>
        <w:tc>
          <w:tcPr>
            <w:tcW w:w="1300" w:type="pct"/>
            <w:tcBorders>
              <w:bottom w:val="single" w:sz="12" w:space="0" w:color="000000"/>
            </w:tcBorders>
            <w:vAlign w:val="bottom"/>
            <w:hideMark/>
          </w:tcPr>
          <w:p w14:paraId="53ACADDF" w14:textId="77777777" w:rsidR="00000000" w:rsidRDefault="002F725F">
            <w:pPr>
              <w:rPr>
                <w:rFonts w:eastAsia="Times New Roman"/>
                <w:sz w:val="20"/>
                <w:szCs w:val="20"/>
              </w:rPr>
            </w:pPr>
            <w:r>
              <w:rPr>
                <w:rFonts w:eastAsia="Times New Roman"/>
                <w:b/>
                <w:bCs/>
                <w:sz w:val="20"/>
                <w:szCs w:val="20"/>
              </w:rPr>
              <w:t>Name</w:t>
            </w:r>
          </w:p>
        </w:tc>
        <w:tc>
          <w:tcPr>
            <w:tcW w:w="100" w:type="pct"/>
            <w:vAlign w:val="bottom"/>
            <w:hideMark/>
          </w:tcPr>
          <w:p w14:paraId="22972067" w14:textId="77777777" w:rsidR="00000000" w:rsidRDefault="002F725F">
            <w:pPr>
              <w:rPr>
                <w:rFonts w:eastAsia="Times New Roman"/>
                <w:sz w:val="20"/>
                <w:szCs w:val="20"/>
              </w:rPr>
            </w:pPr>
            <w:r>
              <w:rPr>
                <w:rFonts w:eastAsia="Times New Roman"/>
                <w:sz w:val="20"/>
                <w:szCs w:val="20"/>
              </w:rPr>
              <w:t> </w:t>
            </w:r>
          </w:p>
        </w:tc>
        <w:tc>
          <w:tcPr>
            <w:tcW w:w="2350" w:type="pct"/>
            <w:tcBorders>
              <w:bottom w:val="single" w:sz="12" w:space="0" w:color="000000"/>
            </w:tcBorders>
            <w:vAlign w:val="bottom"/>
            <w:hideMark/>
          </w:tcPr>
          <w:p w14:paraId="1AC2C179" w14:textId="77777777" w:rsidR="00000000" w:rsidRDefault="002F725F">
            <w:pPr>
              <w:jc w:val="center"/>
              <w:rPr>
                <w:rFonts w:eastAsia="Times New Roman"/>
                <w:sz w:val="20"/>
                <w:szCs w:val="20"/>
              </w:rPr>
            </w:pPr>
            <w:r>
              <w:rPr>
                <w:rFonts w:eastAsia="Times New Roman"/>
                <w:b/>
                <w:bCs/>
                <w:sz w:val="20"/>
                <w:szCs w:val="20"/>
              </w:rPr>
              <w:t>Present Principal Occupation or Employment</w:t>
            </w:r>
          </w:p>
        </w:tc>
        <w:tc>
          <w:tcPr>
            <w:tcW w:w="50" w:type="pct"/>
            <w:vAlign w:val="bottom"/>
            <w:hideMark/>
          </w:tcPr>
          <w:p w14:paraId="3C84FF52" w14:textId="77777777" w:rsidR="00000000" w:rsidRDefault="002F725F">
            <w:pPr>
              <w:rPr>
                <w:rFonts w:eastAsia="Times New Roman"/>
                <w:sz w:val="20"/>
                <w:szCs w:val="20"/>
              </w:rPr>
            </w:pPr>
            <w:r>
              <w:rPr>
                <w:rFonts w:eastAsia="Times New Roman"/>
                <w:sz w:val="20"/>
                <w:szCs w:val="20"/>
              </w:rPr>
              <w:t> </w:t>
            </w:r>
          </w:p>
        </w:tc>
        <w:tc>
          <w:tcPr>
            <w:tcW w:w="1200" w:type="pct"/>
            <w:tcBorders>
              <w:bottom w:val="single" w:sz="12" w:space="0" w:color="000000"/>
            </w:tcBorders>
            <w:vAlign w:val="bottom"/>
            <w:hideMark/>
          </w:tcPr>
          <w:p w14:paraId="5543C7C0" w14:textId="77777777" w:rsidR="00000000" w:rsidRDefault="002F725F">
            <w:pPr>
              <w:jc w:val="center"/>
              <w:rPr>
                <w:rFonts w:eastAsia="Times New Roman"/>
                <w:sz w:val="20"/>
                <w:szCs w:val="20"/>
              </w:rPr>
            </w:pPr>
            <w:r>
              <w:rPr>
                <w:rFonts w:eastAsia="Times New Roman"/>
                <w:b/>
                <w:bCs/>
                <w:sz w:val="20"/>
                <w:szCs w:val="20"/>
              </w:rPr>
              <w:t>Citizenship</w:t>
            </w:r>
          </w:p>
        </w:tc>
      </w:tr>
      <w:tr w:rsidR="00000000" w14:paraId="42364976" w14:textId="77777777">
        <w:trPr>
          <w:divId w:val="415980837"/>
        </w:trPr>
        <w:tc>
          <w:tcPr>
            <w:tcW w:w="0" w:type="auto"/>
            <w:shd w:val="clear" w:color="auto" w:fill="CCEEFF"/>
            <w:vAlign w:val="bottom"/>
            <w:hideMark/>
          </w:tcPr>
          <w:p w14:paraId="1EEF92A5" w14:textId="77777777" w:rsidR="00000000" w:rsidRDefault="002F725F">
            <w:pPr>
              <w:rPr>
                <w:rFonts w:eastAsia="Times New Roman"/>
                <w:sz w:val="20"/>
                <w:szCs w:val="20"/>
              </w:rPr>
            </w:pPr>
            <w:r>
              <w:rPr>
                <w:rFonts w:eastAsia="Times New Roman"/>
                <w:sz w:val="20"/>
                <w:szCs w:val="20"/>
              </w:rPr>
              <w:t>NAN Shaodeng</w:t>
            </w:r>
          </w:p>
        </w:tc>
        <w:tc>
          <w:tcPr>
            <w:tcW w:w="0" w:type="auto"/>
            <w:shd w:val="clear" w:color="auto" w:fill="CCEEFF"/>
            <w:vAlign w:val="bottom"/>
            <w:hideMark/>
          </w:tcPr>
          <w:p w14:paraId="67D997C9"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1A0DDAD" w14:textId="77777777" w:rsidR="00000000" w:rsidRDefault="002F725F">
            <w:pPr>
              <w:rPr>
                <w:rFonts w:eastAsia="Times New Roman"/>
                <w:sz w:val="20"/>
                <w:szCs w:val="20"/>
              </w:rPr>
            </w:pPr>
            <w:r>
              <w:rPr>
                <w:rFonts w:eastAsia="Times New Roman"/>
                <w:sz w:val="20"/>
                <w:szCs w:val="20"/>
              </w:rPr>
              <w:t>Director</w:t>
            </w:r>
          </w:p>
        </w:tc>
        <w:tc>
          <w:tcPr>
            <w:tcW w:w="0" w:type="auto"/>
            <w:shd w:val="clear" w:color="auto" w:fill="CCEEFF"/>
            <w:vAlign w:val="bottom"/>
            <w:hideMark/>
          </w:tcPr>
          <w:p w14:paraId="3364FFA7"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4B08049" w14:textId="77777777" w:rsidR="00000000" w:rsidRDefault="002F725F">
            <w:pPr>
              <w:rPr>
                <w:rFonts w:eastAsia="Times New Roman"/>
                <w:sz w:val="20"/>
                <w:szCs w:val="20"/>
              </w:rPr>
            </w:pPr>
            <w:r>
              <w:rPr>
                <w:rFonts w:eastAsia="Times New Roman"/>
                <w:sz w:val="20"/>
                <w:szCs w:val="20"/>
              </w:rPr>
              <w:t>People’</w:t>
            </w:r>
            <w:r>
              <w:rPr>
                <w:rFonts w:eastAsia="Times New Roman"/>
                <w:sz w:val="20"/>
                <w:szCs w:val="20"/>
              </w:rPr>
              <w:t>s Republic of China</w:t>
            </w:r>
          </w:p>
        </w:tc>
      </w:tr>
    </w:tbl>
    <w:p w14:paraId="37ACFEA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2B1E46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NAN Shaodeng has been the director of Parent and Merger Sub since their establishments in 2025 and has also served as Chairman, Legal Representative, and General Manager of Oceanpine Pilot (Beijing) Private Fund Management Co., Ltd. </w:t>
      </w:r>
      <w:r>
        <w:rPr>
          <w:sz w:val="20"/>
          <w:szCs w:val="20"/>
        </w:rPr>
        <w:t>since May 2021. From July 2020 to May 2021, NAN Shaodeng served as the Chief Financial Officer of Oceanpine Pilot (Beijing) Private Fund Management Co., Ltd. Oceanpine Pilot (Beijing) Private Fund Management Co., Ltd. is principally engaged in private equi</w:t>
      </w:r>
      <w:r>
        <w:rPr>
          <w:sz w:val="20"/>
          <w:szCs w:val="20"/>
        </w:rPr>
        <w:t>ty fund management and venture capital fund management services, and its business address is c/o Room 1803 18F, China Century Tower, No. 9 Xiaoyunli South St, Beijing, China.</w:t>
      </w:r>
    </w:p>
    <w:p w14:paraId="7D94CCF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087EF62"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During the last five years, neither of the Merger Sub, or, to the knowledge of </w:t>
      </w:r>
      <w:r>
        <w:rPr>
          <w:sz w:val="20"/>
          <w:szCs w:val="20"/>
        </w:rPr>
        <w:t>the Merger Sub, any of the other person listed above has been (a) convicted in a criminal proceeding (excluding traffic violations and similar misdemeanors) or (b) a party to any judicial or administrative proceeding (except for matters that were dismissed</w:t>
      </w:r>
      <w:r>
        <w:rPr>
          <w:sz w:val="20"/>
          <w:szCs w:val="20"/>
        </w:rPr>
        <w:t xml:space="preserve"> without sanction or settlement) that resulted in a judgment or decree or final order enjoining the person from future violations of, or prohibiting activities subject to, federal or state securities laws, or a finding of any violation of federal or state </w:t>
      </w:r>
      <w:r>
        <w:rPr>
          <w:sz w:val="20"/>
          <w:szCs w:val="20"/>
        </w:rPr>
        <w:t>securities laws.</w:t>
      </w:r>
    </w:p>
    <w:p w14:paraId="09F7504E" w14:textId="77777777" w:rsidR="00000000" w:rsidRDefault="002F725F">
      <w:pPr>
        <w:pStyle w:val="NormalWeb"/>
        <w:spacing w:before="0" w:beforeAutospacing="0" w:after="0" w:afterAutospacing="0"/>
        <w:ind w:firstLine="720"/>
        <w:divId w:val="415980837"/>
        <w:rPr>
          <w:sz w:val="20"/>
          <w:szCs w:val="20"/>
        </w:rPr>
      </w:pPr>
      <w:r>
        <w:rPr>
          <w:sz w:val="20"/>
          <w:szCs w:val="20"/>
        </w:rPr>
        <w:t> </w:t>
      </w:r>
    </w:p>
    <w:p w14:paraId="6FD081AC" w14:textId="77777777" w:rsidR="00000000" w:rsidRDefault="002F725F">
      <w:pPr>
        <w:pStyle w:val="NormalWeb"/>
        <w:spacing w:before="0" w:beforeAutospacing="0" w:after="0" w:afterAutospacing="0"/>
        <w:jc w:val="center"/>
        <w:divId w:val="1046032391"/>
        <w:rPr>
          <w:sz w:val="20"/>
          <w:szCs w:val="20"/>
        </w:rPr>
      </w:pPr>
      <w:r>
        <w:rPr>
          <w:sz w:val="20"/>
          <w:szCs w:val="20"/>
        </w:rPr>
        <w:t>E</w:t>
      </w:r>
      <w:r>
        <w:rPr>
          <w:sz w:val="20"/>
          <w:szCs w:val="20"/>
        </w:rPr>
        <w:t>-</w:t>
      </w:r>
      <w:r>
        <w:rPr>
          <w:sz w:val="20"/>
          <w:szCs w:val="20"/>
        </w:rPr>
        <w:t>3</w:t>
      </w:r>
    </w:p>
    <w:p w14:paraId="2D0B8C4F" w14:textId="77777777" w:rsidR="00000000" w:rsidRDefault="002F725F">
      <w:pPr>
        <w:pStyle w:val="NormalWeb"/>
        <w:spacing w:before="0" w:beforeAutospacing="0" w:after="0" w:afterAutospacing="0"/>
        <w:ind w:firstLine="72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8640"/>
      </w:tblGrid>
      <w:tr w:rsidR="00000000" w14:paraId="629D98AA" w14:textId="77777777">
        <w:trPr>
          <w:divId w:val="415980837"/>
          <w:tblCellSpacing w:w="0" w:type="dxa"/>
        </w:trPr>
        <w:tc>
          <w:tcPr>
            <w:tcW w:w="720" w:type="dxa"/>
            <w:hideMark/>
          </w:tcPr>
          <w:p w14:paraId="2F129109" w14:textId="77777777" w:rsidR="00000000" w:rsidRDefault="002F725F">
            <w:pPr>
              <w:rPr>
                <w:rFonts w:eastAsia="Times New Roman"/>
                <w:sz w:val="20"/>
                <w:szCs w:val="20"/>
              </w:rPr>
            </w:pPr>
            <w:r>
              <w:rPr>
                <w:rFonts w:eastAsia="Times New Roman"/>
                <w:b/>
                <w:bCs/>
                <w:sz w:val="20"/>
                <w:szCs w:val="20"/>
              </w:rPr>
              <w:t>4.</w:t>
            </w:r>
          </w:p>
        </w:tc>
        <w:tc>
          <w:tcPr>
            <w:tcW w:w="0" w:type="auto"/>
            <w:hideMark/>
          </w:tcPr>
          <w:p w14:paraId="7652D40B" w14:textId="77777777" w:rsidR="00000000" w:rsidRDefault="002F725F">
            <w:pPr>
              <w:jc w:val="both"/>
              <w:rPr>
                <w:rFonts w:eastAsia="Times New Roman"/>
                <w:sz w:val="20"/>
                <w:szCs w:val="20"/>
              </w:rPr>
            </w:pPr>
            <w:r>
              <w:rPr>
                <w:rFonts w:eastAsia="Times New Roman"/>
                <w:b/>
                <w:bCs/>
                <w:sz w:val="20"/>
                <w:szCs w:val="20"/>
              </w:rPr>
              <w:t>Directors and Executive Officers of Oceanpine Capital Inc.</w:t>
            </w:r>
          </w:p>
        </w:tc>
      </w:tr>
    </w:tbl>
    <w:p w14:paraId="52F69689" w14:textId="77777777" w:rsidR="00000000" w:rsidRDefault="002F725F">
      <w:pPr>
        <w:pStyle w:val="NormalWeb"/>
        <w:spacing w:before="0" w:beforeAutospacing="0" w:after="0" w:afterAutospacing="0"/>
        <w:jc w:val="both"/>
        <w:divId w:val="415980837"/>
        <w:rPr>
          <w:sz w:val="20"/>
          <w:szCs w:val="20"/>
        </w:rPr>
      </w:pPr>
      <w:r>
        <w:rPr>
          <w:sz w:val="20"/>
          <w:szCs w:val="20"/>
        </w:rPr>
        <w:t> </w:t>
      </w:r>
    </w:p>
    <w:p w14:paraId="58F9EB5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following table sets forth the information </w:t>
      </w:r>
      <w:r>
        <w:rPr>
          <w:sz w:val="20"/>
          <w:szCs w:val="20"/>
        </w:rPr>
        <w:t>regarding the directors of Oceanpine Capital Inc. as of the date of this proxy statement. The business address of each of the following individuals is c/o Suite 2207-9, 22/F, Tower Two, Lippo Centre, 89 Queensway, Admiralty, Hong Kong. As of the date of th</w:t>
      </w:r>
      <w:r>
        <w:rPr>
          <w:sz w:val="20"/>
          <w:szCs w:val="20"/>
        </w:rPr>
        <w:t>is proxy statement, Oceanpine Capital Inc. does not have any executive officer.</w:t>
      </w:r>
    </w:p>
    <w:p w14:paraId="06C7810B" w14:textId="77777777" w:rsidR="00000000" w:rsidRDefault="002F725F">
      <w:pPr>
        <w:pStyle w:val="NormalWeb"/>
        <w:spacing w:before="0" w:beforeAutospacing="0" w:after="0" w:afterAutospacing="0"/>
        <w:ind w:firstLine="72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2434"/>
        <w:gridCol w:w="187"/>
        <w:gridCol w:w="4399"/>
        <w:gridCol w:w="94"/>
        <w:gridCol w:w="2246"/>
      </w:tblGrid>
      <w:tr w:rsidR="00000000" w14:paraId="150DB622" w14:textId="77777777">
        <w:trPr>
          <w:divId w:val="415980837"/>
        </w:trPr>
        <w:tc>
          <w:tcPr>
            <w:tcW w:w="1300" w:type="pct"/>
            <w:tcBorders>
              <w:bottom w:val="single" w:sz="12" w:space="0" w:color="000000"/>
            </w:tcBorders>
            <w:vAlign w:val="bottom"/>
            <w:hideMark/>
          </w:tcPr>
          <w:p w14:paraId="2EAE3B32" w14:textId="77777777" w:rsidR="00000000" w:rsidRDefault="002F725F">
            <w:pPr>
              <w:rPr>
                <w:rFonts w:eastAsia="Times New Roman"/>
                <w:sz w:val="20"/>
                <w:szCs w:val="20"/>
              </w:rPr>
            </w:pPr>
            <w:r>
              <w:rPr>
                <w:rFonts w:eastAsia="Times New Roman"/>
                <w:b/>
                <w:bCs/>
                <w:sz w:val="20"/>
                <w:szCs w:val="20"/>
              </w:rPr>
              <w:t>Name</w:t>
            </w:r>
          </w:p>
        </w:tc>
        <w:tc>
          <w:tcPr>
            <w:tcW w:w="100" w:type="pct"/>
            <w:tcMar>
              <w:top w:w="0" w:type="dxa"/>
              <w:left w:w="0" w:type="dxa"/>
              <w:bottom w:w="30" w:type="dxa"/>
              <w:right w:w="0" w:type="dxa"/>
            </w:tcMar>
            <w:vAlign w:val="bottom"/>
            <w:hideMark/>
          </w:tcPr>
          <w:p w14:paraId="6D21A97B" w14:textId="77777777" w:rsidR="00000000" w:rsidRDefault="002F725F">
            <w:pPr>
              <w:rPr>
                <w:rFonts w:eastAsia="Times New Roman"/>
                <w:sz w:val="20"/>
                <w:szCs w:val="20"/>
              </w:rPr>
            </w:pPr>
            <w:r>
              <w:rPr>
                <w:rFonts w:eastAsia="Times New Roman"/>
                <w:sz w:val="20"/>
                <w:szCs w:val="20"/>
              </w:rPr>
              <w:t> </w:t>
            </w:r>
          </w:p>
        </w:tc>
        <w:tc>
          <w:tcPr>
            <w:tcW w:w="2350" w:type="pct"/>
            <w:tcBorders>
              <w:bottom w:val="single" w:sz="12" w:space="0" w:color="000000"/>
            </w:tcBorders>
            <w:vAlign w:val="bottom"/>
            <w:hideMark/>
          </w:tcPr>
          <w:p w14:paraId="3F6FB5FD" w14:textId="77777777" w:rsidR="00000000" w:rsidRDefault="002F725F">
            <w:pPr>
              <w:jc w:val="center"/>
              <w:rPr>
                <w:rFonts w:eastAsia="Times New Roman"/>
                <w:sz w:val="20"/>
                <w:szCs w:val="20"/>
              </w:rPr>
            </w:pPr>
            <w:r>
              <w:rPr>
                <w:rFonts w:eastAsia="Times New Roman"/>
                <w:b/>
                <w:bCs/>
                <w:sz w:val="20"/>
                <w:szCs w:val="20"/>
              </w:rPr>
              <w:t>Present Principal Occupation or Employment</w:t>
            </w:r>
          </w:p>
        </w:tc>
        <w:tc>
          <w:tcPr>
            <w:tcW w:w="50" w:type="pct"/>
            <w:tcMar>
              <w:top w:w="0" w:type="dxa"/>
              <w:left w:w="0" w:type="dxa"/>
              <w:bottom w:w="30" w:type="dxa"/>
              <w:right w:w="0" w:type="dxa"/>
            </w:tcMar>
            <w:vAlign w:val="bottom"/>
            <w:hideMark/>
          </w:tcPr>
          <w:p w14:paraId="3BA590BD" w14:textId="77777777" w:rsidR="00000000" w:rsidRDefault="002F725F">
            <w:pPr>
              <w:rPr>
                <w:rFonts w:eastAsia="Times New Roman"/>
                <w:sz w:val="20"/>
                <w:szCs w:val="20"/>
              </w:rPr>
            </w:pPr>
            <w:r>
              <w:rPr>
                <w:rFonts w:eastAsia="Times New Roman"/>
                <w:sz w:val="20"/>
                <w:szCs w:val="20"/>
              </w:rPr>
              <w:t> </w:t>
            </w:r>
          </w:p>
        </w:tc>
        <w:tc>
          <w:tcPr>
            <w:tcW w:w="1200" w:type="pct"/>
            <w:tcBorders>
              <w:bottom w:val="single" w:sz="12" w:space="0" w:color="000000"/>
            </w:tcBorders>
            <w:vAlign w:val="bottom"/>
            <w:hideMark/>
          </w:tcPr>
          <w:p w14:paraId="59AE76BA" w14:textId="77777777" w:rsidR="00000000" w:rsidRDefault="002F725F">
            <w:pPr>
              <w:jc w:val="center"/>
              <w:rPr>
                <w:rFonts w:eastAsia="Times New Roman"/>
                <w:sz w:val="20"/>
                <w:szCs w:val="20"/>
              </w:rPr>
            </w:pPr>
            <w:r>
              <w:rPr>
                <w:rFonts w:eastAsia="Times New Roman"/>
                <w:b/>
                <w:bCs/>
                <w:sz w:val="20"/>
                <w:szCs w:val="20"/>
              </w:rPr>
              <w:t>Citizenship</w:t>
            </w:r>
          </w:p>
        </w:tc>
      </w:tr>
      <w:tr w:rsidR="00000000" w14:paraId="39F4E0D4" w14:textId="77777777">
        <w:trPr>
          <w:divId w:val="415980837"/>
        </w:trPr>
        <w:tc>
          <w:tcPr>
            <w:tcW w:w="0" w:type="auto"/>
            <w:shd w:val="clear" w:color="auto" w:fill="CCEEFF"/>
            <w:hideMark/>
          </w:tcPr>
          <w:p w14:paraId="4A10F3CB" w14:textId="77777777" w:rsidR="00000000" w:rsidRDefault="002F725F">
            <w:pPr>
              <w:rPr>
                <w:rFonts w:eastAsia="Times New Roman"/>
                <w:sz w:val="20"/>
                <w:szCs w:val="20"/>
              </w:rPr>
            </w:pPr>
            <w:r>
              <w:rPr>
                <w:rFonts w:eastAsia="Times New Roman"/>
                <w:sz w:val="20"/>
                <w:szCs w:val="20"/>
              </w:rPr>
              <w:t>Jiayu Yang</w:t>
            </w:r>
          </w:p>
        </w:tc>
        <w:tc>
          <w:tcPr>
            <w:tcW w:w="0" w:type="auto"/>
            <w:shd w:val="clear" w:color="auto" w:fill="CCEEFF"/>
            <w:hideMark/>
          </w:tcPr>
          <w:p w14:paraId="07658A7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5D7EABC9" w14:textId="77777777" w:rsidR="00000000" w:rsidRDefault="002F725F">
            <w:pPr>
              <w:rPr>
                <w:rFonts w:eastAsia="Times New Roman"/>
                <w:sz w:val="20"/>
                <w:szCs w:val="20"/>
              </w:rPr>
            </w:pPr>
            <w:r>
              <w:rPr>
                <w:rFonts w:eastAsia="Times New Roman"/>
                <w:sz w:val="20"/>
                <w:szCs w:val="20"/>
              </w:rPr>
              <w:t>Director</w:t>
            </w:r>
          </w:p>
        </w:tc>
        <w:tc>
          <w:tcPr>
            <w:tcW w:w="0" w:type="auto"/>
            <w:shd w:val="clear" w:color="auto" w:fill="CCEEFF"/>
            <w:hideMark/>
          </w:tcPr>
          <w:p w14:paraId="5F9117B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5C4764DA" w14:textId="77777777" w:rsidR="00000000" w:rsidRDefault="002F725F">
            <w:pPr>
              <w:rPr>
                <w:rFonts w:eastAsia="Times New Roman"/>
                <w:sz w:val="20"/>
                <w:szCs w:val="20"/>
              </w:rPr>
            </w:pPr>
            <w:r>
              <w:rPr>
                <w:rFonts w:eastAsia="Times New Roman"/>
                <w:sz w:val="20"/>
                <w:szCs w:val="20"/>
              </w:rPr>
              <w:t>People’s Republic of China</w:t>
            </w:r>
          </w:p>
        </w:tc>
      </w:tr>
      <w:tr w:rsidR="00000000" w14:paraId="6ABAA607" w14:textId="77777777">
        <w:trPr>
          <w:divId w:val="415980837"/>
        </w:trPr>
        <w:tc>
          <w:tcPr>
            <w:tcW w:w="0" w:type="auto"/>
            <w:shd w:val="clear" w:color="auto" w:fill="FFFFFF"/>
            <w:hideMark/>
          </w:tcPr>
          <w:p w14:paraId="0261F27F" w14:textId="77777777" w:rsidR="00000000" w:rsidRDefault="002F725F">
            <w:pPr>
              <w:rPr>
                <w:rFonts w:eastAsia="Times New Roman"/>
                <w:sz w:val="20"/>
                <w:szCs w:val="20"/>
              </w:rPr>
            </w:pPr>
            <w:r>
              <w:rPr>
                <w:rFonts w:eastAsia="Times New Roman"/>
                <w:sz w:val="20"/>
                <w:szCs w:val="20"/>
              </w:rPr>
              <w:t>Xuguang Xue</w:t>
            </w:r>
          </w:p>
        </w:tc>
        <w:tc>
          <w:tcPr>
            <w:tcW w:w="0" w:type="auto"/>
            <w:shd w:val="clear" w:color="auto" w:fill="FFFFFF"/>
            <w:hideMark/>
          </w:tcPr>
          <w:p w14:paraId="02A09E9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66F015DD" w14:textId="77777777" w:rsidR="00000000" w:rsidRDefault="002F725F">
            <w:pPr>
              <w:rPr>
                <w:rFonts w:eastAsia="Times New Roman"/>
                <w:sz w:val="20"/>
                <w:szCs w:val="20"/>
              </w:rPr>
            </w:pPr>
            <w:r>
              <w:rPr>
                <w:rFonts w:eastAsia="Times New Roman"/>
                <w:sz w:val="20"/>
                <w:szCs w:val="20"/>
              </w:rPr>
              <w:t>Director</w:t>
            </w:r>
          </w:p>
        </w:tc>
        <w:tc>
          <w:tcPr>
            <w:tcW w:w="0" w:type="auto"/>
            <w:shd w:val="clear" w:color="auto" w:fill="FFFFFF"/>
            <w:hideMark/>
          </w:tcPr>
          <w:p w14:paraId="2383B36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0E86F6E7" w14:textId="77777777" w:rsidR="00000000" w:rsidRDefault="002F725F">
            <w:pPr>
              <w:rPr>
                <w:rFonts w:eastAsia="Times New Roman"/>
                <w:sz w:val="20"/>
                <w:szCs w:val="20"/>
              </w:rPr>
            </w:pPr>
            <w:r>
              <w:rPr>
                <w:rFonts w:eastAsia="Times New Roman"/>
                <w:sz w:val="20"/>
                <w:szCs w:val="20"/>
              </w:rPr>
              <w:t>People’</w:t>
            </w:r>
            <w:r>
              <w:rPr>
                <w:rFonts w:eastAsia="Times New Roman"/>
                <w:sz w:val="20"/>
                <w:szCs w:val="20"/>
              </w:rPr>
              <w:t>s Republic of China</w:t>
            </w:r>
          </w:p>
        </w:tc>
      </w:tr>
    </w:tbl>
    <w:p w14:paraId="15803788" w14:textId="77777777" w:rsidR="00000000" w:rsidRDefault="002F725F">
      <w:pPr>
        <w:pStyle w:val="NormalWeb"/>
        <w:spacing w:before="0" w:beforeAutospacing="0" w:after="0" w:afterAutospacing="0"/>
        <w:divId w:val="415980837"/>
        <w:rPr>
          <w:sz w:val="20"/>
          <w:szCs w:val="20"/>
        </w:rPr>
      </w:pPr>
      <w:r>
        <w:rPr>
          <w:sz w:val="20"/>
          <w:szCs w:val="20"/>
        </w:rPr>
        <w:t> </w:t>
      </w:r>
    </w:p>
    <w:p w14:paraId="72DF1FD7" w14:textId="77777777" w:rsidR="00000000" w:rsidRDefault="002F725F">
      <w:pPr>
        <w:pStyle w:val="NormalWeb"/>
        <w:spacing w:before="0" w:beforeAutospacing="0" w:after="0" w:afterAutospacing="0"/>
        <w:ind w:firstLine="720"/>
        <w:jc w:val="both"/>
        <w:divId w:val="415980837"/>
        <w:rPr>
          <w:sz w:val="20"/>
          <w:szCs w:val="20"/>
        </w:rPr>
      </w:pPr>
      <w:r>
        <w:rPr>
          <w:sz w:val="20"/>
          <w:szCs w:val="20"/>
        </w:rPr>
        <w:t>Jiayu Yang is the director of Oceanpine Capital Inc. and the Deputy Chief Financial Officer of China Century Holdings Co., Ltd. and has been in the current positions for the past five years.</w:t>
      </w:r>
    </w:p>
    <w:p w14:paraId="74D56739"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9E5FA1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Xuguang Xue is the director of Oceanpine</w:t>
      </w:r>
      <w:r>
        <w:rPr>
          <w:sz w:val="20"/>
          <w:szCs w:val="20"/>
        </w:rPr>
        <w:t xml:space="preserve"> Capital Inc. and has been in the current position for the past five years. Xuguang Xue has also served as Chairman and General Manager of China Century Holdings Co., Ltd. since July 2023. From 2019 to July 2023, Xuguang Xue served as Deputy General Manage</w:t>
      </w:r>
      <w:r>
        <w:rPr>
          <w:sz w:val="20"/>
          <w:szCs w:val="20"/>
        </w:rPr>
        <w:t>r of China Century Holdings Co., Ltd.</w:t>
      </w:r>
    </w:p>
    <w:p w14:paraId="46B8B62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730AF9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China Century Holdings Co., Ltd. is principally engaged in investment activities with its own funds, and provides transportation equipment leasing services, other non-licensed leasing services, information technology</w:t>
      </w:r>
      <w:r>
        <w:rPr>
          <w:sz w:val="20"/>
          <w:szCs w:val="20"/>
        </w:rPr>
        <w:t xml:space="preserve"> consulting services, financial consulting, and business management consulting services, and its business address is c/o Room 1702, 17F, China Century Tower, No. 9 Xiaoyunli South St, Beijing, China.</w:t>
      </w:r>
    </w:p>
    <w:p w14:paraId="61CC066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B1E3DC9"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During the last five years, neither of Oceanpine Capit</w:t>
      </w:r>
      <w:r>
        <w:rPr>
          <w:sz w:val="20"/>
          <w:szCs w:val="20"/>
        </w:rPr>
        <w:t>al Inc., or, to the knowledge of Oceanpine Capital Inc., any of the other person listed above has been (a) convicted in a criminal proceeding (excluding traffic violations and similar misdemeanors) or (b) a party to any judicial or administrative proceedin</w:t>
      </w:r>
      <w:r>
        <w:rPr>
          <w:sz w:val="20"/>
          <w:szCs w:val="20"/>
        </w:rPr>
        <w:t>g (except for matters that were dismissed without sanction or settlement) that resulted in a judgment or decree or final order enjoining the person from future violations of, or prohibiting activities subject to, federal or state securities laws, or a find</w:t>
      </w:r>
      <w:r>
        <w:rPr>
          <w:sz w:val="20"/>
          <w:szCs w:val="20"/>
        </w:rPr>
        <w:t>ing of any violation of federal or state securities laws.</w:t>
      </w:r>
    </w:p>
    <w:p w14:paraId="023533D8"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8640"/>
      </w:tblGrid>
      <w:tr w:rsidR="00000000" w14:paraId="21D07675" w14:textId="77777777">
        <w:trPr>
          <w:divId w:val="415980837"/>
          <w:tblCellSpacing w:w="0" w:type="dxa"/>
        </w:trPr>
        <w:tc>
          <w:tcPr>
            <w:tcW w:w="720" w:type="dxa"/>
            <w:hideMark/>
          </w:tcPr>
          <w:p w14:paraId="4E12A7A1" w14:textId="77777777" w:rsidR="00000000" w:rsidRDefault="002F725F">
            <w:pPr>
              <w:rPr>
                <w:rFonts w:eastAsia="Times New Roman"/>
                <w:sz w:val="20"/>
                <w:szCs w:val="20"/>
              </w:rPr>
            </w:pPr>
            <w:r>
              <w:rPr>
                <w:rFonts w:eastAsia="Times New Roman"/>
                <w:b/>
                <w:bCs/>
                <w:sz w:val="20"/>
                <w:szCs w:val="20"/>
              </w:rPr>
              <w:t>5.</w:t>
            </w:r>
          </w:p>
        </w:tc>
        <w:tc>
          <w:tcPr>
            <w:tcW w:w="0" w:type="auto"/>
            <w:hideMark/>
          </w:tcPr>
          <w:p w14:paraId="3CB5B43E" w14:textId="77777777" w:rsidR="00000000" w:rsidRDefault="002F725F">
            <w:pPr>
              <w:jc w:val="both"/>
              <w:rPr>
                <w:rFonts w:eastAsia="Times New Roman"/>
                <w:sz w:val="20"/>
                <w:szCs w:val="20"/>
              </w:rPr>
            </w:pPr>
            <w:r>
              <w:rPr>
                <w:rFonts w:eastAsia="Times New Roman"/>
                <w:b/>
                <w:bCs/>
                <w:sz w:val="20"/>
                <w:szCs w:val="20"/>
              </w:rPr>
              <w:t>Directors and Executive Officers of Oceanpine Investment Fund II LP</w:t>
            </w:r>
          </w:p>
        </w:tc>
      </w:tr>
    </w:tbl>
    <w:p w14:paraId="555D285D" w14:textId="77777777" w:rsidR="00000000" w:rsidRDefault="002F725F">
      <w:pPr>
        <w:pStyle w:val="NormalWeb"/>
        <w:spacing w:before="0" w:beforeAutospacing="0" w:after="0" w:afterAutospacing="0"/>
        <w:divId w:val="415980837"/>
        <w:rPr>
          <w:sz w:val="20"/>
          <w:szCs w:val="20"/>
        </w:rPr>
      </w:pPr>
      <w:r>
        <w:rPr>
          <w:sz w:val="20"/>
          <w:szCs w:val="20"/>
        </w:rPr>
        <w:t> </w:t>
      </w:r>
    </w:p>
    <w:p w14:paraId="71E26B0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As of the date of this proxy statement, Oceanpine </w:t>
      </w:r>
      <w:r>
        <w:rPr>
          <w:sz w:val="20"/>
          <w:szCs w:val="20"/>
        </w:rPr>
        <w:t>Investment Fund II LP does not have any directors or executive officers.</w:t>
      </w:r>
    </w:p>
    <w:p w14:paraId="1630ACF5" w14:textId="77777777" w:rsidR="00000000" w:rsidRDefault="002F725F">
      <w:pPr>
        <w:pStyle w:val="NormalWeb"/>
        <w:spacing w:before="0" w:beforeAutospacing="0" w:after="0" w:afterAutospacing="0"/>
        <w:ind w:firstLine="72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8640"/>
      </w:tblGrid>
      <w:tr w:rsidR="00000000" w14:paraId="6233EE4D" w14:textId="77777777">
        <w:trPr>
          <w:divId w:val="415980837"/>
          <w:tblCellSpacing w:w="0" w:type="dxa"/>
        </w:trPr>
        <w:tc>
          <w:tcPr>
            <w:tcW w:w="720" w:type="dxa"/>
            <w:hideMark/>
          </w:tcPr>
          <w:p w14:paraId="6467FC82" w14:textId="77777777" w:rsidR="00000000" w:rsidRDefault="002F725F">
            <w:pPr>
              <w:rPr>
                <w:rFonts w:eastAsia="Times New Roman"/>
                <w:sz w:val="20"/>
                <w:szCs w:val="20"/>
              </w:rPr>
            </w:pPr>
            <w:r>
              <w:rPr>
                <w:rFonts w:eastAsia="Times New Roman"/>
                <w:b/>
                <w:bCs/>
                <w:sz w:val="20"/>
                <w:szCs w:val="20"/>
              </w:rPr>
              <w:t>6.</w:t>
            </w:r>
          </w:p>
        </w:tc>
        <w:tc>
          <w:tcPr>
            <w:tcW w:w="0" w:type="auto"/>
            <w:hideMark/>
          </w:tcPr>
          <w:p w14:paraId="044EE856" w14:textId="77777777" w:rsidR="00000000" w:rsidRDefault="002F725F">
            <w:pPr>
              <w:jc w:val="both"/>
              <w:rPr>
                <w:rFonts w:eastAsia="Times New Roman"/>
                <w:sz w:val="20"/>
                <w:szCs w:val="20"/>
              </w:rPr>
            </w:pPr>
            <w:r>
              <w:rPr>
                <w:rFonts w:eastAsia="Times New Roman"/>
                <w:b/>
                <w:bCs/>
                <w:sz w:val="20"/>
                <w:szCs w:val="20"/>
              </w:rPr>
              <w:t>Directors and Executive Officers of Oceanpine Growth (Cayman) Limited</w:t>
            </w:r>
          </w:p>
        </w:tc>
      </w:tr>
    </w:tbl>
    <w:p w14:paraId="7D49EF9D" w14:textId="77777777" w:rsidR="00000000" w:rsidRDefault="002F725F">
      <w:pPr>
        <w:pStyle w:val="NormalWeb"/>
        <w:spacing w:before="0" w:beforeAutospacing="0" w:after="0" w:afterAutospacing="0"/>
        <w:divId w:val="415980837"/>
        <w:rPr>
          <w:sz w:val="20"/>
          <w:szCs w:val="20"/>
        </w:rPr>
      </w:pPr>
      <w:r>
        <w:rPr>
          <w:sz w:val="20"/>
          <w:szCs w:val="20"/>
        </w:rPr>
        <w:t> </w:t>
      </w:r>
    </w:p>
    <w:p w14:paraId="187A4C9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The following table sets forth the information regarding the directors of Oceanpine Growth (Cayman) Limit</w:t>
      </w:r>
      <w:r>
        <w:rPr>
          <w:sz w:val="20"/>
          <w:szCs w:val="20"/>
        </w:rPr>
        <w:t>ed as of the date of this proxy statement. The business address of each of the following individuals is c/o Suite 2207-9, 22/F, Tower Two, Lippo Centre, 89 Queensway, Admiralty, Hong Kong. As of the date of this proxy statement, Oceanpine Growth (Cayman) L</w:t>
      </w:r>
      <w:r>
        <w:rPr>
          <w:sz w:val="20"/>
          <w:szCs w:val="20"/>
        </w:rPr>
        <w:t>imited does not have any executive officer.</w:t>
      </w:r>
    </w:p>
    <w:p w14:paraId="26D97F72" w14:textId="77777777" w:rsidR="00000000" w:rsidRDefault="002F725F">
      <w:pPr>
        <w:pStyle w:val="NormalWeb"/>
        <w:spacing w:before="0" w:beforeAutospacing="0" w:after="0" w:afterAutospacing="0"/>
        <w:ind w:firstLine="72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2434"/>
        <w:gridCol w:w="187"/>
        <w:gridCol w:w="4399"/>
        <w:gridCol w:w="94"/>
        <w:gridCol w:w="2246"/>
      </w:tblGrid>
      <w:tr w:rsidR="00000000" w14:paraId="075780D6" w14:textId="77777777">
        <w:trPr>
          <w:divId w:val="415980837"/>
        </w:trPr>
        <w:tc>
          <w:tcPr>
            <w:tcW w:w="1300" w:type="pct"/>
            <w:tcBorders>
              <w:bottom w:val="single" w:sz="12" w:space="0" w:color="000000"/>
            </w:tcBorders>
            <w:vAlign w:val="bottom"/>
            <w:hideMark/>
          </w:tcPr>
          <w:p w14:paraId="00FB078B" w14:textId="77777777" w:rsidR="00000000" w:rsidRDefault="002F725F">
            <w:pPr>
              <w:rPr>
                <w:rFonts w:eastAsia="Times New Roman"/>
                <w:sz w:val="20"/>
                <w:szCs w:val="20"/>
              </w:rPr>
            </w:pPr>
            <w:r>
              <w:rPr>
                <w:rFonts w:eastAsia="Times New Roman"/>
                <w:b/>
                <w:bCs/>
                <w:sz w:val="20"/>
                <w:szCs w:val="20"/>
              </w:rPr>
              <w:t>Name</w:t>
            </w:r>
          </w:p>
        </w:tc>
        <w:tc>
          <w:tcPr>
            <w:tcW w:w="100" w:type="pct"/>
            <w:tcMar>
              <w:top w:w="0" w:type="dxa"/>
              <w:left w:w="0" w:type="dxa"/>
              <w:bottom w:w="30" w:type="dxa"/>
              <w:right w:w="0" w:type="dxa"/>
            </w:tcMar>
            <w:vAlign w:val="bottom"/>
            <w:hideMark/>
          </w:tcPr>
          <w:p w14:paraId="395D0BC8" w14:textId="77777777" w:rsidR="00000000" w:rsidRDefault="002F725F">
            <w:pPr>
              <w:rPr>
                <w:rFonts w:eastAsia="Times New Roman"/>
                <w:sz w:val="20"/>
                <w:szCs w:val="20"/>
              </w:rPr>
            </w:pPr>
            <w:r>
              <w:rPr>
                <w:rFonts w:eastAsia="Times New Roman"/>
                <w:sz w:val="20"/>
                <w:szCs w:val="20"/>
              </w:rPr>
              <w:t> </w:t>
            </w:r>
          </w:p>
        </w:tc>
        <w:tc>
          <w:tcPr>
            <w:tcW w:w="2350" w:type="pct"/>
            <w:tcBorders>
              <w:bottom w:val="single" w:sz="12" w:space="0" w:color="000000"/>
            </w:tcBorders>
            <w:vAlign w:val="bottom"/>
            <w:hideMark/>
          </w:tcPr>
          <w:p w14:paraId="4199B88C" w14:textId="77777777" w:rsidR="00000000" w:rsidRDefault="002F725F">
            <w:pPr>
              <w:jc w:val="center"/>
              <w:rPr>
                <w:rFonts w:eastAsia="Times New Roman"/>
                <w:sz w:val="20"/>
                <w:szCs w:val="20"/>
              </w:rPr>
            </w:pPr>
            <w:r>
              <w:rPr>
                <w:rFonts w:eastAsia="Times New Roman"/>
                <w:b/>
                <w:bCs/>
                <w:sz w:val="20"/>
                <w:szCs w:val="20"/>
              </w:rPr>
              <w:t>Present Principal Occupation or Employment</w:t>
            </w:r>
          </w:p>
        </w:tc>
        <w:tc>
          <w:tcPr>
            <w:tcW w:w="50" w:type="pct"/>
            <w:tcMar>
              <w:top w:w="0" w:type="dxa"/>
              <w:left w:w="0" w:type="dxa"/>
              <w:bottom w:w="30" w:type="dxa"/>
              <w:right w:w="0" w:type="dxa"/>
            </w:tcMar>
            <w:vAlign w:val="bottom"/>
            <w:hideMark/>
          </w:tcPr>
          <w:p w14:paraId="41499D57" w14:textId="77777777" w:rsidR="00000000" w:rsidRDefault="002F725F">
            <w:pPr>
              <w:rPr>
                <w:rFonts w:eastAsia="Times New Roman"/>
                <w:sz w:val="20"/>
                <w:szCs w:val="20"/>
              </w:rPr>
            </w:pPr>
            <w:r>
              <w:rPr>
                <w:rFonts w:eastAsia="Times New Roman"/>
                <w:sz w:val="20"/>
                <w:szCs w:val="20"/>
              </w:rPr>
              <w:t> </w:t>
            </w:r>
          </w:p>
        </w:tc>
        <w:tc>
          <w:tcPr>
            <w:tcW w:w="1200" w:type="pct"/>
            <w:tcBorders>
              <w:bottom w:val="single" w:sz="12" w:space="0" w:color="000000"/>
            </w:tcBorders>
            <w:vAlign w:val="bottom"/>
            <w:hideMark/>
          </w:tcPr>
          <w:p w14:paraId="4025DB36" w14:textId="77777777" w:rsidR="00000000" w:rsidRDefault="002F725F">
            <w:pPr>
              <w:jc w:val="center"/>
              <w:rPr>
                <w:rFonts w:eastAsia="Times New Roman"/>
                <w:sz w:val="20"/>
                <w:szCs w:val="20"/>
              </w:rPr>
            </w:pPr>
            <w:r>
              <w:rPr>
                <w:rFonts w:eastAsia="Times New Roman"/>
                <w:b/>
                <w:bCs/>
                <w:sz w:val="20"/>
                <w:szCs w:val="20"/>
              </w:rPr>
              <w:t>Citizenship</w:t>
            </w:r>
          </w:p>
        </w:tc>
      </w:tr>
      <w:tr w:rsidR="00000000" w14:paraId="4A34CE56" w14:textId="77777777">
        <w:trPr>
          <w:divId w:val="415980837"/>
        </w:trPr>
        <w:tc>
          <w:tcPr>
            <w:tcW w:w="0" w:type="auto"/>
            <w:shd w:val="clear" w:color="auto" w:fill="CCEEFF"/>
            <w:hideMark/>
          </w:tcPr>
          <w:p w14:paraId="42F63987" w14:textId="77777777" w:rsidR="00000000" w:rsidRDefault="002F725F">
            <w:pPr>
              <w:rPr>
                <w:rFonts w:eastAsia="Times New Roman"/>
                <w:sz w:val="20"/>
                <w:szCs w:val="20"/>
              </w:rPr>
            </w:pPr>
            <w:r>
              <w:rPr>
                <w:rFonts w:eastAsia="Times New Roman"/>
                <w:sz w:val="20"/>
                <w:szCs w:val="20"/>
              </w:rPr>
              <w:t>Dave Liguang Chenn</w:t>
            </w:r>
          </w:p>
        </w:tc>
        <w:tc>
          <w:tcPr>
            <w:tcW w:w="0" w:type="auto"/>
            <w:shd w:val="clear" w:color="auto" w:fill="CCEEFF"/>
            <w:hideMark/>
          </w:tcPr>
          <w:p w14:paraId="7B09DB3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442AB6E6" w14:textId="77777777" w:rsidR="00000000" w:rsidRDefault="002F725F">
            <w:pPr>
              <w:rPr>
                <w:rFonts w:eastAsia="Times New Roman"/>
                <w:sz w:val="20"/>
                <w:szCs w:val="20"/>
              </w:rPr>
            </w:pPr>
            <w:r>
              <w:rPr>
                <w:rFonts w:eastAsia="Times New Roman"/>
                <w:sz w:val="20"/>
                <w:szCs w:val="20"/>
              </w:rPr>
              <w:t>Director</w:t>
            </w:r>
          </w:p>
        </w:tc>
        <w:tc>
          <w:tcPr>
            <w:tcW w:w="0" w:type="auto"/>
            <w:shd w:val="clear" w:color="auto" w:fill="CCEEFF"/>
            <w:hideMark/>
          </w:tcPr>
          <w:p w14:paraId="35B7762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5A3BFBB9" w14:textId="77777777" w:rsidR="00000000" w:rsidRDefault="002F725F">
            <w:pPr>
              <w:rPr>
                <w:rFonts w:eastAsia="Times New Roman"/>
                <w:sz w:val="20"/>
                <w:szCs w:val="20"/>
              </w:rPr>
            </w:pPr>
            <w:r>
              <w:rPr>
                <w:rFonts w:eastAsia="Times New Roman"/>
                <w:sz w:val="20"/>
                <w:szCs w:val="20"/>
              </w:rPr>
              <w:t>United States</w:t>
            </w:r>
          </w:p>
        </w:tc>
      </w:tr>
      <w:tr w:rsidR="00000000" w14:paraId="022AD4C1" w14:textId="77777777">
        <w:trPr>
          <w:divId w:val="415980837"/>
        </w:trPr>
        <w:tc>
          <w:tcPr>
            <w:tcW w:w="0" w:type="auto"/>
            <w:shd w:val="clear" w:color="auto" w:fill="FFFFFF"/>
            <w:hideMark/>
          </w:tcPr>
          <w:p w14:paraId="66DC82D2" w14:textId="77777777" w:rsidR="00000000" w:rsidRDefault="002F725F">
            <w:pPr>
              <w:rPr>
                <w:rFonts w:eastAsia="Times New Roman"/>
                <w:sz w:val="20"/>
                <w:szCs w:val="20"/>
              </w:rPr>
            </w:pPr>
            <w:r>
              <w:rPr>
                <w:rFonts w:eastAsia="Times New Roman"/>
                <w:sz w:val="20"/>
                <w:szCs w:val="20"/>
              </w:rPr>
              <w:t xml:space="preserve">Dongjun Ma </w:t>
            </w:r>
          </w:p>
        </w:tc>
        <w:tc>
          <w:tcPr>
            <w:tcW w:w="0" w:type="auto"/>
            <w:shd w:val="clear" w:color="auto" w:fill="FFFFFF"/>
            <w:hideMark/>
          </w:tcPr>
          <w:p w14:paraId="34939A5E"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1D95C717" w14:textId="77777777" w:rsidR="00000000" w:rsidRDefault="002F725F">
            <w:pPr>
              <w:rPr>
                <w:rFonts w:eastAsia="Times New Roman"/>
                <w:sz w:val="20"/>
                <w:szCs w:val="20"/>
              </w:rPr>
            </w:pPr>
            <w:r>
              <w:rPr>
                <w:rFonts w:eastAsia="Times New Roman"/>
                <w:sz w:val="20"/>
                <w:szCs w:val="20"/>
              </w:rPr>
              <w:t xml:space="preserve">Director </w:t>
            </w:r>
          </w:p>
        </w:tc>
        <w:tc>
          <w:tcPr>
            <w:tcW w:w="0" w:type="auto"/>
            <w:shd w:val="clear" w:color="auto" w:fill="FFFFFF"/>
            <w:hideMark/>
          </w:tcPr>
          <w:p w14:paraId="16038703"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hideMark/>
          </w:tcPr>
          <w:p w14:paraId="205F46C6" w14:textId="77777777" w:rsidR="00000000" w:rsidRDefault="002F725F">
            <w:pPr>
              <w:rPr>
                <w:rFonts w:eastAsia="Times New Roman"/>
                <w:sz w:val="20"/>
                <w:szCs w:val="20"/>
              </w:rPr>
            </w:pPr>
            <w:r>
              <w:rPr>
                <w:rFonts w:eastAsia="Times New Roman"/>
                <w:sz w:val="20"/>
                <w:szCs w:val="20"/>
              </w:rPr>
              <w:t>Hong Kong  </w:t>
            </w:r>
          </w:p>
        </w:tc>
      </w:tr>
      <w:tr w:rsidR="00000000" w14:paraId="526354C9" w14:textId="77777777">
        <w:trPr>
          <w:divId w:val="415980837"/>
        </w:trPr>
        <w:tc>
          <w:tcPr>
            <w:tcW w:w="0" w:type="auto"/>
            <w:shd w:val="clear" w:color="auto" w:fill="CCEEFF"/>
            <w:hideMark/>
          </w:tcPr>
          <w:p w14:paraId="403093C8" w14:textId="77777777" w:rsidR="00000000" w:rsidRDefault="002F725F">
            <w:pPr>
              <w:rPr>
                <w:rFonts w:eastAsia="Times New Roman"/>
                <w:sz w:val="20"/>
                <w:szCs w:val="20"/>
              </w:rPr>
            </w:pPr>
            <w:r>
              <w:rPr>
                <w:rFonts w:eastAsia="Times New Roman"/>
                <w:sz w:val="20"/>
                <w:szCs w:val="20"/>
              </w:rPr>
              <w:t xml:space="preserve">Yun Liu </w:t>
            </w:r>
          </w:p>
        </w:tc>
        <w:tc>
          <w:tcPr>
            <w:tcW w:w="0" w:type="auto"/>
            <w:shd w:val="clear" w:color="auto" w:fill="CCEEFF"/>
            <w:hideMark/>
          </w:tcPr>
          <w:p w14:paraId="22A224D2"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416B4981" w14:textId="77777777" w:rsidR="00000000" w:rsidRDefault="002F725F">
            <w:pPr>
              <w:rPr>
                <w:rFonts w:eastAsia="Times New Roman"/>
                <w:sz w:val="20"/>
                <w:szCs w:val="20"/>
              </w:rPr>
            </w:pPr>
            <w:r>
              <w:rPr>
                <w:rFonts w:eastAsia="Times New Roman"/>
                <w:sz w:val="20"/>
                <w:szCs w:val="20"/>
              </w:rPr>
              <w:t>Director  </w:t>
            </w:r>
          </w:p>
        </w:tc>
        <w:tc>
          <w:tcPr>
            <w:tcW w:w="0" w:type="auto"/>
            <w:shd w:val="clear" w:color="auto" w:fill="CCEEFF"/>
            <w:hideMark/>
          </w:tcPr>
          <w:p w14:paraId="4BEFC310"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hideMark/>
          </w:tcPr>
          <w:p w14:paraId="481B178D" w14:textId="77777777" w:rsidR="00000000" w:rsidRDefault="002F725F">
            <w:pPr>
              <w:rPr>
                <w:rFonts w:eastAsia="Times New Roman"/>
                <w:sz w:val="20"/>
                <w:szCs w:val="20"/>
              </w:rPr>
            </w:pPr>
            <w:r>
              <w:rPr>
                <w:rFonts w:eastAsia="Times New Roman"/>
                <w:sz w:val="20"/>
                <w:szCs w:val="20"/>
              </w:rPr>
              <w:t>Hong Kong  </w:t>
            </w:r>
          </w:p>
        </w:tc>
      </w:tr>
    </w:tbl>
    <w:p w14:paraId="47B897A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0F9FE74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Dave Liguang Chenn is the director of Oceanpine Growth (Cayman) Limited and has been in the current position for the past five years.</w:t>
      </w:r>
    </w:p>
    <w:p w14:paraId="0479167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45FB47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Dongjun Ma is the director of Oceanpine Growth (Cayman) Limited and has been in the current position for the past five y</w:t>
      </w:r>
      <w:r>
        <w:rPr>
          <w:sz w:val="20"/>
          <w:szCs w:val="20"/>
        </w:rPr>
        <w:t>ears.</w:t>
      </w:r>
    </w:p>
    <w:p w14:paraId="569BF06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762AD2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Yun Liu is the director of Oceanpine Growth (Cayman) Limited and has been in the current position for the past five years.</w:t>
      </w:r>
    </w:p>
    <w:p w14:paraId="5F9AB106"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C8621EC"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During the last five years, neither of the Oceanpine Growth (Cayman) Limited, or, to the knowledge of the Oceanpine Growth </w:t>
      </w:r>
      <w:r>
        <w:rPr>
          <w:sz w:val="20"/>
          <w:szCs w:val="20"/>
        </w:rPr>
        <w:t>(Cayman) Limited, any of the other person listed above has been (a) convicted in a criminal proceeding (excluding traffic violations and similar misdemeanors) or (b) a party to any judicial or administrative proceeding (except for matters that were dismiss</w:t>
      </w:r>
      <w:r>
        <w:rPr>
          <w:sz w:val="20"/>
          <w:szCs w:val="20"/>
        </w:rPr>
        <w:t>ed without sanction or settlement) that resulted in a judgment or decree or final order enjoining the person from future violations of, or prohibiting activities subject to, federal or state securities laws, or a finding of any violation of federal or stat</w:t>
      </w:r>
      <w:r>
        <w:rPr>
          <w:sz w:val="20"/>
          <w:szCs w:val="20"/>
        </w:rPr>
        <w:t>e securities laws.</w:t>
      </w:r>
    </w:p>
    <w:p w14:paraId="50D04668"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6129DE4B" w14:textId="77777777" w:rsidR="00000000" w:rsidRDefault="002F725F">
      <w:pPr>
        <w:pStyle w:val="NormalWeb"/>
        <w:spacing w:before="0" w:beforeAutospacing="0" w:after="0" w:afterAutospacing="0"/>
        <w:jc w:val="center"/>
        <w:divId w:val="994574721"/>
        <w:rPr>
          <w:sz w:val="20"/>
          <w:szCs w:val="20"/>
        </w:rPr>
      </w:pPr>
      <w:r>
        <w:rPr>
          <w:sz w:val="20"/>
          <w:szCs w:val="20"/>
        </w:rPr>
        <w:t>E</w:t>
      </w:r>
      <w:r>
        <w:rPr>
          <w:sz w:val="20"/>
          <w:szCs w:val="20"/>
        </w:rPr>
        <w:t>-</w:t>
      </w:r>
      <w:r>
        <w:rPr>
          <w:sz w:val="20"/>
          <w:szCs w:val="20"/>
        </w:rPr>
        <w:t>4</w:t>
      </w:r>
    </w:p>
    <w:p w14:paraId="1E41CD46"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8640"/>
      </w:tblGrid>
      <w:tr w:rsidR="00000000" w14:paraId="72B4C8D3" w14:textId="77777777">
        <w:trPr>
          <w:divId w:val="415980837"/>
          <w:tblCellSpacing w:w="0" w:type="dxa"/>
        </w:trPr>
        <w:tc>
          <w:tcPr>
            <w:tcW w:w="720" w:type="dxa"/>
            <w:hideMark/>
          </w:tcPr>
          <w:p w14:paraId="5D6CAABA" w14:textId="77777777" w:rsidR="00000000" w:rsidRDefault="002F725F">
            <w:pPr>
              <w:rPr>
                <w:rFonts w:eastAsia="Times New Roman"/>
                <w:sz w:val="20"/>
                <w:szCs w:val="20"/>
              </w:rPr>
            </w:pPr>
            <w:r>
              <w:rPr>
                <w:rFonts w:eastAsia="Times New Roman"/>
                <w:b/>
                <w:bCs/>
                <w:sz w:val="20"/>
                <w:szCs w:val="20"/>
              </w:rPr>
              <w:t>7.</w:t>
            </w:r>
          </w:p>
        </w:tc>
        <w:tc>
          <w:tcPr>
            <w:tcW w:w="0" w:type="auto"/>
            <w:hideMark/>
          </w:tcPr>
          <w:p w14:paraId="2CDE9988" w14:textId="77777777" w:rsidR="00000000" w:rsidRDefault="002F725F">
            <w:pPr>
              <w:jc w:val="both"/>
              <w:rPr>
                <w:rFonts w:eastAsia="Times New Roman"/>
                <w:sz w:val="20"/>
                <w:szCs w:val="20"/>
              </w:rPr>
            </w:pPr>
            <w:r>
              <w:rPr>
                <w:rFonts w:eastAsia="Times New Roman"/>
                <w:b/>
                <w:bCs/>
                <w:sz w:val="20"/>
                <w:szCs w:val="20"/>
              </w:rPr>
              <w:t>Directors and Executive Officers of Crystal Peak Holdings Inc.</w:t>
            </w:r>
          </w:p>
        </w:tc>
      </w:tr>
    </w:tbl>
    <w:p w14:paraId="1C893F5D" w14:textId="77777777" w:rsidR="00000000" w:rsidRDefault="002F725F">
      <w:pPr>
        <w:pStyle w:val="NormalWeb"/>
        <w:spacing w:before="0" w:beforeAutospacing="0" w:after="0" w:afterAutospacing="0"/>
        <w:divId w:val="415980837"/>
        <w:rPr>
          <w:sz w:val="20"/>
          <w:szCs w:val="20"/>
        </w:rPr>
      </w:pPr>
      <w:r>
        <w:rPr>
          <w:sz w:val="20"/>
          <w:szCs w:val="20"/>
        </w:rPr>
        <w:t> </w:t>
      </w:r>
    </w:p>
    <w:p w14:paraId="58509E3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The following table sets forth </w:t>
      </w:r>
      <w:r>
        <w:rPr>
          <w:sz w:val="20"/>
          <w:szCs w:val="20"/>
        </w:rPr>
        <w:t>the information regarding the directors of Crystal Peak Holdings Inc. as of the date of this proxy statement. The business address of each of the following individuals is c/o 3877 El Camino Real, Ste 201, Palo Alto CA 94306. As of the date of this proxy st</w:t>
      </w:r>
      <w:r>
        <w:rPr>
          <w:sz w:val="20"/>
          <w:szCs w:val="20"/>
        </w:rPr>
        <w:t>atement, Crystal Peak Holdings Inc. does not have any executive officer.</w:t>
      </w:r>
    </w:p>
    <w:p w14:paraId="27D360A1" w14:textId="77777777" w:rsidR="00000000" w:rsidRDefault="002F725F">
      <w:pPr>
        <w:pStyle w:val="NormalWeb"/>
        <w:spacing w:before="0" w:beforeAutospacing="0" w:after="0" w:afterAutospacing="0"/>
        <w:ind w:firstLine="72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2434"/>
        <w:gridCol w:w="187"/>
        <w:gridCol w:w="4399"/>
        <w:gridCol w:w="94"/>
        <w:gridCol w:w="2246"/>
      </w:tblGrid>
      <w:tr w:rsidR="00000000" w14:paraId="2212054C" w14:textId="77777777">
        <w:trPr>
          <w:divId w:val="415980837"/>
        </w:trPr>
        <w:tc>
          <w:tcPr>
            <w:tcW w:w="1300" w:type="pct"/>
            <w:tcBorders>
              <w:bottom w:val="single" w:sz="12" w:space="0" w:color="000000"/>
            </w:tcBorders>
            <w:vAlign w:val="bottom"/>
            <w:hideMark/>
          </w:tcPr>
          <w:p w14:paraId="732ECB7D" w14:textId="77777777" w:rsidR="00000000" w:rsidRDefault="002F725F">
            <w:pPr>
              <w:rPr>
                <w:rFonts w:eastAsia="Times New Roman"/>
                <w:sz w:val="20"/>
                <w:szCs w:val="20"/>
              </w:rPr>
            </w:pPr>
            <w:r>
              <w:rPr>
                <w:rFonts w:eastAsia="Times New Roman"/>
                <w:b/>
                <w:bCs/>
                <w:sz w:val="20"/>
                <w:szCs w:val="20"/>
              </w:rPr>
              <w:t>Name</w:t>
            </w:r>
          </w:p>
        </w:tc>
        <w:tc>
          <w:tcPr>
            <w:tcW w:w="100" w:type="pct"/>
            <w:vAlign w:val="bottom"/>
            <w:hideMark/>
          </w:tcPr>
          <w:p w14:paraId="654173CB" w14:textId="77777777" w:rsidR="00000000" w:rsidRDefault="002F725F">
            <w:pPr>
              <w:rPr>
                <w:rFonts w:eastAsia="Times New Roman"/>
                <w:sz w:val="20"/>
                <w:szCs w:val="20"/>
              </w:rPr>
            </w:pPr>
            <w:r>
              <w:rPr>
                <w:rFonts w:eastAsia="Times New Roman"/>
                <w:sz w:val="20"/>
                <w:szCs w:val="20"/>
              </w:rPr>
              <w:t> </w:t>
            </w:r>
          </w:p>
        </w:tc>
        <w:tc>
          <w:tcPr>
            <w:tcW w:w="2350" w:type="pct"/>
            <w:tcBorders>
              <w:bottom w:val="single" w:sz="12" w:space="0" w:color="000000"/>
            </w:tcBorders>
            <w:vAlign w:val="bottom"/>
            <w:hideMark/>
          </w:tcPr>
          <w:p w14:paraId="1B04167A" w14:textId="77777777" w:rsidR="00000000" w:rsidRDefault="002F725F">
            <w:pPr>
              <w:jc w:val="center"/>
              <w:rPr>
                <w:rFonts w:eastAsia="Times New Roman"/>
                <w:sz w:val="20"/>
                <w:szCs w:val="20"/>
              </w:rPr>
            </w:pPr>
            <w:r>
              <w:rPr>
                <w:rFonts w:eastAsia="Times New Roman"/>
                <w:b/>
                <w:bCs/>
                <w:sz w:val="20"/>
                <w:szCs w:val="20"/>
              </w:rPr>
              <w:t>Present Principal Occupation or Employment</w:t>
            </w:r>
          </w:p>
        </w:tc>
        <w:tc>
          <w:tcPr>
            <w:tcW w:w="50" w:type="pct"/>
            <w:vAlign w:val="bottom"/>
            <w:hideMark/>
          </w:tcPr>
          <w:p w14:paraId="06DF1719" w14:textId="77777777" w:rsidR="00000000" w:rsidRDefault="002F725F">
            <w:pPr>
              <w:rPr>
                <w:rFonts w:eastAsia="Times New Roman"/>
                <w:sz w:val="20"/>
                <w:szCs w:val="20"/>
              </w:rPr>
            </w:pPr>
            <w:r>
              <w:rPr>
                <w:rFonts w:eastAsia="Times New Roman"/>
                <w:sz w:val="20"/>
                <w:szCs w:val="20"/>
              </w:rPr>
              <w:t> </w:t>
            </w:r>
          </w:p>
        </w:tc>
        <w:tc>
          <w:tcPr>
            <w:tcW w:w="1200" w:type="pct"/>
            <w:tcBorders>
              <w:bottom w:val="single" w:sz="12" w:space="0" w:color="000000"/>
            </w:tcBorders>
            <w:vAlign w:val="bottom"/>
            <w:hideMark/>
          </w:tcPr>
          <w:p w14:paraId="3785C637" w14:textId="77777777" w:rsidR="00000000" w:rsidRDefault="002F725F">
            <w:pPr>
              <w:jc w:val="center"/>
              <w:rPr>
                <w:rFonts w:eastAsia="Times New Roman"/>
                <w:sz w:val="20"/>
                <w:szCs w:val="20"/>
              </w:rPr>
            </w:pPr>
            <w:r>
              <w:rPr>
                <w:rFonts w:eastAsia="Times New Roman"/>
                <w:b/>
                <w:bCs/>
                <w:sz w:val="20"/>
                <w:szCs w:val="20"/>
              </w:rPr>
              <w:t>Citizenship</w:t>
            </w:r>
          </w:p>
        </w:tc>
      </w:tr>
      <w:tr w:rsidR="00000000" w14:paraId="24D8F8AD" w14:textId="77777777">
        <w:trPr>
          <w:divId w:val="415980837"/>
        </w:trPr>
        <w:tc>
          <w:tcPr>
            <w:tcW w:w="0" w:type="auto"/>
            <w:shd w:val="clear" w:color="auto" w:fill="CCEEFF"/>
            <w:vAlign w:val="bottom"/>
            <w:hideMark/>
          </w:tcPr>
          <w:p w14:paraId="2861FBDE" w14:textId="77777777" w:rsidR="00000000" w:rsidRDefault="002F725F">
            <w:pPr>
              <w:rPr>
                <w:rFonts w:eastAsia="Times New Roman"/>
                <w:sz w:val="20"/>
                <w:szCs w:val="20"/>
              </w:rPr>
            </w:pPr>
            <w:r>
              <w:rPr>
                <w:rFonts w:eastAsia="Times New Roman"/>
                <w:sz w:val="20"/>
                <w:szCs w:val="20"/>
              </w:rPr>
              <w:t>Huaqin Xue</w:t>
            </w:r>
          </w:p>
        </w:tc>
        <w:tc>
          <w:tcPr>
            <w:tcW w:w="0" w:type="auto"/>
            <w:shd w:val="clear" w:color="auto" w:fill="CCEEFF"/>
            <w:vAlign w:val="bottom"/>
            <w:hideMark/>
          </w:tcPr>
          <w:p w14:paraId="5208438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22133749" w14:textId="77777777" w:rsidR="00000000" w:rsidRDefault="002F725F">
            <w:pPr>
              <w:rPr>
                <w:rFonts w:eastAsia="Times New Roman"/>
                <w:sz w:val="20"/>
                <w:szCs w:val="20"/>
              </w:rPr>
            </w:pPr>
            <w:r>
              <w:rPr>
                <w:rFonts w:eastAsia="Times New Roman"/>
                <w:sz w:val="20"/>
                <w:szCs w:val="20"/>
              </w:rPr>
              <w:t>Director</w:t>
            </w:r>
          </w:p>
        </w:tc>
        <w:tc>
          <w:tcPr>
            <w:tcW w:w="0" w:type="auto"/>
            <w:shd w:val="clear" w:color="auto" w:fill="CCEEFF"/>
            <w:vAlign w:val="bottom"/>
            <w:hideMark/>
          </w:tcPr>
          <w:p w14:paraId="563CA98F"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7041BC12" w14:textId="77777777" w:rsidR="00000000" w:rsidRDefault="002F725F">
            <w:pPr>
              <w:rPr>
                <w:rFonts w:eastAsia="Times New Roman"/>
                <w:sz w:val="20"/>
                <w:szCs w:val="20"/>
              </w:rPr>
            </w:pPr>
            <w:r>
              <w:rPr>
                <w:rFonts w:eastAsia="Times New Roman"/>
                <w:sz w:val="20"/>
                <w:szCs w:val="20"/>
              </w:rPr>
              <w:t>Hong Kong</w:t>
            </w:r>
          </w:p>
        </w:tc>
      </w:tr>
      <w:tr w:rsidR="00000000" w14:paraId="73F0022D" w14:textId="77777777">
        <w:trPr>
          <w:divId w:val="415980837"/>
        </w:trPr>
        <w:tc>
          <w:tcPr>
            <w:tcW w:w="0" w:type="auto"/>
            <w:shd w:val="clear" w:color="auto" w:fill="FFFFFF"/>
            <w:vAlign w:val="bottom"/>
            <w:hideMark/>
          </w:tcPr>
          <w:p w14:paraId="32C8BB52" w14:textId="77777777" w:rsidR="00000000" w:rsidRDefault="002F725F">
            <w:pPr>
              <w:rPr>
                <w:rFonts w:eastAsia="Times New Roman"/>
                <w:sz w:val="20"/>
                <w:szCs w:val="20"/>
              </w:rPr>
            </w:pPr>
            <w:r>
              <w:rPr>
                <w:rFonts w:eastAsia="Times New Roman"/>
                <w:sz w:val="20"/>
                <w:szCs w:val="20"/>
              </w:rPr>
              <w:t>Tianying Yao</w:t>
            </w:r>
          </w:p>
        </w:tc>
        <w:tc>
          <w:tcPr>
            <w:tcW w:w="0" w:type="auto"/>
            <w:shd w:val="clear" w:color="auto" w:fill="FFFFFF"/>
            <w:vAlign w:val="bottom"/>
            <w:hideMark/>
          </w:tcPr>
          <w:p w14:paraId="59C714A6"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457018AB" w14:textId="77777777" w:rsidR="00000000" w:rsidRDefault="002F725F">
            <w:pPr>
              <w:rPr>
                <w:rFonts w:eastAsia="Times New Roman"/>
                <w:sz w:val="20"/>
                <w:szCs w:val="20"/>
              </w:rPr>
            </w:pPr>
            <w:r>
              <w:rPr>
                <w:rFonts w:eastAsia="Times New Roman"/>
                <w:sz w:val="20"/>
                <w:szCs w:val="20"/>
              </w:rPr>
              <w:t>Director</w:t>
            </w:r>
          </w:p>
        </w:tc>
        <w:tc>
          <w:tcPr>
            <w:tcW w:w="0" w:type="auto"/>
            <w:shd w:val="clear" w:color="auto" w:fill="FFFFFF"/>
            <w:vAlign w:val="bottom"/>
            <w:hideMark/>
          </w:tcPr>
          <w:p w14:paraId="786F355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5D5DD638" w14:textId="77777777" w:rsidR="00000000" w:rsidRDefault="002F725F">
            <w:pPr>
              <w:rPr>
                <w:rFonts w:eastAsia="Times New Roman"/>
                <w:sz w:val="20"/>
                <w:szCs w:val="20"/>
              </w:rPr>
            </w:pPr>
            <w:r>
              <w:rPr>
                <w:rFonts w:eastAsia="Times New Roman"/>
                <w:sz w:val="20"/>
                <w:szCs w:val="20"/>
              </w:rPr>
              <w:t>People’s Republic of China</w:t>
            </w:r>
          </w:p>
        </w:tc>
      </w:tr>
    </w:tbl>
    <w:p w14:paraId="59905E66" w14:textId="77777777" w:rsidR="00000000" w:rsidRDefault="002F725F">
      <w:pPr>
        <w:pStyle w:val="NormalWeb"/>
        <w:spacing w:before="0" w:beforeAutospacing="0" w:after="0" w:afterAutospacing="0"/>
        <w:ind w:firstLine="720"/>
        <w:divId w:val="415980837"/>
        <w:rPr>
          <w:sz w:val="20"/>
          <w:szCs w:val="20"/>
        </w:rPr>
      </w:pPr>
      <w:r>
        <w:rPr>
          <w:sz w:val="20"/>
          <w:szCs w:val="20"/>
        </w:rPr>
        <w:t> </w:t>
      </w:r>
    </w:p>
    <w:p w14:paraId="1282582F" w14:textId="77777777" w:rsidR="00000000" w:rsidRDefault="002F725F">
      <w:pPr>
        <w:pStyle w:val="NormalWeb"/>
        <w:spacing w:before="0" w:beforeAutospacing="0" w:after="0" w:afterAutospacing="0"/>
        <w:ind w:firstLine="720"/>
        <w:jc w:val="both"/>
        <w:divId w:val="415980837"/>
        <w:rPr>
          <w:sz w:val="20"/>
          <w:szCs w:val="20"/>
        </w:rPr>
      </w:pPr>
      <w:r>
        <w:rPr>
          <w:sz w:val="20"/>
          <w:szCs w:val="20"/>
        </w:rPr>
        <w:lastRenderedPageBreak/>
        <w:t>Huaqin Xue has been the director of Crystal Peak Holdings Inc. and Crystal Peak Investment Inc. since April 2025. From August 2020 to April 2025, Huaqin Xue also served as the director of Bright Sapphire Holding Inc. Bright Sapphire Holding Inc. is princip</w:t>
      </w:r>
      <w:r>
        <w:rPr>
          <w:sz w:val="20"/>
          <w:szCs w:val="20"/>
        </w:rPr>
        <w:t>ally engaged in management investment, and its business address is c/o Kingston Chambers, PO Box173, Road Town, Tortola, British Virgin Islands.</w:t>
      </w:r>
    </w:p>
    <w:p w14:paraId="2D7DB07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49E83B5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Tianying Yao has been the director of Crystal Peak Holdings Inc. and Crystal Peak Investment Inc. since April</w:t>
      </w:r>
      <w:r>
        <w:rPr>
          <w:sz w:val="20"/>
          <w:szCs w:val="20"/>
        </w:rPr>
        <w:t xml:space="preserve"> 2025. From September 2020 to April 2025, Tianying Yao also served the Deputy General Manager of Tianjin Zhonghe Management Consulting Co., Ltd. Tianjin Zhonghe Management Consulting Co., Ltd. is principally engaged in social and economic consulting servic</w:t>
      </w:r>
      <w:r>
        <w:rPr>
          <w:sz w:val="20"/>
          <w:szCs w:val="20"/>
        </w:rPr>
        <w:t>es and information consulting services, and its business address is c/o Room 215, Building B, Beitang Construction Development Building, No. 3 Quanzhou Road, Binhai Zhongguancun Science Park, Tianjin Economic-Technological Development Area, Tianjin, China.</w:t>
      </w:r>
    </w:p>
    <w:p w14:paraId="6D3A796F"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775193ED"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During the last five years, neither of the Crystal Peak Holdings Inc., or, to the knowledge of the Crystal Peak Holdings Inc., any of the other person listed above has been (a) convicted in a criminal proceeding (excluding traffic violations and similar</w:t>
      </w:r>
      <w:r>
        <w:rPr>
          <w:sz w:val="20"/>
          <w:szCs w:val="20"/>
        </w:rPr>
        <w:t xml:space="preserve"> misdemeanors) or (b) a party to any judicial or administrative proceeding (except for matters that were dismissed without sanction or settlement) that resulted in a judgment or decree or final order enjoining the person from future violations of, or prohi</w:t>
      </w:r>
      <w:r>
        <w:rPr>
          <w:sz w:val="20"/>
          <w:szCs w:val="20"/>
        </w:rPr>
        <w:t>biting activities subject to, federal or state securities laws, or a finding of any violation of federal or state securities laws.</w:t>
      </w:r>
    </w:p>
    <w:p w14:paraId="0FA4EE00" w14:textId="77777777" w:rsidR="00000000" w:rsidRDefault="002F725F">
      <w:pPr>
        <w:pStyle w:val="NormalWeb"/>
        <w:spacing w:before="0" w:beforeAutospacing="0" w:after="0" w:afterAutospacing="0"/>
        <w:ind w:firstLine="72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720"/>
        <w:gridCol w:w="8640"/>
      </w:tblGrid>
      <w:tr w:rsidR="00000000" w14:paraId="6DB2AD4B" w14:textId="77777777">
        <w:trPr>
          <w:divId w:val="415980837"/>
          <w:tblCellSpacing w:w="0" w:type="dxa"/>
        </w:trPr>
        <w:tc>
          <w:tcPr>
            <w:tcW w:w="720" w:type="dxa"/>
            <w:hideMark/>
          </w:tcPr>
          <w:p w14:paraId="454B3610" w14:textId="77777777" w:rsidR="00000000" w:rsidRDefault="002F725F">
            <w:pPr>
              <w:rPr>
                <w:rFonts w:eastAsia="Times New Roman"/>
                <w:sz w:val="20"/>
                <w:szCs w:val="20"/>
              </w:rPr>
            </w:pPr>
            <w:r>
              <w:rPr>
                <w:rFonts w:eastAsia="Times New Roman"/>
                <w:b/>
                <w:bCs/>
                <w:sz w:val="20"/>
                <w:szCs w:val="20"/>
              </w:rPr>
              <w:t>8.</w:t>
            </w:r>
          </w:p>
        </w:tc>
        <w:tc>
          <w:tcPr>
            <w:tcW w:w="0" w:type="auto"/>
            <w:hideMark/>
          </w:tcPr>
          <w:p w14:paraId="7165E943" w14:textId="77777777" w:rsidR="00000000" w:rsidRDefault="002F725F">
            <w:pPr>
              <w:jc w:val="both"/>
              <w:rPr>
                <w:rFonts w:eastAsia="Times New Roman"/>
                <w:sz w:val="20"/>
                <w:szCs w:val="20"/>
              </w:rPr>
            </w:pPr>
            <w:r>
              <w:rPr>
                <w:rFonts w:eastAsia="Times New Roman"/>
                <w:b/>
                <w:bCs/>
                <w:sz w:val="20"/>
                <w:szCs w:val="20"/>
              </w:rPr>
              <w:t>Directors and Executive Officers of Crystal Peak Investment Inc.</w:t>
            </w:r>
          </w:p>
        </w:tc>
      </w:tr>
    </w:tbl>
    <w:p w14:paraId="7AAEFD1F" w14:textId="77777777" w:rsidR="00000000" w:rsidRDefault="002F725F">
      <w:pPr>
        <w:pStyle w:val="NormalWeb"/>
        <w:spacing w:before="0" w:beforeAutospacing="0" w:after="0" w:afterAutospacing="0"/>
        <w:divId w:val="415980837"/>
        <w:rPr>
          <w:sz w:val="20"/>
          <w:szCs w:val="20"/>
        </w:rPr>
      </w:pPr>
      <w:r>
        <w:rPr>
          <w:sz w:val="20"/>
          <w:szCs w:val="20"/>
        </w:rPr>
        <w:t> </w:t>
      </w:r>
    </w:p>
    <w:p w14:paraId="2631773D" w14:textId="77777777" w:rsidR="00000000" w:rsidRDefault="002F725F">
      <w:pPr>
        <w:pStyle w:val="NormalWeb"/>
        <w:spacing w:before="0" w:beforeAutospacing="0" w:after="0" w:afterAutospacing="0"/>
        <w:jc w:val="both"/>
        <w:divId w:val="415980837"/>
        <w:rPr>
          <w:sz w:val="20"/>
          <w:szCs w:val="20"/>
        </w:rPr>
      </w:pPr>
      <w:r>
        <w:rPr>
          <w:sz w:val="20"/>
          <w:szCs w:val="20"/>
        </w:rPr>
        <w:t>The following table sets forth the information regarding the directors of Crystal Peak Investment Inc. as of the date of this proxy statement. The business address of each of the following individuals is c/o 3877 El Camino Real, Ste 201, Palo Alto CA 94306</w:t>
      </w:r>
      <w:r>
        <w:rPr>
          <w:sz w:val="20"/>
          <w:szCs w:val="20"/>
        </w:rPr>
        <w:t>. As of the date of this proxy statement, Crystal Peak Investment Inc. does not have any executive officer.</w:t>
      </w:r>
    </w:p>
    <w:p w14:paraId="52B82511"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2434"/>
        <w:gridCol w:w="187"/>
        <w:gridCol w:w="4399"/>
        <w:gridCol w:w="94"/>
        <w:gridCol w:w="2246"/>
      </w:tblGrid>
      <w:tr w:rsidR="00000000" w14:paraId="2AE3001B" w14:textId="77777777">
        <w:trPr>
          <w:divId w:val="415980837"/>
        </w:trPr>
        <w:tc>
          <w:tcPr>
            <w:tcW w:w="1300" w:type="pct"/>
            <w:tcBorders>
              <w:bottom w:val="single" w:sz="12" w:space="0" w:color="000000"/>
            </w:tcBorders>
            <w:vAlign w:val="bottom"/>
            <w:hideMark/>
          </w:tcPr>
          <w:p w14:paraId="7D72E912" w14:textId="77777777" w:rsidR="00000000" w:rsidRDefault="002F725F">
            <w:pPr>
              <w:rPr>
                <w:rFonts w:eastAsia="Times New Roman"/>
                <w:sz w:val="20"/>
                <w:szCs w:val="20"/>
              </w:rPr>
            </w:pPr>
            <w:r>
              <w:rPr>
                <w:rFonts w:eastAsia="Times New Roman"/>
                <w:b/>
                <w:bCs/>
                <w:sz w:val="20"/>
                <w:szCs w:val="20"/>
              </w:rPr>
              <w:t>Name</w:t>
            </w:r>
          </w:p>
        </w:tc>
        <w:tc>
          <w:tcPr>
            <w:tcW w:w="100" w:type="pct"/>
            <w:tcMar>
              <w:top w:w="0" w:type="dxa"/>
              <w:left w:w="0" w:type="dxa"/>
              <w:bottom w:w="30" w:type="dxa"/>
              <w:right w:w="0" w:type="dxa"/>
            </w:tcMar>
            <w:vAlign w:val="bottom"/>
            <w:hideMark/>
          </w:tcPr>
          <w:p w14:paraId="3C6446F5" w14:textId="77777777" w:rsidR="00000000" w:rsidRDefault="002F725F">
            <w:pPr>
              <w:rPr>
                <w:rFonts w:eastAsia="Times New Roman"/>
                <w:sz w:val="20"/>
                <w:szCs w:val="20"/>
              </w:rPr>
            </w:pPr>
            <w:r>
              <w:rPr>
                <w:rFonts w:eastAsia="Times New Roman"/>
                <w:sz w:val="20"/>
                <w:szCs w:val="20"/>
              </w:rPr>
              <w:t> </w:t>
            </w:r>
          </w:p>
        </w:tc>
        <w:tc>
          <w:tcPr>
            <w:tcW w:w="2350" w:type="pct"/>
            <w:tcBorders>
              <w:bottom w:val="single" w:sz="12" w:space="0" w:color="000000"/>
            </w:tcBorders>
            <w:vAlign w:val="bottom"/>
            <w:hideMark/>
          </w:tcPr>
          <w:p w14:paraId="6E0302BD" w14:textId="77777777" w:rsidR="00000000" w:rsidRDefault="002F725F">
            <w:pPr>
              <w:jc w:val="center"/>
              <w:rPr>
                <w:rFonts w:eastAsia="Times New Roman"/>
                <w:sz w:val="20"/>
                <w:szCs w:val="20"/>
              </w:rPr>
            </w:pPr>
            <w:r>
              <w:rPr>
                <w:rFonts w:eastAsia="Times New Roman"/>
                <w:b/>
                <w:bCs/>
                <w:sz w:val="20"/>
                <w:szCs w:val="20"/>
              </w:rPr>
              <w:t>Present Principal Occupation or Employment</w:t>
            </w:r>
          </w:p>
        </w:tc>
        <w:tc>
          <w:tcPr>
            <w:tcW w:w="50" w:type="pct"/>
            <w:tcMar>
              <w:top w:w="0" w:type="dxa"/>
              <w:left w:w="0" w:type="dxa"/>
              <w:bottom w:w="30" w:type="dxa"/>
              <w:right w:w="0" w:type="dxa"/>
            </w:tcMar>
            <w:vAlign w:val="bottom"/>
            <w:hideMark/>
          </w:tcPr>
          <w:p w14:paraId="048CEF6B" w14:textId="77777777" w:rsidR="00000000" w:rsidRDefault="002F725F">
            <w:pPr>
              <w:rPr>
                <w:rFonts w:eastAsia="Times New Roman"/>
                <w:sz w:val="20"/>
                <w:szCs w:val="20"/>
              </w:rPr>
            </w:pPr>
            <w:r>
              <w:rPr>
                <w:rFonts w:eastAsia="Times New Roman"/>
                <w:sz w:val="20"/>
                <w:szCs w:val="20"/>
              </w:rPr>
              <w:t> </w:t>
            </w:r>
          </w:p>
        </w:tc>
        <w:tc>
          <w:tcPr>
            <w:tcW w:w="1200" w:type="pct"/>
            <w:tcBorders>
              <w:bottom w:val="single" w:sz="12" w:space="0" w:color="000000"/>
            </w:tcBorders>
            <w:vAlign w:val="bottom"/>
            <w:hideMark/>
          </w:tcPr>
          <w:p w14:paraId="2DC99EEF" w14:textId="77777777" w:rsidR="00000000" w:rsidRDefault="002F725F">
            <w:pPr>
              <w:jc w:val="center"/>
              <w:rPr>
                <w:rFonts w:eastAsia="Times New Roman"/>
                <w:sz w:val="20"/>
                <w:szCs w:val="20"/>
              </w:rPr>
            </w:pPr>
            <w:r>
              <w:rPr>
                <w:rFonts w:eastAsia="Times New Roman"/>
                <w:b/>
                <w:bCs/>
                <w:sz w:val="20"/>
                <w:szCs w:val="20"/>
              </w:rPr>
              <w:t>Citizenship</w:t>
            </w:r>
          </w:p>
        </w:tc>
      </w:tr>
      <w:tr w:rsidR="00000000" w14:paraId="38F7A674" w14:textId="77777777">
        <w:trPr>
          <w:divId w:val="415980837"/>
        </w:trPr>
        <w:tc>
          <w:tcPr>
            <w:tcW w:w="0" w:type="auto"/>
            <w:shd w:val="clear" w:color="auto" w:fill="CCEEFF"/>
            <w:vAlign w:val="bottom"/>
            <w:hideMark/>
          </w:tcPr>
          <w:p w14:paraId="6187D802" w14:textId="77777777" w:rsidR="00000000" w:rsidRDefault="002F725F">
            <w:pPr>
              <w:rPr>
                <w:rFonts w:eastAsia="Times New Roman"/>
                <w:sz w:val="20"/>
                <w:szCs w:val="20"/>
              </w:rPr>
            </w:pPr>
            <w:r>
              <w:rPr>
                <w:rFonts w:eastAsia="Times New Roman"/>
                <w:sz w:val="20"/>
                <w:szCs w:val="20"/>
              </w:rPr>
              <w:t>Huaqin Xue</w:t>
            </w:r>
          </w:p>
        </w:tc>
        <w:tc>
          <w:tcPr>
            <w:tcW w:w="0" w:type="auto"/>
            <w:shd w:val="clear" w:color="auto" w:fill="CCEEFF"/>
            <w:vAlign w:val="bottom"/>
            <w:hideMark/>
          </w:tcPr>
          <w:p w14:paraId="3376BA84"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6CDE221B" w14:textId="77777777" w:rsidR="00000000" w:rsidRDefault="002F725F">
            <w:pPr>
              <w:rPr>
                <w:rFonts w:eastAsia="Times New Roman"/>
                <w:sz w:val="20"/>
                <w:szCs w:val="20"/>
              </w:rPr>
            </w:pPr>
            <w:r>
              <w:rPr>
                <w:rFonts w:eastAsia="Times New Roman"/>
                <w:sz w:val="20"/>
                <w:szCs w:val="20"/>
              </w:rPr>
              <w:t>Director</w:t>
            </w:r>
          </w:p>
        </w:tc>
        <w:tc>
          <w:tcPr>
            <w:tcW w:w="0" w:type="auto"/>
            <w:shd w:val="clear" w:color="auto" w:fill="CCEEFF"/>
            <w:vAlign w:val="bottom"/>
            <w:hideMark/>
          </w:tcPr>
          <w:p w14:paraId="20CF62F1" w14:textId="77777777" w:rsidR="00000000" w:rsidRDefault="002F725F">
            <w:pPr>
              <w:rPr>
                <w:rFonts w:eastAsia="Times New Roman"/>
                <w:sz w:val="20"/>
                <w:szCs w:val="20"/>
              </w:rPr>
            </w:pPr>
            <w:r>
              <w:rPr>
                <w:rFonts w:eastAsia="Times New Roman"/>
                <w:sz w:val="20"/>
                <w:szCs w:val="20"/>
              </w:rPr>
              <w:t> </w:t>
            </w:r>
          </w:p>
        </w:tc>
        <w:tc>
          <w:tcPr>
            <w:tcW w:w="0" w:type="auto"/>
            <w:shd w:val="clear" w:color="auto" w:fill="CCEEFF"/>
            <w:vAlign w:val="bottom"/>
            <w:hideMark/>
          </w:tcPr>
          <w:p w14:paraId="4F137837" w14:textId="77777777" w:rsidR="00000000" w:rsidRDefault="002F725F">
            <w:pPr>
              <w:rPr>
                <w:rFonts w:eastAsia="Times New Roman"/>
                <w:sz w:val="20"/>
                <w:szCs w:val="20"/>
              </w:rPr>
            </w:pPr>
            <w:r>
              <w:rPr>
                <w:rFonts w:eastAsia="Times New Roman"/>
                <w:sz w:val="20"/>
                <w:szCs w:val="20"/>
              </w:rPr>
              <w:t>Hong Kong</w:t>
            </w:r>
          </w:p>
        </w:tc>
      </w:tr>
      <w:tr w:rsidR="00000000" w14:paraId="11D60073" w14:textId="77777777">
        <w:trPr>
          <w:divId w:val="415980837"/>
        </w:trPr>
        <w:tc>
          <w:tcPr>
            <w:tcW w:w="0" w:type="auto"/>
            <w:shd w:val="clear" w:color="auto" w:fill="FFFFFF"/>
            <w:vAlign w:val="bottom"/>
            <w:hideMark/>
          </w:tcPr>
          <w:p w14:paraId="0FB98D21" w14:textId="77777777" w:rsidR="00000000" w:rsidRDefault="002F725F">
            <w:pPr>
              <w:rPr>
                <w:rFonts w:eastAsia="Times New Roman"/>
                <w:sz w:val="20"/>
                <w:szCs w:val="20"/>
              </w:rPr>
            </w:pPr>
            <w:r>
              <w:rPr>
                <w:rFonts w:eastAsia="Times New Roman"/>
                <w:sz w:val="20"/>
                <w:szCs w:val="20"/>
              </w:rPr>
              <w:t>Tianying Yao</w:t>
            </w:r>
          </w:p>
        </w:tc>
        <w:tc>
          <w:tcPr>
            <w:tcW w:w="0" w:type="auto"/>
            <w:shd w:val="clear" w:color="auto" w:fill="FFFFFF"/>
            <w:vAlign w:val="bottom"/>
            <w:hideMark/>
          </w:tcPr>
          <w:p w14:paraId="5C67EE6C"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1A32915C" w14:textId="77777777" w:rsidR="00000000" w:rsidRDefault="002F725F">
            <w:pPr>
              <w:rPr>
                <w:rFonts w:eastAsia="Times New Roman"/>
                <w:sz w:val="20"/>
                <w:szCs w:val="20"/>
              </w:rPr>
            </w:pPr>
            <w:r>
              <w:rPr>
                <w:rFonts w:eastAsia="Times New Roman"/>
                <w:sz w:val="20"/>
                <w:szCs w:val="20"/>
              </w:rPr>
              <w:t>Director</w:t>
            </w:r>
          </w:p>
        </w:tc>
        <w:tc>
          <w:tcPr>
            <w:tcW w:w="0" w:type="auto"/>
            <w:shd w:val="clear" w:color="auto" w:fill="FFFFFF"/>
            <w:vAlign w:val="bottom"/>
            <w:hideMark/>
          </w:tcPr>
          <w:p w14:paraId="20FF2E05" w14:textId="77777777" w:rsidR="00000000" w:rsidRDefault="002F725F">
            <w:pPr>
              <w:rPr>
                <w:rFonts w:eastAsia="Times New Roman"/>
                <w:sz w:val="20"/>
                <w:szCs w:val="20"/>
              </w:rPr>
            </w:pPr>
            <w:r>
              <w:rPr>
                <w:rFonts w:eastAsia="Times New Roman"/>
                <w:sz w:val="20"/>
                <w:szCs w:val="20"/>
              </w:rPr>
              <w:t> </w:t>
            </w:r>
          </w:p>
        </w:tc>
        <w:tc>
          <w:tcPr>
            <w:tcW w:w="0" w:type="auto"/>
            <w:shd w:val="clear" w:color="auto" w:fill="FFFFFF"/>
            <w:vAlign w:val="bottom"/>
            <w:hideMark/>
          </w:tcPr>
          <w:p w14:paraId="7895471C" w14:textId="77777777" w:rsidR="00000000" w:rsidRDefault="002F725F">
            <w:pPr>
              <w:rPr>
                <w:rFonts w:eastAsia="Times New Roman"/>
                <w:sz w:val="20"/>
                <w:szCs w:val="20"/>
              </w:rPr>
            </w:pPr>
            <w:r>
              <w:rPr>
                <w:rFonts w:eastAsia="Times New Roman"/>
                <w:sz w:val="20"/>
                <w:szCs w:val="20"/>
              </w:rPr>
              <w:t>People’</w:t>
            </w:r>
            <w:r>
              <w:rPr>
                <w:rFonts w:eastAsia="Times New Roman"/>
                <w:sz w:val="20"/>
                <w:szCs w:val="20"/>
              </w:rPr>
              <w:t>s Republic of China</w:t>
            </w:r>
          </w:p>
        </w:tc>
      </w:tr>
    </w:tbl>
    <w:p w14:paraId="59DBF83E" w14:textId="77777777" w:rsidR="00000000" w:rsidRDefault="002F725F">
      <w:pPr>
        <w:pStyle w:val="NormalWeb"/>
        <w:spacing w:before="0" w:beforeAutospacing="0" w:after="0" w:afterAutospacing="0"/>
        <w:divId w:val="415980837"/>
        <w:rPr>
          <w:sz w:val="20"/>
          <w:szCs w:val="20"/>
        </w:rPr>
      </w:pPr>
      <w:r>
        <w:rPr>
          <w:sz w:val="20"/>
          <w:szCs w:val="20"/>
        </w:rPr>
        <w:t> </w:t>
      </w:r>
    </w:p>
    <w:p w14:paraId="66CF52C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xml:space="preserve">Huaqin Xue has been the director of Crystal Peak Holdings Inc. and Crystal Peak Investment Inc. since April 2025. From August 2020 to April 2025, Huaqin Xue also served as the director of Bright Sapphire Holding Inc. Bright Sapphire </w:t>
      </w:r>
      <w:r>
        <w:rPr>
          <w:sz w:val="20"/>
          <w:szCs w:val="20"/>
        </w:rPr>
        <w:t>Holding Inc. is principally engaged in management investment, and its business address is c/o Kingston Chambers, PO Box173, Road Town, Tortola, British Virgin Islands.</w:t>
      </w:r>
    </w:p>
    <w:p w14:paraId="3AA706CA"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34BC4834" w14:textId="77777777" w:rsidR="00000000" w:rsidRDefault="002F725F">
      <w:pPr>
        <w:pStyle w:val="NormalWeb"/>
        <w:spacing w:before="0" w:beforeAutospacing="0" w:after="0" w:afterAutospacing="0"/>
        <w:ind w:firstLine="720"/>
        <w:jc w:val="both"/>
        <w:divId w:val="415980837"/>
        <w:rPr>
          <w:sz w:val="20"/>
          <w:szCs w:val="20"/>
        </w:rPr>
      </w:pPr>
      <w:r>
        <w:rPr>
          <w:sz w:val="20"/>
          <w:szCs w:val="20"/>
        </w:rPr>
        <w:t>Tianying Yao has been the director of Crystal Peak Holdings Inc. and Crystal Peak Inve</w:t>
      </w:r>
      <w:r>
        <w:rPr>
          <w:sz w:val="20"/>
          <w:szCs w:val="20"/>
        </w:rPr>
        <w:t>stment Inc. since April 2025. From September 2020 to April 2025, Tianying Yao also served the Deputy General Manager of Tianjin Zhonghe Management Consulting Co., Ltd. Tianjin Zhonghe Management Consulting Co., Ltd. is principally engaged in social and eco</w:t>
      </w:r>
      <w:r>
        <w:rPr>
          <w:sz w:val="20"/>
          <w:szCs w:val="20"/>
        </w:rPr>
        <w:t>nomic consulting services and information consulting services, and its business address is c/o Room 215, Building B, Beitang Construction Development Building, No. 3 Quanzhou Road, Binhai Zhongguancun Science Park, Tianjin Economic-Technological Developmen</w:t>
      </w:r>
      <w:r>
        <w:rPr>
          <w:sz w:val="20"/>
          <w:szCs w:val="20"/>
        </w:rPr>
        <w:t>t Area, Tianjin, China.</w:t>
      </w:r>
    </w:p>
    <w:p w14:paraId="362ABE0B"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20C98CF5" w14:textId="77777777" w:rsidR="00000000" w:rsidRDefault="002F725F">
      <w:pPr>
        <w:pStyle w:val="NormalWeb"/>
        <w:spacing w:before="0" w:beforeAutospacing="0" w:after="0" w:afterAutospacing="0"/>
        <w:ind w:firstLine="720"/>
        <w:jc w:val="both"/>
        <w:divId w:val="415980837"/>
        <w:rPr>
          <w:sz w:val="20"/>
          <w:szCs w:val="20"/>
        </w:rPr>
      </w:pPr>
      <w:r>
        <w:rPr>
          <w:sz w:val="20"/>
          <w:szCs w:val="20"/>
        </w:rPr>
        <w:t>During the last five years, neither of the Crystal Peak Investment Inc., or, to the knowledge of the Crystal Peak Investment Inc., any of the other person listed above has been (a) convicted in a criminal proceeding (excluding tra</w:t>
      </w:r>
      <w:r>
        <w:rPr>
          <w:sz w:val="20"/>
          <w:szCs w:val="20"/>
        </w:rPr>
        <w:t>ffic violations and similar misdemeanors) or (b) a party to any judicial or administrative proceeding (except for matters that were dismissed without sanction or settlement) that resulted in a judgment or decree or final order enjoining the person from fut</w:t>
      </w:r>
      <w:r>
        <w:rPr>
          <w:sz w:val="20"/>
          <w:szCs w:val="20"/>
        </w:rPr>
        <w:t>ure violations of, or prohibiting activities subject to, federal or state securities laws, or a finding of any violation of federal or state securities laws.</w:t>
      </w:r>
    </w:p>
    <w:p w14:paraId="6F314820" w14:textId="77777777" w:rsidR="00000000" w:rsidRDefault="002F725F">
      <w:pPr>
        <w:pStyle w:val="NormalWeb"/>
        <w:spacing w:before="0" w:beforeAutospacing="0" w:after="0" w:afterAutospacing="0"/>
        <w:ind w:firstLine="720"/>
        <w:jc w:val="both"/>
        <w:divId w:val="415980837"/>
        <w:rPr>
          <w:sz w:val="20"/>
          <w:szCs w:val="20"/>
        </w:rPr>
      </w:pPr>
      <w:r>
        <w:rPr>
          <w:sz w:val="20"/>
          <w:szCs w:val="20"/>
        </w:rPr>
        <w:t> </w:t>
      </w:r>
    </w:p>
    <w:p w14:paraId="50A8EB82" w14:textId="77777777" w:rsidR="00000000" w:rsidRDefault="002F725F">
      <w:pPr>
        <w:pStyle w:val="NormalWeb"/>
        <w:spacing w:before="0" w:beforeAutospacing="0" w:after="0" w:afterAutospacing="0"/>
        <w:jc w:val="center"/>
        <w:divId w:val="338191465"/>
        <w:rPr>
          <w:sz w:val="20"/>
          <w:szCs w:val="20"/>
        </w:rPr>
      </w:pPr>
      <w:r>
        <w:rPr>
          <w:sz w:val="20"/>
          <w:szCs w:val="20"/>
        </w:rPr>
        <w:t>E</w:t>
      </w:r>
      <w:r>
        <w:rPr>
          <w:sz w:val="20"/>
          <w:szCs w:val="20"/>
        </w:rPr>
        <w:t>-</w:t>
      </w:r>
      <w:r>
        <w:rPr>
          <w:sz w:val="20"/>
          <w:szCs w:val="20"/>
        </w:rPr>
        <w:t>5</w:t>
      </w:r>
    </w:p>
    <w:p w14:paraId="7B5FCC0A" w14:textId="77777777" w:rsidR="00000000" w:rsidRDefault="002F725F">
      <w:pPr>
        <w:pStyle w:val="NormalWeb"/>
        <w:spacing w:before="0" w:beforeAutospacing="0" w:after="0" w:afterAutospacing="0"/>
        <w:jc w:val="center"/>
        <w:divId w:val="415980837"/>
        <w:rPr>
          <w:sz w:val="20"/>
          <w:szCs w:val="20"/>
        </w:rPr>
      </w:pPr>
      <w:r>
        <w:rPr>
          <w:b/>
          <w:bCs/>
          <w:sz w:val="20"/>
          <w:szCs w:val="20"/>
        </w:rPr>
        <w:t> </w:t>
      </w:r>
    </w:p>
    <w:p w14:paraId="25239877" w14:textId="77777777" w:rsidR="00000000" w:rsidRDefault="002F725F">
      <w:pPr>
        <w:pStyle w:val="NormalWeb"/>
        <w:spacing w:before="0" w:beforeAutospacing="0" w:after="0" w:afterAutospacing="0"/>
        <w:jc w:val="center"/>
        <w:divId w:val="415980837"/>
        <w:rPr>
          <w:sz w:val="20"/>
          <w:szCs w:val="20"/>
        </w:rPr>
      </w:pPr>
      <w:bookmarkStart w:id="40" w:name="gfpea028961701ex99-a1.htmf_01"/>
      <w:bookmarkEnd w:id="40"/>
      <w:r>
        <w:rPr>
          <w:b/>
          <w:bCs/>
          <w:sz w:val="20"/>
          <w:szCs w:val="20"/>
          <w:u w:val="single"/>
        </w:rPr>
        <w:t>Annex F</w:t>
      </w:r>
    </w:p>
    <w:p w14:paraId="619CD862"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926088F" w14:textId="77777777" w:rsidR="00000000" w:rsidRDefault="002F725F">
      <w:pPr>
        <w:pStyle w:val="NormalWeb"/>
        <w:spacing w:before="0" w:beforeAutospacing="0" w:after="0" w:afterAutospacing="0"/>
        <w:jc w:val="center"/>
        <w:divId w:val="415980837"/>
        <w:rPr>
          <w:sz w:val="20"/>
          <w:szCs w:val="20"/>
        </w:rPr>
      </w:pPr>
      <w:r>
        <w:rPr>
          <w:b/>
          <w:bCs/>
          <w:sz w:val="20"/>
          <w:szCs w:val="20"/>
        </w:rPr>
        <w:t>FORM OF PROXY CARD</w:t>
      </w:r>
    </w:p>
    <w:p w14:paraId="23233170" w14:textId="77777777" w:rsidR="00000000" w:rsidRDefault="002F725F">
      <w:pPr>
        <w:pStyle w:val="NormalWeb"/>
        <w:spacing w:before="0" w:beforeAutospacing="0" w:after="0" w:afterAutospacing="0"/>
        <w:jc w:val="center"/>
        <w:divId w:val="415980837"/>
        <w:rPr>
          <w:sz w:val="20"/>
          <w:szCs w:val="20"/>
        </w:rPr>
      </w:pPr>
      <w:r>
        <w:rPr>
          <w:sz w:val="20"/>
          <w:szCs w:val="20"/>
        </w:rPr>
        <w:lastRenderedPageBreak/>
        <w:t> </w:t>
      </w:r>
    </w:p>
    <w:p w14:paraId="182C6736" w14:textId="77777777" w:rsidR="00000000" w:rsidRDefault="002F725F">
      <w:pPr>
        <w:pStyle w:val="NormalWeb"/>
        <w:spacing w:before="0" w:beforeAutospacing="0" w:after="0" w:afterAutospacing="0"/>
        <w:jc w:val="center"/>
        <w:divId w:val="415980837"/>
        <w:rPr>
          <w:sz w:val="20"/>
          <w:szCs w:val="20"/>
        </w:rPr>
      </w:pPr>
      <w:r>
        <w:rPr>
          <w:b/>
          <w:bCs/>
          <w:sz w:val="20"/>
          <w:szCs w:val="20"/>
        </w:rPr>
        <w:t>LAKESHORE BIOPHARMA CO., LTD</w:t>
      </w:r>
      <w:r>
        <w:rPr>
          <w:sz w:val="20"/>
          <w:szCs w:val="20"/>
        </w:rPr>
        <w:t> </w:t>
      </w:r>
    </w:p>
    <w:p w14:paraId="7A804E11" w14:textId="77777777" w:rsidR="00000000" w:rsidRDefault="002F725F">
      <w:pPr>
        <w:pStyle w:val="NormalWeb"/>
        <w:spacing w:before="0" w:beforeAutospacing="0" w:after="0" w:afterAutospacing="0"/>
        <w:jc w:val="center"/>
        <w:divId w:val="415980837"/>
        <w:rPr>
          <w:sz w:val="20"/>
          <w:szCs w:val="20"/>
        </w:rPr>
      </w:pPr>
      <w:r>
        <w:rPr>
          <w:sz w:val="20"/>
          <w:szCs w:val="20"/>
        </w:rPr>
        <w:t>(incorporated in the Cayman I</w:t>
      </w:r>
      <w:r>
        <w:rPr>
          <w:sz w:val="20"/>
          <w:szCs w:val="20"/>
        </w:rPr>
        <w:t>slands with limited liability)</w:t>
      </w:r>
    </w:p>
    <w:p w14:paraId="273FDF02"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585B1AE1" w14:textId="77777777" w:rsidR="00000000" w:rsidRDefault="002F725F">
      <w:pPr>
        <w:divId w:val="1013268575"/>
        <w:rPr>
          <w:rFonts w:eastAsia="Times New Roman"/>
          <w:sz w:val="2"/>
          <w:szCs w:val="2"/>
        </w:rPr>
      </w:pPr>
      <w:r>
        <w:rPr>
          <w:rFonts w:eastAsia="Times New Roman"/>
          <w:sz w:val="2"/>
          <w:szCs w:val="2"/>
        </w:rPr>
        <w:t> </w:t>
      </w:r>
    </w:p>
    <w:p w14:paraId="3A230AB2"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6D5E2A26" w14:textId="77777777" w:rsidR="00000000" w:rsidRDefault="002F725F">
      <w:pPr>
        <w:pStyle w:val="NormalWeb"/>
        <w:spacing w:before="0" w:beforeAutospacing="0" w:after="0" w:afterAutospacing="0"/>
        <w:jc w:val="center"/>
        <w:divId w:val="415980837"/>
        <w:rPr>
          <w:sz w:val="20"/>
          <w:szCs w:val="20"/>
        </w:rPr>
      </w:pPr>
      <w:r>
        <w:rPr>
          <w:b/>
          <w:bCs/>
          <w:sz w:val="20"/>
          <w:szCs w:val="20"/>
        </w:rPr>
        <w:t>FORM OF PROXY FOR EXTRAORDINARY GENERAL MEETING OF SHAREHOLDERS</w:t>
      </w:r>
      <w:r>
        <w:rPr>
          <w:b/>
          <w:bCs/>
          <w:sz w:val="20"/>
          <w:szCs w:val="20"/>
        </w:rPr>
        <w:br/>
        <w:t>to be held on  </w:t>
      </w:r>
      <w:r>
        <w:rPr>
          <w:b/>
          <w:bCs/>
          <w:sz w:val="20"/>
          <w:szCs w:val="20"/>
          <w:u w:val="single"/>
        </w:rPr>
        <w:t>              </w:t>
      </w:r>
      <w:r>
        <w:rPr>
          <w:b/>
          <w:bCs/>
          <w:sz w:val="20"/>
          <w:szCs w:val="20"/>
        </w:rPr>
        <w:t xml:space="preserve"> at </w:t>
      </w:r>
      <w:r>
        <w:rPr>
          <w:b/>
          <w:bCs/>
          <w:sz w:val="20"/>
          <w:szCs w:val="20"/>
          <w:u w:val="single"/>
        </w:rPr>
        <w:t>                </w:t>
      </w:r>
      <w:r>
        <w:rPr>
          <w:b/>
          <w:bCs/>
          <w:sz w:val="20"/>
          <w:szCs w:val="20"/>
        </w:rPr>
        <w:t xml:space="preserve"> am (Beijing time)</w:t>
      </w:r>
    </w:p>
    <w:p w14:paraId="5083EBB0" w14:textId="77777777" w:rsidR="00000000" w:rsidRDefault="002F725F">
      <w:pPr>
        <w:pStyle w:val="NormalWeb"/>
        <w:spacing w:before="0" w:beforeAutospacing="0" w:after="0" w:afterAutospacing="0"/>
        <w:jc w:val="center"/>
        <w:divId w:val="415980837"/>
        <w:rPr>
          <w:sz w:val="20"/>
          <w:szCs w:val="20"/>
        </w:rPr>
      </w:pPr>
      <w:r>
        <w:rPr>
          <w:b/>
          <w:bCs/>
          <w:sz w:val="20"/>
          <w:szCs w:val="20"/>
        </w:rPr>
        <w:t xml:space="preserve">at </w:t>
      </w:r>
      <w:r>
        <w:rPr>
          <w:b/>
          <w:bCs/>
          <w:sz w:val="20"/>
          <w:szCs w:val="20"/>
          <w:u w:val="single"/>
        </w:rPr>
        <w:t>                                                                             </w:t>
      </w:r>
      <w:r>
        <w:rPr>
          <w:b/>
          <w:bCs/>
          <w:sz w:val="20"/>
          <w:szCs w:val="20"/>
        </w:rPr>
        <w:br/>
      </w:r>
      <w:r>
        <w:rPr>
          <w:b/>
          <w:bCs/>
          <w:sz w:val="20"/>
          <w:szCs w:val="20"/>
        </w:rPr>
        <w:t>(or any adjournment(s) or postponement(s) thereof)</w:t>
      </w:r>
    </w:p>
    <w:p w14:paraId="6FF5B0C0"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3F8AB295" w14:textId="77777777" w:rsidR="00000000" w:rsidRDefault="002F725F">
      <w:pPr>
        <w:pStyle w:val="NormalWeb"/>
        <w:spacing w:before="0" w:beforeAutospacing="0" w:after="0" w:afterAutospacing="0"/>
        <w:jc w:val="both"/>
        <w:divId w:val="415980837"/>
        <w:rPr>
          <w:sz w:val="20"/>
          <w:szCs w:val="20"/>
        </w:rPr>
      </w:pPr>
      <w:r>
        <w:rPr>
          <w:sz w:val="20"/>
          <w:szCs w:val="20"/>
        </w:rPr>
        <w:t xml:space="preserve">I/We  </w:t>
      </w:r>
      <w:r>
        <w:rPr>
          <w:sz w:val="20"/>
          <w:szCs w:val="20"/>
          <w:u w:val="single"/>
        </w:rPr>
        <w:t>           </w:t>
      </w:r>
      <w:r>
        <w:rPr>
          <w:sz w:val="20"/>
          <w:szCs w:val="20"/>
        </w:rPr>
        <w:t xml:space="preserve"> of  </w:t>
      </w:r>
      <w:r>
        <w:rPr>
          <w:sz w:val="20"/>
          <w:szCs w:val="20"/>
          <w:u w:val="single"/>
        </w:rPr>
        <w:t>                                                                                                                                                                                     </w:t>
      </w:r>
      <w:r>
        <w:rPr>
          <w:sz w:val="20"/>
          <w:szCs w:val="20"/>
          <w:u w:val="single"/>
        </w:rPr>
        <w:t>           </w:t>
      </w:r>
      <w:r>
        <w:rPr>
          <w:sz w:val="20"/>
          <w:szCs w:val="20"/>
        </w:rPr>
        <w:t xml:space="preserve">, the undersigned, being the registered holder(s) of  </w:t>
      </w:r>
      <w:r>
        <w:rPr>
          <w:sz w:val="20"/>
          <w:szCs w:val="20"/>
          <w:u w:val="single"/>
        </w:rPr>
        <w:t>                          </w:t>
      </w:r>
      <w:r>
        <w:rPr>
          <w:sz w:val="20"/>
          <w:szCs w:val="20"/>
        </w:rPr>
        <w:t>ordinary shares, par value of US$0.0002 per share, of LakeShore Biopharma Co., Ltd (the “</w:t>
      </w:r>
      <w:r>
        <w:rPr>
          <w:b/>
          <w:bCs/>
          <w:i/>
          <w:iCs/>
          <w:sz w:val="20"/>
          <w:szCs w:val="20"/>
        </w:rPr>
        <w:t>Company</w:t>
      </w:r>
      <w:r>
        <w:rPr>
          <w:sz w:val="20"/>
          <w:szCs w:val="20"/>
        </w:rPr>
        <w:t>”) hereby appoint the Chairperson of the Extraordinary General Meetin</w:t>
      </w:r>
      <w:r>
        <w:rPr>
          <w:sz w:val="20"/>
          <w:szCs w:val="20"/>
        </w:rPr>
        <w:t>g</w:t>
      </w:r>
      <w:r>
        <w:rPr>
          <w:sz w:val="20"/>
          <w:szCs w:val="20"/>
          <w:vertAlign w:val="superscript"/>
        </w:rPr>
        <w:t> (</w:t>
      </w:r>
      <w:r>
        <w:rPr>
          <w:i/>
          <w:iCs/>
          <w:sz w:val="20"/>
          <w:szCs w:val="20"/>
          <w:vertAlign w:val="superscript"/>
        </w:rPr>
        <w:t>Note 1</w:t>
      </w:r>
      <w:r>
        <w:rPr>
          <w:b/>
          <w:bCs/>
          <w:i/>
          <w:iCs/>
          <w:sz w:val="20"/>
          <w:szCs w:val="20"/>
          <w:vertAlign w:val="superscript"/>
        </w:rPr>
        <w:t>)</w:t>
      </w:r>
      <w:r>
        <w:rPr>
          <w:sz w:val="20"/>
          <w:szCs w:val="20"/>
        </w:rPr>
        <w:t xml:space="preserve"> or </w:t>
      </w:r>
      <w:r>
        <w:rPr>
          <w:sz w:val="20"/>
          <w:szCs w:val="20"/>
          <w:u w:val="single"/>
        </w:rPr>
        <w:t>            </w:t>
      </w:r>
      <w:r>
        <w:rPr>
          <w:sz w:val="20"/>
          <w:szCs w:val="20"/>
        </w:rPr>
        <w:t xml:space="preserve"> of </w:t>
      </w:r>
      <w:r>
        <w:rPr>
          <w:sz w:val="20"/>
          <w:szCs w:val="20"/>
          <w:u w:val="single"/>
        </w:rPr>
        <w:t>    </w:t>
      </w:r>
      <w:r>
        <w:rPr>
          <w:sz w:val="20"/>
          <w:szCs w:val="20"/>
        </w:rPr>
        <w:t xml:space="preserve"> as my/our proxy to attend and act for me/us at the Extraordinary General Meeting (the “</w:t>
      </w:r>
      <w:r>
        <w:rPr>
          <w:b/>
          <w:bCs/>
          <w:i/>
          <w:iCs/>
          <w:sz w:val="20"/>
          <w:szCs w:val="20"/>
        </w:rPr>
        <w:t>EGM</w:t>
      </w:r>
      <w:r>
        <w:rPr>
          <w:sz w:val="20"/>
          <w:szCs w:val="20"/>
        </w:rPr>
        <w:t xml:space="preserve">”) (or at any adjournment(s) or postponement(s) thereof), and in the event of a poll voting, to vote for me/us as indicated below, </w:t>
      </w:r>
      <w:r>
        <w:rPr>
          <w:sz w:val="20"/>
          <w:szCs w:val="20"/>
        </w:rPr>
        <w:t>or if no such indication is given, as my/our proxy thinks fit.</w:t>
      </w:r>
    </w:p>
    <w:p w14:paraId="46F1C948"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5416"/>
        <w:gridCol w:w="1307"/>
        <w:gridCol w:w="1309"/>
        <w:gridCol w:w="1308"/>
      </w:tblGrid>
      <w:tr w:rsidR="00000000" w14:paraId="7A1FCBEF" w14:textId="77777777">
        <w:trPr>
          <w:divId w:val="415980837"/>
        </w:trPr>
        <w:tc>
          <w:tcPr>
            <w:tcW w:w="2900" w:type="pct"/>
            <w:tcBorders>
              <w:top w:val="single" w:sz="8" w:space="0" w:color="000000"/>
              <w:left w:val="single" w:sz="8" w:space="0" w:color="000000"/>
              <w:bottom w:val="single" w:sz="8" w:space="0" w:color="000000"/>
              <w:right w:val="single" w:sz="8" w:space="0" w:color="000000"/>
            </w:tcBorders>
            <w:tcMar>
              <w:top w:w="240" w:type="dxa"/>
              <w:left w:w="72" w:type="dxa"/>
              <w:bottom w:w="0" w:type="dxa"/>
              <w:right w:w="0" w:type="dxa"/>
            </w:tcMar>
            <w:hideMark/>
          </w:tcPr>
          <w:p w14:paraId="44C3B01D" w14:textId="77777777" w:rsidR="00000000" w:rsidRDefault="002F725F">
            <w:pPr>
              <w:rPr>
                <w:rFonts w:eastAsia="Times New Roman"/>
                <w:sz w:val="20"/>
                <w:szCs w:val="20"/>
              </w:rPr>
            </w:pPr>
            <w:r>
              <w:rPr>
                <w:rFonts w:eastAsia="Times New Roman"/>
                <w:sz w:val="20"/>
                <w:szCs w:val="20"/>
              </w:rPr>
              <w:t> </w:t>
            </w:r>
          </w:p>
        </w:tc>
        <w:tc>
          <w:tcPr>
            <w:tcW w:w="700" w:type="pct"/>
            <w:tcBorders>
              <w:top w:val="single" w:sz="8" w:space="0" w:color="000000"/>
              <w:bottom w:val="single" w:sz="8" w:space="0" w:color="000000"/>
              <w:right w:val="single" w:sz="8" w:space="0" w:color="000000"/>
            </w:tcBorders>
            <w:tcMar>
              <w:top w:w="240" w:type="dxa"/>
              <w:left w:w="108" w:type="dxa"/>
              <w:bottom w:w="0" w:type="dxa"/>
              <w:right w:w="0" w:type="dxa"/>
            </w:tcMar>
            <w:hideMark/>
          </w:tcPr>
          <w:p w14:paraId="22482406" w14:textId="77777777" w:rsidR="00000000" w:rsidRDefault="002F725F">
            <w:pPr>
              <w:jc w:val="center"/>
              <w:rPr>
                <w:rFonts w:eastAsia="Times New Roman"/>
                <w:sz w:val="20"/>
                <w:szCs w:val="20"/>
              </w:rPr>
            </w:pPr>
            <w:r>
              <w:rPr>
                <w:rFonts w:eastAsia="Times New Roman"/>
                <w:b/>
                <w:bCs/>
                <w:sz w:val="20"/>
                <w:szCs w:val="20"/>
              </w:rPr>
              <w:t>FOR</w:t>
            </w:r>
            <w:r>
              <w:rPr>
                <w:rFonts w:eastAsia="Times New Roman"/>
                <w:i/>
                <w:iCs/>
                <w:sz w:val="20"/>
                <w:szCs w:val="20"/>
                <w:vertAlign w:val="superscript"/>
              </w:rPr>
              <w:t>(Note 2)</w:t>
            </w:r>
          </w:p>
        </w:tc>
        <w:tc>
          <w:tcPr>
            <w:tcW w:w="700" w:type="pct"/>
            <w:tcBorders>
              <w:top w:val="single" w:sz="8" w:space="0" w:color="000000"/>
              <w:bottom w:val="single" w:sz="8" w:space="0" w:color="000000"/>
              <w:right w:val="single" w:sz="8" w:space="0" w:color="000000"/>
            </w:tcBorders>
            <w:tcMar>
              <w:top w:w="240" w:type="dxa"/>
              <w:left w:w="108" w:type="dxa"/>
              <w:bottom w:w="0" w:type="dxa"/>
              <w:right w:w="0" w:type="dxa"/>
            </w:tcMar>
            <w:hideMark/>
          </w:tcPr>
          <w:p w14:paraId="449ACBB4" w14:textId="77777777" w:rsidR="00000000" w:rsidRDefault="002F725F">
            <w:pPr>
              <w:jc w:val="center"/>
              <w:rPr>
                <w:rFonts w:eastAsia="Times New Roman"/>
                <w:sz w:val="20"/>
                <w:szCs w:val="20"/>
              </w:rPr>
            </w:pPr>
            <w:r>
              <w:rPr>
                <w:rFonts w:eastAsia="Times New Roman"/>
                <w:b/>
                <w:bCs/>
                <w:sz w:val="20"/>
                <w:szCs w:val="20"/>
              </w:rPr>
              <w:t>AGAINST</w:t>
            </w:r>
            <w:r>
              <w:rPr>
                <w:rFonts w:eastAsia="Times New Roman"/>
                <w:i/>
                <w:iCs/>
                <w:sz w:val="20"/>
                <w:szCs w:val="20"/>
                <w:vertAlign w:val="superscript"/>
              </w:rPr>
              <w:t>(Note 2)</w:t>
            </w:r>
          </w:p>
        </w:tc>
        <w:tc>
          <w:tcPr>
            <w:tcW w:w="700" w:type="pct"/>
            <w:tcBorders>
              <w:top w:val="single" w:sz="8" w:space="0" w:color="000000"/>
              <w:bottom w:val="single" w:sz="8" w:space="0" w:color="000000"/>
              <w:right w:val="single" w:sz="8" w:space="0" w:color="000000"/>
            </w:tcBorders>
            <w:tcMar>
              <w:top w:w="240" w:type="dxa"/>
              <w:left w:w="108" w:type="dxa"/>
              <w:bottom w:w="0" w:type="dxa"/>
              <w:right w:w="0" w:type="dxa"/>
            </w:tcMar>
            <w:hideMark/>
          </w:tcPr>
          <w:p w14:paraId="018583D9" w14:textId="77777777" w:rsidR="00000000" w:rsidRDefault="002F725F">
            <w:pPr>
              <w:jc w:val="center"/>
              <w:rPr>
                <w:rFonts w:eastAsia="Times New Roman"/>
                <w:sz w:val="20"/>
                <w:szCs w:val="20"/>
              </w:rPr>
            </w:pPr>
            <w:r>
              <w:rPr>
                <w:rFonts w:eastAsia="Times New Roman"/>
                <w:b/>
                <w:bCs/>
                <w:sz w:val="20"/>
                <w:szCs w:val="20"/>
              </w:rPr>
              <w:t>ABSTAIN</w:t>
            </w:r>
            <w:r>
              <w:rPr>
                <w:rFonts w:eastAsia="Times New Roman"/>
                <w:i/>
                <w:iCs/>
                <w:sz w:val="20"/>
                <w:szCs w:val="20"/>
                <w:vertAlign w:val="superscript"/>
              </w:rPr>
              <w:t>(Note 2)</w:t>
            </w:r>
          </w:p>
        </w:tc>
      </w:tr>
      <w:tr w:rsidR="00000000" w14:paraId="73A9C04B" w14:textId="77777777">
        <w:trPr>
          <w:divId w:val="415980837"/>
        </w:trPr>
        <w:tc>
          <w:tcPr>
            <w:tcW w:w="0" w:type="auto"/>
            <w:tcBorders>
              <w:left w:val="single" w:sz="8" w:space="0" w:color="000000"/>
              <w:bottom w:val="single" w:sz="8" w:space="0" w:color="000000"/>
              <w:right w:val="single" w:sz="8" w:space="0" w:color="000000"/>
            </w:tcBorders>
            <w:tcMar>
              <w:top w:w="0" w:type="dxa"/>
              <w:left w:w="108" w:type="dxa"/>
              <w:bottom w:w="0" w:type="dxa"/>
              <w:right w:w="108" w:type="dxa"/>
            </w:tcMar>
            <w:hideMark/>
          </w:tcPr>
          <w:p w14:paraId="30DF8131" w14:textId="77777777" w:rsidR="00000000" w:rsidRDefault="002F725F">
            <w:pPr>
              <w:pStyle w:val="NormalWeb"/>
              <w:spacing w:before="0" w:beforeAutospacing="0" w:after="0" w:afterAutospacing="0"/>
              <w:ind w:left="72"/>
              <w:rPr>
                <w:sz w:val="20"/>
                <w:szCs w:val="20"/>
              </w:rPr>
            </w:pPr>
            <w:r>
              <w:rPr>
                <w:b/>
                <w:bCs/>
                <w:sz w:val="20"/>
                <w:szCs w:val="20"/>
              </w:rPr>
              <w:t xml:space="preserve">AS A SPECIAL RESOLUTION, </w:t>
            </w:r>
          </w:p>
          <w:p w14:paraId="096C1370" w14:textId="77777777" w:rsidR="00000000" w:rsidRDefault="002F725F">
            <w:pPr>
              <w:pStyle w:val="NormalWeb"/>
              <w:spacing w:before="0" w:beforeAutospacing="0" w:after="0" w:afterAutospacing="0"/>
              <w:ind w:left="72"/>
              <w:rPr>
                <w:sz w:val="20"/>
                <w:szCs w:val="20"/>
              </w:rPr>
            </w:pPr>
            <w:r>
              <w:rPr>
                <w:sz w:val="20"/>
                <w:szCs w:val="20"/>
              </w:rPr>
              <w:t> </w:t>
            </w:r>
          </w:p>
          <w:p w14:paraId="123272FA" w14:textId="77777777" w:rsidR="00000000" w:rsidRDefault="002F725F">
            <w:pPr>
              <w:pStyle w:val="NormalWeb"/>
              <w:spacing w:before="0" w:beforeAutospacing="0" w:after="0" w:afterAutospacing="0"/>
              <w:ind w:left="72"/>
              <w:rPr>
                <w:sz w:val="20"/>
                <w:szCs w:val="20"/>
              </w:rPr>
            </w:pPr>
            <w:r>
              <w:rPr>
                <w:sz w:val="20"/>
                <w:szCs w:val="20"/>
              </w:rPr>
              <w:t>that the Agreement and Plan of Merger, dated as of November 4, 2025, as amended by Amendment No. 1 to Agreement and Plan of Merger, dated as of April 29, 2026 (as may be further amended from time to time, the “</w:t>
            </w:r>
            <w:r>
              <w:rPr>
                <w:b/>
                <w:bCs/>
                <w:i/>
                <w:iCs/>
                <w:sz w:val="20"/>
                <w:szCs w:val="20"/>
              </w:rPr>
              <w:t>Merger Agreement</w:t>
            </w:r>
            <w:r>
              <w:rPr>
                <w:sz w:val="20"/>
                <w:szCs w:val="20"/>
              </w:rPr>
              <w:t>”), among the Company, Oceanpi</w:t>
            </w:r>
            <w:r>
              <w:rPr>
                <w:sz w:val="20"/>
                <w:szCs w:val="20"/>
              </w:rPr>
              <w:t>ne Skyline Inc., an exempted company with limited liability incorporated under the laws of the Cayman Islands (“</w:t>
            </w:r>
            <w:r>
              <w:rPr>
                <w:b/>
                <w:bCs/>
                <w:i/>
                <w:iCs/>
                <w:sz w:val="20"/>
                <w:szCs w:val="20"/>
              </w:rPr>
              <w:t>Parent</w:t>
            </w:r>
            <w:r>
              <w:rPr>
                <w:sz w:val="20"/>
                <w:szCs w:val="20"/>
              </w:rPr>
              <w:t>”), and Oceanpine Merger Sub Inc., an exempted company with limited liability incorporated under the laws of the Cayman Islands and a whol</w:t>
            </w:r>
            <w:r>
              <w:rPr>
                <w:sz w:val="20"/>
                <w:szCs w:val="20"/>
              </w:rPr>
              <w:t>ly owned subsidiary of Parent (“</w:t>
            </w:r>
            <w:r>
              <w:rPr>
                <w:b/>
                <w:bCs/>
                <w:i/>
                <w:iCs/>
                <w:sz w:val="20"/>
                <w:szCs w:val="20"/>
              </w:rPr>
              <w:t>Merger Sub</w:t>
            </w:r>
            <w:r>
              <w:rPr>
                <w:sz w:val="20"/>
                <w:szCs w:val="20"/>
              </w:rPr>
              <w:t>”), pursuant to which Merger Sub will be merged with and into the Company (the “</w:t>
            </w:r>
            <w:r>
              <w:rPr>
                <w:b/>
                <w:bCs/>
                <w:i/>
                <w:iCs/>
                <w:sz w:val="20"/>
                <w:szCs w:val="20"/>
              </w:rPr>
              <w:t>Merger</w:t>
            </w:r>
            <w:r>
              <w:rPr>
                <w:sz w:val="20"/>
                <w:szCs w:val="20"/>
              </w:rPr>
              <w:t>”), with the Company continuing as the surviving company and becoming a wholly owned subsidiary of Parent (such Merger Agreement</w:t>
            </w:r>
            <w:r>
              <w:rPr>
                <w:sz w:val="20"/>
                <w:szCs w:val="20"/>
              </w:rPr>
              <w:t xml:space="preserve"> being in the form attached as Annex A to the proxy statement accompanying this notice of extraordinary general meeting and which will be produced and made available for inspection at the extraordinary general meeting), the plan of merger required to be ex</w:t>
            </w:r>
            <w:r>
              <w:rPr>
                <w:sz w:val="20"/>
                <w:szCs w:val="20"/>
              </w:rPr>
              <w:t>ecuted and filed with the Registrar of Companies of the Cayman Islands in connection with the Merger (the “</w:t>
            </w:r>
            <w:r>
              <w:rPr>
                <w:b/>
                <w:bCs/>
                <w:i/>
                <w:iCs/>
                <w:sz w:val="20"/>
                <w:szCs w:val="20"/>
              </w:rPr>
              <w:t>Plan of Merger</w:t>
            </w:r>
            <w:r>
              <w:rPr>
                <w:sz w:val="20"/>
                <w:szCs w:val="20"/>
              </w:rPr>
              <w:t>”) (such Plan of Merger being substantially in the form attached as Annex B to the proxy statement accompanying this notice of extraord</w:t>
            </w:r>
            <w:r>
              <w:rPr>
                <w:sz w:val="20"/>
                <w:szCs w:val="20"/>
              </w:rPr>
              <w:t>inary general meeting and which will be produced and made available for inspection at the extraordinary general meeting), and the consummation of the transactions contemplated by the Merger Agreement and the Plan of Merger (collectively, the “</w:t>
            </w:r>
            <w:r>
              <w:rPr>
                <w:b/>
                <w:bCs/>
                <w:i/>
                <w:iCs/>
                <w:sz w:val="20"/>
                <w:szCs w:val="20"/>
              </w:rPr>
              <w:t>Transactions</w:t>
            </w:r>
            <w:r>
              <w:rPr>
                <w:sz w:val="20"/>
                <w:szCs w:val="20"/>
              </w:rPr>
              <w:t>”</w:t>
            </w:r>
            <w:r>
              <w:rPr>
                <w:sz w:val="20"/>
                <w:szCs w:val="20"/>
              </w:rPr>
              <w:t>) including (i) the Merger; (ii) the variation of the authorized share capital of the Company from US$50,000 divided into 250,000,000 ordinary shares of a par value of US$0.0002 each to US$50,000 divided into 500,000,000 ordinary shares of a par value of U</w:t>
            </w:r>
            <w:r>
              <w:rPr>
                <w:sz w:val="20"/>
                <w:szCs w:val="20"/>
              </w:rPr>
              <w:t>S$0.0001 each, at the effective time of the Merger (the “</w:t>
            </w:r>
            <w:r>
              <w:rPr>
                <w:b/>
                <w:bCs/>
                <w:i/>
                <w:iCs/>
                <w:sz w:val="20"/>
                <w:szCs w:val="20"/>
              </w:rPr>
              <w:t>Effective Time</w:t>
            </w:r>
            <w:r>
              <w:rPr>
                <w:sz w:val="20"/>
                <w:szCs w:val="20"/>
              </w:rPr>
              <w:t>”) (the “</w:t>
            </w:r>
            <w:r>
              <w:rPr>
                <w:b/>
                <w:bCs/>
                <w:i/>
                <w:iCs/>
                <w:sz w:val="20"/>
                <w:szCs w:val="20"/>
              </w:rPr>
              <w:t>Variation of Share Capital</w:t>
            </w:r>
            <w:r>
              <w:rPr>
                <w:sz w:val="20"/>
                <w:szCs w:val="20"/>
              </w:rPr>
              <w:t xml:space="preserve">”); and (iii) the amendment and restatement of the existing memorandum and articles of </w:t>
            </w:r>
            <w:r>
              <w:rPr>
                <w:sz w:val="20"/>
                <w:szCs w:val="20"/>
              </w:rPr>
              <w:lastRenderedPageBreak/>
              <w:t xml:space="preserve">association of the Company by their deletion in their entirety </w:t>
            </w:r>
            <w:r>
              <w:rPr>
                <w:sz w:val="20"/>
                <w:szCs w:val="20"/>
              </w:rPr>
              <w:t>and the substitution in their place of the new memorandum and articles of association at the Effective Time, in the form attached as Annex 2 to the Plan of Merger (the “</w:t>
            </w:r>
            <w:r>
              <w:rPr>
                <w:b/>
                <w:bCs/>
                <w:i/>
                <w:iCs/>
                <w:sz w:val="20"/>
                <w:szCs w:val="20"/>
              </w:rPr>
              <w:t>Adoption of Amended M&amp;A</w:t>
            </w:r>
            <w:r>
              <w:rPr>
                <w:sz w:val="20"/>
                <w:szCs w:val="20"/>
              </w:rPr>
              <w:t>”), be approved and authorized by the Company.</w:t>
            </w:r>
          </w:p>
          <w:p w14:paraId="347198A5" w14:textId="77777777" w:rsidR="00000000" w:rsidRDefault="002F725F">
            <w:pPr>
              <w:pStyle w:val="NormalWeb"/>
              <w:spacing w:before="0" w:beforeAutospacing="0" w:after="0" w:afterAutospacing="0"/>
              <w:ind w:left="72"/>
              <w:rPr>
                <w:sz w:val="20"/>
                <w:szCs w:val="20"/>
              </w:rPr>
            </w:pPr>
            <w:r>
              <w:rPr>
                <w:sz w:val="20"/>
                <w:szCs w:val="20"/>
              </w:rPr>
              <w:t>  </w:t>
            </w:r>
          </w:p>
        </w:tc>
        <w:tc>
          <w:tcPr>
            <w:tcW w:w="0" w:type="auto"/>
            <w:tcBorders>
              <w:bottom w:val="single" w:sz="8" w:space="0" w:color="000000"/>
              <w:right w:val="single" w:sz="8" w:space="0" w:color="000000"/>
            </w:tcBorders>
            <w:tcMar>
              <w:top w:w="0" w:type="dxa"/>
              <w:left w:w="72" w:type="dxa"/>
              <w:bottom w:w="0" w:type="dxa"/>
              <w:right w:w="108" w:type="dxa"/>
            </w:tcMar>
            <w:hideMark/>
          </w:tcPr>
          <w:p w14:paraId="04F9B1C9" w14:textId="77777777" w:rsidR="00000000" w:rsidRDefault="002F725F">
            <w:pPr>
              <w:rPr>
                <w:rFonts w:eastAsia="Times New Roman"/>
                <w:sz w:val="20"/>
                <w:szCs w:val="20"/>
              </w:rPr>
            </w:pPr>
            <w:r>
              <w:rPr>
                <w:rFonts w:eastAsia="Times New Roman"/>
                <w:sz w:val="20"/>
                <w:szCs w:val="20"/>
              </w:rPr>
              <w:lastRenderedPageBreak/>
              <w:t> </w:t>
            </w:r>
          </w:p>
        </w:tc>
        <w:tc>
          <w:tcPr>
            <w:tcW w:w="0" w:type="auto"/>
            <w:tcBorders>
              <w:bottom w:val="single" w:sz="8" w:space="0" w:color="000000"/>
              <w:right w:val="single" w:sz="8" w:space="0" w:color="000000"/>
            </w:tcBorders>
            <w:tcMar>
              <w:top w:w="0" w:type="dxa"/>
              <w:left w:w="72" w:type="dxa"/>
              <w:bottom w:w="0" w:type="dxa"/>
              <w:right w:w="108" w:type="dxa"/>
            </w:tcMar>
            <w:hideMark/>
          </w:tcPr>
          <w:p w14:paraId="7A261633"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8" w:space="0" w:color="000000"/>
              <w:right w:val="single" w:sz="8" w:space="0" w:color="000000"/>
            </w:tcBorders>
            <w:tcMar>
              <w:top w:w="0" w:type="dxa"/>
              <w:left w:w="72" w:type="dxa"/>
              <w:bottom w:w="0" w:type="dxa"/>
              <w:right w:w="108" w:type="dxa"/>
            </w:tcMar>
            <w:hideMark/>
          </w:tcPr>
          <w:p w14:paraId="222EACD9" w14:textId="77777777" w:rsidR="00000000" w:rsidRDefault="002F725F">
            <w:pPr>
              <w:rPr>
                <w:rFonts w:eastAsia="Times New Roman"/>
                <w:sz w:val="20"/>
                <w:szCs w:val="20"/>
              </w:rPr>
            </w:pPr>
            <w:r>
              <w:rPr>
                <w:rFonts w:eastAsia="Times New Roman"/>
                <w:sz w:val="20"/>
                <w:szCs w:val="20"/>
              </w:rPr>
              <w:t> </w:t>
            </w:r>
          </w:p>
        </w:tc>
      </w:tr>
    </w:tbl>
    <w:p w14:paraId="5242F7AE" w14:textId="77777777" w:rsidR="00000000" w:rsidRDefault="002F725F">
      <w:pPr>
        <w:pStyle w:val="NormalWeb"/>
        <w:spacing w:before="0" w:beforeAutospacing="0" w:after="0" w:afterAutospacing="0"/>
        <w:divId w:val="415980837"/>
        <w:rPr>
          <w:sz w:val="20"/>
          <w:szCs w:val="20"/>
        </w:rPr>
      </w:pPr>
      <w:r>
        <w:rPr>
          <w:sz w:val="20"/>
          <w:szCs w:val="20"/>
        </w:rPr>
        <w:t> </w:t>
      </w:r>
    </w:p>
    <w:p w14:paraId="6E24A08E" w14:textId="77777777" w:rsidR="00000000" w:rsidRDefault="002F725F">
      <w:pPr>
        <w:pStyle w:val="NormalWeb"/>
        <w:spacing w:before="0" w:beforeAutospacing="0" w:after="0" w:afterAutospacing="0"/>
        <w:jc w:val="center"/>
        <w:divId w:val="2076539108"/>
        <w:rPr>
          <w:sz w:val="20"/>
          <w:szCs w:val="20"/>
        </w:rPr>
      </w:pPr>
      <w:r>
        <w:rPr>
          <w:sz w:val="20"/>
          <w:szCs w:val="20"/>
        </w:rPr>
        <w:t>F</w:t>
      </w:r>
      <w:r>
        <w:rPr>
          <w:sz w:val="20"/>
          <w:szCs w:val="20"/>
        </w:rPr>
        <w:t>-</w:t>
      </w:r>
      <w:r>
        <w:rPr>
          <w:sz w:val="20"/>
          <w:szCs w:val="20"/>
        </w:rPr>
        <w:t>1</w:t>
      </w:r>
    </w:p>
    <w:p w14:paraId="0E305955"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5416"/>
        <w:gridCol w:w="1308"/>
        <w:gridCol w:w="1308"/>
        <w:gridCol w:w="1308"/>
      </w:tblGrid>
      <w:tr w:rsidR="00000000" w14:paraId="0CCBF284" w14:textId="77777777">
        <w:trPr>
          <w:divId w:val="415980837"/>
        </w:trPr>
        <w:tc>
          <w:tcPr>
            <w:tcW w:w="2900"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FDFBB29" w14:textId="77777777" w:rsidR="00000000" w:rsidRDefault="002F725F">
            <w:pPr>
              <w:pStyle w:val="NormalWeb"/>
              <w:spacing w:before="0" w:beforeAutospacing="0" w:after="0" w:afterAutospacing="0"/>
              <w:ind w:left="72"/>
              <w:rPr>
                <w:sz w:val="20"/>
                <w:szCs w:val="20"/>
              </w:rPr>
            </w:pPr>
            <w:r>
              <w:rPr>
                <w:b/>
                <w:bCs/>
                <w:sz w:val="20"/>
                <w:szCs w:val="20"/>
              </w:rPr>
              <w:t xml:space="preserve">AS A SPECIAL RESOLUTION, </w:t>
            </w:r>
          </w:p>
          <w:p w14:paraId="751C1751" w14:textId="77777777" w:rsidR="00000000" w:rsidRDefault="002F725F">
            <w:pPr>
              <w:pStyle w:val="NormalWeb"/>
              <w:spacing w:before="0" w:beforeAutospacing="0" w:after="0" w:afterAutospacing="0"/>
              <w:ind w:left="72"/>
              <w:rPr>
                <w:sz w:val="20"/>
                <w:szCs w:val="20"/>
              </w:rPr>
            </w:pPr>
            <w:r>
              <w:rPr>
                <w:sz w:val="20"/>
                <w:szCs w:val="20"/>
              </w:rPr>
              <w:t> </w:t>
            </w:r>
          </w:p>
          <w:p w14:paraId="51B76F58" w14:textId="77777777" w:rsidR="00000000" w:rsidRDefault="002F725F">
            <w:pPr>
              <w:pStyle w:val="NormalWeb"/>
              <w:spacing w:before="0" w:beforeAutospacing="0" w:after="0" w:afterAutospacing="0"/>
              <w:ind w:left="72"/>
              <w:rPr>
                <w:sz w:val="20"/>
                <w:szCs w:val="20"/>
              </w:rPr>
            </w:pPr>
            <w:r>
              <w:rPr>
                <w:sz w:val="20"/>
                <w:szCs w:val="20"/>
              </w:rPr>
              <w:t>that each member of a special committee of the board of directors of the Company (the “</w:t>
            </w:r>
            <w:r>
              <w:rPr>
                <w:b/>
                <w:bCs/>
                <w:i/>
                <w:iCs/>
                <w:sz w:val="20"/>
                <w:szCs w:val="20"/>
              </w:rPr>
              <w:t>Board</w:t>
            </w:r>
            <w:r>
              <w:rPr>
                <w:sz w:val="20"/>
                <w:szCs w:val="20"/>
              </w:rPr>
              <w:t>”), composed solely of independent and disinterested directors of the Company (the “</w:t>
            </w:r>
            <w:r>
              <w:rPr>
                <w:b/>
                <w:bCs/>
                <w:i/>
                <w:iCs/>
                <w:sz w:val="20"/>
                <w:szCs w:val="20"/>
              </w:rPr>
              <w:t>Special Committee</w:t>
            </w:r>
            <w:r>
              <w:rPr>
                <w:sz w:val="20"/>
                <w:szCs w:val="20"/>
              </w:rPr>
              <w:t>”) be authorized to do all things</w:t>
            </w:r>
            <w:r>
              <w:rPr>
                <w:sz w:val="20"/>
                <w:szCs w:val="20"/>
              </w:rPr>
              <w:t xml:space="preserve"> necessary to give effect to the Merger Agreement, the Plan of Merger and the consummation of the Transactions, including the Merger, the Variation of Share Capital, and the Adoption of Amended M&amp;A.</w:t>
            </w:r>
          </w:p>
          <w:p w14:paraId="0537529F" w14:textId="77777777" w:rsidR="00000000" w:rsidRDefault="002F725F">
            <w:pPr>
              <w:pStyle w:val="NormalWeb"/>
              <w:spacing w:before="0" w:beforeAutospacing="0" w:after="0" w:afterAutospacing="0"/>
              <w:ind w:left="72"/>
              <w:rPr>
                <w:sz w:val="20"/>
                <w:szCs w:val="20"/>
              </w:rPr>
            </w:pPr>
            <w:r>
              <w:rPr>
                <w:sz w:val="20"/>
                <w:szCs w:val="20"/>
              </w:rPr>
              <w:t> </w:t>
            </w:r>
          </w:p>
        </w:tc>
        <w:tc>
          <w:tcPr>
            <w:tcW w:w="700" w:type="pct"/>
            <w:tcBorders>
              <w:top w:val="single" w:sz="8" w:space="0" w:color="000000"/>
              <w:bottom w:val="single" w:sz="8" w:space="0" w:color="000000"/>
              <w:right w:val="single" w:sz="8" w:space="0" w:color="000000"/>
            </w:tcBorders>
            <w:tcMar>
              <w:top w:w="0" w:type="dxa"/>
              <w:left w:w="72" w:type="dxa"/>
              <w:bottom w:w="0" w:type="dxa"/>
              <w:right w:w="108" w:type="dxa"/>
            </w:tcMar>
            <w:hideMark/>
          </w:tcPr>
          <w:p w14:paraId="36695476" w14:textId="77777777" w:rsidR="00000000" w:rsidRDefault="002F725F">
            <w:pPr>
              <w:rPr>
                <w:rFonts w:eastAsia="Times New Roman"/>
                <w:sz w:val="20"/>
                <w:szCs w:val="20"/>
              </w:rPr>
            </w:pPr>
            <w:r>
              <w:rPr>
                <w:rFonts w:eastAsia="Times New Roman"/>
                <w:sz w:val="20"/>
                <w:szCs w:val="20"/>
              </w:rPr>
              <w:t> </w:t>
            </w:r>
          </w:p>
        </w:tc>
        <w:tc>
          <w:tcPr>
            <w:tcW w:w="700" w:type="pct"/>
            <w:tcBorders>
              <w:top w:val="single" w:sz="8" w:space="0" w:color="000000"/>
              <w:bottom w:val="single" w:sz="8" w:space="0" w:color="000000"/>
              <w:right w:val="single" w:sz="8" w:space="0" w:color="000000"/>
            </w:tcBorders>
            <w:tcMar>
              <w:top w:w="0" w:type="dxa"/>
              <w:left w:w="72" w:type="dxa"/>
              <w:bottom w:w="0" w:type="dxa"/>
              <w:right w:w="108" w:type="dxa"/>
            </w:tcMar>
            <w:hideMark/>
          </w:tcPr>
          <w:p w14:paraId="01D9FD46" w14:textId="77777777" w:rsidR="00000000" w:rsidRDefault="002F725F">
            <w:pPr>
              <w:rPr>
                <w:rFonts w:eastAsia="Times New Roman"/>
                <w:sz w:val="20"/>
                <w:szCs w:val="20"/>
              </w:rPr>
            </w:pPr>
            <w:r>
              <w:rPr>
                <w:rFonts w:eastAsia="Times New Roman"/>
                <w:sz w:val="20"/>
                <w:szCs w:val="20"/>
              </w:rPr>
              <w:t> </w:t>
            </w:r>
          </w:p>
        </w:tc>
        <w:tc>
          <w:tcPr>
            <w:tcW w:w="700" w:type="pct"/>
            <w:tcBorders>
              <w:top w:val="single" w:sz="8" w:space="0" w:color="000000"/>
              <w:bottom w:val="single" w:sz="8" w:space="0" w:color="000000"/>
              <w:right w:val="single" w:sz="8" w:space="0" w:color="000000"/>
            </w:tcBorders>
            <w:tcMar>
              <w:top w:w="0" w:type="dxa"/>
              <w:left w:w="72" w:type="dxa"/>
              <w:bottom w:w="0" w:type="dxa"/>
              <w:right w:w="108" w:type="dxa"/>
            </w:tcMar>
            <w:hideMark/>
          </w:tcPr>
          <w:p w14:paraId="22D62812" w14:textId="77777777" w:rsidR="00000000" w:rsidRDefault="002F725F">
            <w:pPr>
              <w:rPr>
                <w:rFonts w:eastAsia="Times New Roman"/>
                <w:sz w:val="20"/>
                <w:szCs w:val="20"/>
              </w:rPr>
            </w:pPr>
            <w:r>
              <w:rPr>
                <w:rFonts w:eastAsia="Times New Roman"/>
                <w:sz w:val="20"/>
                <w:szCs w:val="20"/>
              </w:rPr>
              <w:t> </w:t>
            </w:r>
          </w:p>
        </w:tc>
      </w:tr>
      <w:tr w:rsidR="00000000" w14:paraId="06B5E793" w14:textId="77777777">
        <w:trPr>
          <w:divId w:val="415980837"/>
        </w:trPr>
        <w:tc>
          <w:tcPr>
            <w:tcW w:w="0" w:type="auto"/>
            <w:tcBorders>
              <w:left w:val="single" w:sz="8" w:space="0" w:color="000000"/>
              <w:bottom w:val="single" w:sz="8" w:space="0" w:color="000000"/>
              <w:right w:val="single" w:sz="8" w:space="0" w:color="000000"/>
            </w:tcBorders>
            <w:tcMar>
              <w:top w:w="0" w:type="dxa"/>
              <w:left w:w="108" w:type="dxa"/>
              <w:bottom w:w="0" w:type="dxa"/>
              <w:right w:w="108" w:type="dxa"/>
            </w:tcMar>
            <w:hideMark/>
          </w:tcPr>
          <w:p w14:paraId="0723705F" w14:textId="77777777" w:rsidR="00000000" w:rsidRDefault="002F725F">
            <w:pPr>
              <w:pStyle w:val="NormalWeb"/>
              <w:spacing w:before="0" w:beforeAutospacing="0" w:after="0" w:afterAutospacing="0"/>
              <w:ind w:left="72"/>
              <w:rPr>
                <w:sz w:val="20"/>
                <w:szCs w:val="20"/>
              </w:rPr>
            </w:pPr>
            <w:r>
              <w:rPr>
                <w:b/>
                <w:bCs/>
                <w:sz w:val="20"/>
                <w:szCs w:val="20"/>
              </w:rPr>
              <w:t xml:space="preserve">IF NECESSARY, AS AN ORDINARY RESOLUTION, </w:t>
            </w:r>
          </w:p>
          <w:p w14:paraId="759AABC0" w14:textId="77777777" w:rsidR="00000000" w:rsidRDefault="002F725F">
            <w:pPr>
              <w:pStyle w:val="NormalWeb"/>
              <w:spacing w:before="0" w:beforeAutospacing="0" w:after="0" w:afterAutospacing="0"/>
              <w:ind w:left="72"/>
              <w:rPr>
                <w:sz w:val="20"/>
                <w:szCs w:val="20"/>
              </w:rPr>
            </w:pPr>
            <w:r>
              <w:rPr>
                <w:sz w:val="20"/>
                <w:szCs w:val="20"/>
              </w:rPr>
              <w:t> </w:t>
            </w:r>
          </w:p>
          <w:p w14:paraId="49BBCA47" w14:textId="77777777" w:rsidR="00000000" w:rsidRDefault="002F725F">
            <w:pPr>
              <w:pStyle w:val="NormalWeb"/>
              <w:spacing w:before="0" w:beforeAutospacing="0" w:after="0" w:afterAutospacing="0"/>
              <w:ind w:left="72"/>
              <w:rPr>
                <w:sz w:val="20"/>
                <w:szCs w:val="20"/>
              </w:rPr>
            </w:pPr>
            <w:r>
              <w:rPr>
                <w:sz w:val="20"/>
                <w:szCs w:val="20"/>
              </w:rPr>
              <w:t>that</w:t>
            </w:r>
            <w:r>
              <w:rPr>
                <w:sz w:val="20"/>
                <w:szCs w:val="20"/>
              </w:rPr>
              <w:t xml:space="preserve"> the EGM be adjourned in order to allow the Company to solicit additional proxies in the event that there are insufficient proxies received at the time of the EGM to pass the special resolutions to be proposed at the extraordinary general meeting.</w:t>
            </w:r>
          </w:p>
          <w:p w14:paraId="444BE46D" w14:textId="77777777" w:rsidR="00000000" w:rsidRDefault="002F725F">
            <w:pPr>
              <w:pStyle w:val="NormalWeb"/>
              <w:spacing w:before="0" w:beforeAutospacing="0" w:after="0" w:afterAutospacing="0"/>
              <w:ind w:left="72"/>
              <w:rPr>
                <w:sz w:val="20"/>
                <w:szCs w:val="20"/>
              </w:rPr>
            </w:pPr>
            <w:r>
              <w:rPr>
                <w:sz w:val="20"/>
                <w:szCs w:val="20"/>
              </w:rPr>
              <w:t> </w:t>
            </w:r>
          </w:p>
        </w:tc>
        <w:tc>
          <w:tcPr>
            <w:tcW w:w="0" w:type="auto"/>
            <w:tcBorders>
              <w:bottom w:val="single" w:sz="8" w:space="0" w:color="000000"/>
              <w:right w:val="single" w:sz="8" w:space="0" w:color="000000"/>
            </w:tcBorders>
            <w:tcMar>
              <w:top w:w="0" w:type="dxa"/>
              <w:left w:w="72" w:type="dxa"/>
              <w:bottom w:w="0" w:type="dxa"/>
              <w:right w:w="108" w:type="dxa"/>
            </w:tcMar>
            <w:hideMark/>
          </w:tcPr>
          <w:p w14:paraId="2E87133F"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8" w:space="0" w:color="000000"/>
              <w:right w:val="single" w:sz="8" w:space="0" w:color="000000"/>
            </w:tcBorders>
            <w:tcMar>
              <w:top w:w="0" w:type="dxa"/>
              <w:left w:w="72" w:type="dxa"/>
              <w:bottom w:w="0" w:type="dxa"/>
              <w:right w:w="108" w:type="dxa"/>
            </w:tcMar>
            <w:hideMark/>
          </w:tcPr>
          <w:p w14:paraId="0EFA3613" w14:textId="77777777" w:rsidR="00000000" w:rsidRDefault="002F725F">
            <w:pPr>
              <w:rPr>
                <w:rFonts w:eastAsia="Times New Roman"/>
                <w:sz w:val="20"/>
                <w:szCs w:val="20"/>
              </w:rPr>
            </w:pPr>
            <w:r>
              <w:rPr>
                <w:rFonts w:eastAsia="Times New Roman"/>
                <w:sz w:val="20"/>
                <w:szCs w:val="20"/>
              </w:rPr>
              <w:t> </w:t>
            </w:r>
          </w:p>
        </w:tc>
        <w:tc>
          <w:tcPr>
            <w:tcW w:w="0" w:type="auto"/>
            <w:tcBorders>
              <w:bottom w:val="single" w:sz="8" w:space="0" w:color="000000"/>
              <w:right w:val="single" w:sz="8" w:space="0" w:color="000000"/>
            </w:tcBorders>
            <w:tcMar>
              <w:top w:w="0" w:type="dxa"/>
              <w:left w:w="72" w:type="dxa"/>
              <w:bottom w:w="0" w:type="dxa"/>
              <w:right w:w="108" w:type="dxa"/>
            </w:tcMar>
            <w:hideMark/>
          </w:tcPr>
          <w:p w14:paraId="2FF936BE" w14:textId="77777777" w:rsidR="00000000" w:rsidRDefault="002F725F">
            <w:pPr>
              <w:rPr>
                <w:rFonts w:eastAsia="Times New Roman"/>
                <w:sz w:val="20"/>
                <w:szCs w:val="20"/>
              </w:rPr>
            </w:pPr>
            <w:r>
              <w:rPr>
                <w:rFonts w:eastAsia="Times New Roman"/>
                <w:sz w:val="20"/>
                <w:szCs w:val="20"/>
              </w:rPr>
              <w:t> </w:t>
            </w:r>
          </w:p>
        </w:tc>
      </w:tr>
    </w:tbl>
    <w:p w14:paraId="0B81AFFF"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Mar>
          <w:left w:w="0" w:type="dxa"/>
          <w:right w:w="0" w:type="dxa"/>
        </w:tblCellMar>
        <w:tblLook w:val="04A0" w:firstRow="1" w:lastRow="0" w:firstColumn="1" w:lastColumn="0" w:noHBand="0" w:noVBand="1"/>
      </w:tblPr>
      <w:tblGrid>
        <w:gridCol w:w="4680"/>
        <w:gridCol w:w="4680"/>
      </w:tblGrid>
      <w:tr w:rsidR="00000000" w14:paraId="5AFE8C5E" w14:textId="77777777">
        <w:trPr>
          <w:divId w:val="415980837"/>
        </w:trPr>
        <w:tc>
          <w:tcPr>
            <w:tcW w:w="2500" w:type="pct"/>
            <w:hideMark/>
          </w:tcPr>
          <w:p w14:paraId="094988F4" w14:textId="77777777" w:rsidR="00000000" w:rsidRDefault="002F725F">
            <w:pPr>
              <w:rPr>
                <w:rFonts w:eastAsia="Times New Roman"/>
                <w:sz w:val="20"/>
                <w:szCs w:val="20"/>
              </w:rPr>
            </w:pPr>
            <w:r>
              <w:rPr>
                <w:rFonts w:eastAsia="Times New Roman"/>
                <w:sz w:val="20"/>
                <w:szCs w:val="20"/>
              </w:rPr>
              <w:t xml:space="preserve">Dated </w:t>
            </w:r>
            <w:r>
              <w:rPr>
                <w:rFonts w:eastAsia="Times New Roman"/>
                <w:sz w:val="20"/>
                <w:szCs w:val="20"/>
                <w:u w:val="single"/>
              </w:rPr>
              <w:t>                           </w:t>
            </w:r>
            <w:r>
              <w:rPr>
                <w:rFonts w:eastAsia="Times New Roman"/>
                <w:sz w:val="20"/>
                <w:szCs w:val="20"/>
              </w:rPr>
              <w:t>, 2026</w:t>
            </w:r>
          </w:p>
        </w:tc>
        <w:tc>
          <w:tcPr>
            <w:tcW w:w="2500" w:type="pct"/>
            <w:hideMark/>
          </w:tcPr>
          <w:p w14:paraId="6517BEC6" w14:textId="77777777" w:rsidR="00000000" w:rsidRDefault="002F725F">
            <w:pPr>
              <w:jc w:val="center"/>
              <w:rPr>
                <w:rFonts w:eastAsia="Times New Roman"/>
                <w:sz w:val="20"/>
                <w:szCs w:val="20"/>
              </w:rPr>
            </w:pPr>
            <w:r>
              <w:rPr>
                <w:rFonts w:eastAsia="Times New Roman"/>
                <w:sz w:val="20"/>
                <w:szCs w:val="20"/>
              </w:rPr>
              <w:t>Signature(s)</w:t>
            </w:r>
            <w:r>
              <w:rPr>
                <w:rFonts w:eastAsia="Times New Roman"/>
                <w:i/>
                <w:iCs/>
                <w:sz w:val="20"/>
                <w:szCs w:val="20"/>
                <w:vertAlign w:val="superscript"/>
              </w:rPr>
              <w:t>(Note 3)</w:t>
            </w:r>
            <w:r>
              <w:rPr>
                <w:rFonts w:eastAsia="Times New Roman"/>
                <w:i/>
                <w:iCs/>
                <w:sz w:val="20"/>
                <w:szCs w:val="20"/>
              </w:rPr>
              <w:t>______________</w:t>
            </w:r>
          </w:p>
        </w:tc>
      </w:tr>
    </w:tbl>
    <w:p w14:paraId="725BD533" w14:textId="77777777" w:rsidR="00000000" w:rsidRDefault="002F725F">
      <w:pPr>
        <w:pStyle w:val="NormalWeb"/>
        <w:spacing w:before="0" w:beforeAutospacing="0" w:after="0" w:afterAutospacing="0"/>
        <w:divId w:val="415980837"/>
        <w:rPr>
          <w:sz w:val="20"/>
          <w:szCs w:val="20"/>
        </w:rPr>
      </w:pPr>
      <w:r>
        <w:rPr>
          <w:sz w:val="20"/>
          <w:szCs w:val="20"/>
        </w:rPr>
        <w:t> </w:t>
      </w:r>
    </w:p>
    <w:p w14:paraId="480F0AAD" w14:textId="77777777" w:rsidR="00000000" w:rsidRDefault="002F725F">
      <w:pPr>
        <w:divId w:val="422799084"/>
        <w:rPr>
          <w:rFonts w:eastAsia="Times New Roman"/>
          <w:sz w:val="2"/>
          <w:szCs w:val="2"/>
        </w:rPr>
      </w:pPr>
      <w:r>
        <w:rPr>
          <w:rFonts w:eastAsia="Times New Roman"/>
          <w:sz w:val="2"/>
          <w:szCs w:val="2"/>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558A0FEC" w14:textId="77777777">
        <w:trPr>
          <w:divId w:val="415980837"/>
          <w:tblCellSpacing w:w="0" w:type="dxa"/>
        </w:trPr>
        <w:tc>
          <w:tcPr>
            <w:tcW w:w="6" w:type="dxa"/>
            <w:hideMark/>
          </w:tcPr>
          <w:p w14:paraId="04196026" w14:textId="77777777" w:rsidR="00000000" w:rsidRDefault="002F725F">
            <w:pPr>
              <w:rPr>
                <w:rFonts w:eastAsia="Times New Roman"/>
                <w:sz w:val="2"/>
                <w:szCs w:val="2"/>
              </w:rPr>
            </w:pPr>
          </w:p>
        </w:tc>
        <w:tc>
          <w:tcPr>
            <w:tcW w:w="360" w:type="dxa"/>
            <w:hideMark/>
          </w:tcPr>
          <w:p w14:paraId="5C8A485A" w14:textId="77777777" w:rsidR="00000000" w:rsidRDefault="002F725F">
            <w:pPr>
              <w:rPr>
                <w:rFonts w:eastAsia="Times New Roman"/>
                <w:sz w:val="20"/>
                <w:szCs w:val="20"/>
              </w:rPr>
            </w:pPr>
            <w:r>
              <w:rPr>
                <w:rFonts w:eastAsia="Times New Roman"/>
                <w:sz w:val="20"/>
                <w:szCs w:val="20"/>
              </w:rPr>
              <w:t xml:space="preserve">1 </w:t>
            </w:r>
          </w:p>
        </w:tc>
        <w:tc>
          <w:tcPr>
            <w:tcW w:w="0" w:type="auto"/>
            <w:hideMark/>
          </w:tcPr>
          <w:p w14:paraId="40068787" w14:textId="77777777" w:rsidR="00000000" w:rsidRDefault="002F725F">
            <w:pPr>
              <w:jc w:val="both"/>
              <w:rPr>
                <w:rFonts w:eastAsia="Times New Roman"/>
                <w:sz w:val="20"/>
                <w:szCs w:val="20"/>
              </w:rPr>
            </w:pPr>
            <w:r>
              <w:rPr>
                <w:rFonts w:eastAsia="Times New Roman"/>
                <w:sz w:val="20"/>
                <w:szCs w:val="20"/>
              </w:rPr>
              <w:t>If any proxy other than the Chairperson is preferred, strike out the words “</w:t>
            </w:r>
            <w:r>
              <w:rPr>
                <w:rFonts w:eastAsia="Times New Roman"/>
                <w:b/>
                <w:bCs/>
                <w:sz w:val="20"/>
                <w:szCs w:val="20"/>
              </w:rPr>
              <w:t>THE CHAIRPERSON OF THE EXTRAORDINARY GENERAL MEETING</w:t>
            </w:r>
            <w:r>
              <w:rPr>
                <w:rFonts w:eastAsia="Times New Roman"/>
                <w:sz w:val="20"/>
                <w:szCs w:val="20"/>
              </w:rPr>
              <w:t>” and insert the name and address of the</w:t>
            </w:r>
            <w:r>
              <w:rPr>
                <w:rFonts w:eastAsia="Times New Roman"/>
                <w:sz w:val="20"/>
                <w:szCs w:val="20"/>
              </w:rPr>
              <w:t xml:space="preserve"> proxy desired in the space provided. A member may appoint one or more proxies to attend and vote in his/her stead. </w:t>
            </w:r>
            <w:r>
              <w:rPr>
                <w:rFonts w:eastAsia="Times New Roman"/>
                <w:b/>
                <w:bCs/>
                <w:sz w:val="20"/>
                <w:szCs w:val="20"/>
              </w:rPr>
              <w:t>ANY ALTERATION MADE TO THIS PROXY FORM MUST BE INITIALED BY THE PERSON(S) WHO SIGN(S) IT.</w:t>
            </w:r>
          </w:p>
        </w:tc>
      </w:tr>
    </w:tbl>
    <w:p w14:paraId="2C91AE52"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6"/>
        <w:gridCol w:w="360"/>
        <w:gridCol w:w="8994"/>
      </w:tblGrid>
      <w:tr w:rsidR="00000000" w14:paraId="4E2EA608" w14:textId="77777777">
        <w:trPr>
          <w:divId w:val="415980837"/>
          <w:tblCellSpacing w:w="0" w:type="dxa"/>
        </w:trPr>
        <w:tc>
          <w:tcPr>
            <w:tcW w:w="6" w:type="dxa"/>
            <w:hideMark/>
          </w:tcPr>
          <w:p w14:paraId="6BD9549B" w14:textId="77777777" w:rsidR="00000000" w:rsidRDefault="002F725F">
            <w:pPr>
              <w:rPr>
                <w:sz w:val="20"/>
                <w:szCs w:val="20"/>
              </w:rPr>
            </w:pPr>
          </w:p>
        </w:tc>
        <w:tc>
          <w:tcPr>
            <w:tcW w:w="360" w:type="dxa"/>
            <w:hideMark/>
          </w:tcPr>
          <w:p w14:paraId="0B8FAFD4" w14:textId="77777777" w:rsidR="00000000" w:rsidRDefault="002F725F">
            <w:pPr>
              <w:rPr>
                <w:rFonts w:eastAsia="Times New Roman"/>
                <w:sz w:val="20"/>
                <w:szCs w:val="20"/>
              </w:rPr>
            </w:pPr>
            <w:r>
              <w:rPr>
                <w:rFonts w:eastAsia="Times New Roman"/>
                <w:sz w:val="20"/>
                <w:szCs w:val="20"/>
              </w:rPr>
              <w:t>2</w:t>
            </w:r>
          </w:p>
        </w:tc>
        <w:tc>
          <w:tcPr>
            <w:tcW w:w="0" w:type="auto"/>
            <w:hideMark/>
          </w:tcPr>
          <w:p w14:paraId="225912B0" w14:textId="77777777" w:rsidR="00000000" w:rsidRDefault="002F725F">
            <w:pPr>
              <w:jc w:val="both"/>
              <w:rPr>
                <w:rFonts w:eastAsia="Times New Roman"/>
                <w:sz w:val="20"/>
                <w:szCs w:val="20"/>
              </w:rPr>
            </w:pPr>
            <w:r>
              <w:rPr>
                <w:rFonts w:eastAsia="Times New Roman"/>
                <w:b/>
                <w:bCs/>
                <w:sz w:val="20"/>
                <w:szCs w:val="20"/>
              </w:rPr>
              <w:t>IMPORTANT: IF YOU WISH TO VOTE FOR THE RESOL</w:t>
            </w:r>
            <w:r>
              <w:rPr>
                <w:rFonts w:eastAsia="Times New Roman"/>
                <w:b/>
                <w:bCs/>
                <w:sz w:val="20"/>
                <w:szCs w:val="20"/>
              </w:rPr>
              <w:t xml:space="preserve">UTION, TICK THE APPROPRIATE BOX MARKED “FOR.” IF YOU WISH TO VOTE AGAINST THE RESOLUTION, TICK THE APPROPRIATE BOX MARKED “AGAINST.” IF YOU WISH TO ABSTAIN FROM VOTING ON A PARTICULAR RESOLUTION, TICK THE APPROPRIATE BOX MARKED “ABSTAIN,” OR INDICATE YOUR </w:t>
            </w:r>
            <w:r>
              <w:rPr>
                <w:rFonts w:eastAsia="Times New Roman"/>
                <w:b/>
                <w:bCs/>
                <w:sz w:val="20"/>
                <w:szCs w:val="20"/>
              </w:rPr>
              <w:t>VOTING PREFERENCE BY INSERTING THE NUMBER OF SHARES TO BE VOTED FOR OR AGAINST OR TO ABSTAIN, THE BOXES ABOVE IN RESPECT OF EACH RESOLUTION. FAILURE TO COMPLETE ANY OR ALL THE BOXES WILL ENTITLE YOUR PROXY TO CAST HIS OR HER VOTES AT HIS OR HER DISCRETION.</w:t>
            </w:r>
            <w:r>
              <w:rPr>
                <w:rFonts w:eastAsia="Times New Roman"/>
                <w:b/>
                <w:bCs/>
                <w:sz w:val="20"/>
                <w:szCs w:val="20"/>
              </w:rPr>
              <w:t xml:space="preserve"> </w:t>
            </w:r>
          </w:p>
        </w:tc>
      </w:tr>
    </w:tbl>
    <w:p w14:paraId="6EA44E4E" w14:textId="77777777" w:rsidR="00000000" w:rsidRDefault="002F725F">
      <w:pPr>
        <w:pStyle w:val="NormalWeb"/>
        <w:spacing w:before="0" w:beforeAutospacing="0" w:after="0" w:afterAutospacing="0"/>
        <w:divId w:val="415980837"/>
        <w:rPr>
          <w:sz w:val="20"/>
          <w:szCs w:val="20"/>
        </w:rPr>
      </w:pPr>
      <w:r>
        <w:rPr>
          <w:sz w:val="20"/>
          <w:szCs w:val="20"/>
        </w:rPr>
        <w:t> </w:t>
      </w:r>
    </w:p>
    <w:tbl>
      <w:tblPr>
        <w:tblW w:w="5000" w:type="pct"/>
        <w:tblCellSpacing w:w="0" w:type="dxa"/>
        <w:tblCellMar>
          <w:left w:w="0" w:type="dxa"/>
          <w:right w:w="0" w:type="dxa"/>
        </w:tblCellMar>
        <w:tblLook w:val="04A0" w:firstRow="1" w:lastRow="0" w:firstColumn="1" w:lastColumn="0" w:noHBand="0" w:noVBand="1"/>
      </w:tblPr>
      <w:tblGrid>
        <w:gridCol w:w="360"/>
        <w:gridCol w:w="9000"/>
      </w:tblGrid>
      <w:tr w:rsidR="00000000" w14:paraId="023937AD" w14:textId="77777777">
        <w:trPr>
          <w:divId w:val="415980837"/>
          <w:tblCellSpacing w:w="0" w:type="dxa"/>
        </w:trPr>
        <w:tc>
          <w:tcPr>
            <w:tcW w:w="360" w:type="dxa"/>
            <w:hideMark/>
          </w:tcPr>
          <w:p w14:paraId="305CF887" w14:textId="77777777" w:rsidR="00000000" w:rsidRDefault="002F725F">
            <w:pPr>
              <w:rPr>
                <w:rFonts w:eastAsia="Times New Roman"/>
                <w:sz w:val="20"/>
                <w:szCs w:val="20"/>
              </w:rPr>
            </w:pPr>
            <w:r>
              <w:rPr>
                <w:rFonts w:eastAsia="Times New Roman"/>
                <w:sz w:val="20"/>
                <w:szCs w:val="20"/>
              </w:rPr>
              <w:t>3</w:t>
            </w:r>
          </w:p>
        </w:tc>
        <w:tc>
          <w:tcPr>
            <w:tcW w:w="0" w:type="auto"/>
            <w:hideMark/>
          </w:tcPr>
          <w:p w14:paraId="79B725FC" w14:textId="77777777" w:rsidR="00000000" w:rsidRDefault="002F725F">
            <w:pPr>
              <w:jc w:val="both"/>
              <w:rPr>
                <w:rFonts w:eastAsia="Times New Roman"/>
                <w:sz w:val="20"/>
                <w:szCs w:val="20"/>
              </w:rPr>
            </w:pPr>
            <w:r>
              <w:rPr>
                <w:rFonts w:eastAsia="Times New Roman"/>
                <w:sz w:val="20"/>
                <w:szCs w:val="20"/>
              </w:rPr>
              <w:t>This proxy form must be signed by you or your duly authorized attorney in writing or, in the case of a corporation, must be executed under the hand of an officer or duly authorized attorney to sign the same. If you have appointed more than one proxy, pleas</w:t>
            </w:r>
            <w:r>
              <w:rPr>
                <w:rFonts w:eastAsia="Times New Roman"/>
                <w:sz w:val="20"/>
                <w:szCs w:val="20"/>
              </w:rPr>
              <w:t>e specify in the voting boxes above the number of shares in respect of which each proxy is entitled to exercise the related votes. If you do not complete this information, the first person listed above shall be entitled to exercise all the votes in relatio</w:t>
            </w:r>
            <w:r>
              <w:rPr>
                <w:rFonts w:eastAsia="Times New Roman"/>
                <w:sz w:val="20"/>
                <w:szCs w:val="20"/>
              </w:rPr>
              <w:t>n to the relevant resolution. If you have appointed more than one proxy, the first person listed above shall be entitled to vote on a show of hands.</w:t>
            </w:r>
          </w:p>
        </w:tc>
      </w:tr>
      <w:tr w:rsidR="00000000" w14:paraId="69EE660A" w14:textId="77777777">
        <w:trPr>
          <w:divId w:val="415980837"/>
          <w:tblCellSpacing w:w="0" w:type="dxa"/>
        </w:trPr>
        <w:tc>
          <w:tcPr>
            <w:tcW w:w="0" w:type="auto"/>
            <w:hideMark/>
          </w:tcPr>
          <w:p w14:paraId="68199687" w14:textId="77777777" w:rsidR="00000000" w:rsidRDefault="002F725F">
            <w:pPr>
              <w:rPr>
                <w:rFonts w:eastAsia="Times New Roman"/>
                <w:sz w:val="20"/>
                <w:szCs w:val="20"/>
              </w:rPr>
            </w:pPr>
            <w:r>
              <w:rPr>
                <w:rFonts w:eastAsia="Times New Roman"/>
                <w:sz w:val="20"/>
                <w:szCs w:val="20"/>
              </w:rPr>
              <w:t> </w:t>
            </w:r>
          </w:p>
        </w:tc>
        <w:tc>
          <w:tcPr>
            <w:tcW w:w="0" w:type="auto"/>
            <w:hideMark/>
          </w:tcPr>
          <w:p w14:paraId="38B0991B" w14:textId="77777777" w:rsidR="00000000" w:rsidRDefault="002F725F">
            <w:pPr>
              <w:jc w:val="both"/>
              <w:rPr>
                <w:rFonts w:eastAsia="Times New Roman"/>
                <w:sz w:val="20"/>
                <w:szCs w:val="20"/>
              </w:rPr>
            </w:pPr>
            <w:r>
              <w:rPr>
                <w:rFonts w:eastAsia="Times New Roman"/>
                <w:sz w:val="20"/>
                <w:szCs w:val="20"/>
              </w:rPr>
              <w:t> </w:t>
            </w:r>
          </w:p>
        </w:tc>
      </w:tr>
      <w:tr w:rsidR="00000000" w14:paraId="0B7F293C" w14:textId="77777777">
        <w:trPr>
          <w:divId w:val="415980837"/>
          <w:tblCellSpacing w:w="0" w:type="dxa"/>
        </w:trPr>
        <w:tc>
          <w:tcPr>
            <w:tcW w:w="0" w:type="auto"/>
            <w:hideMark/>
          </w:tcPr>
          <w:p w14:paraId="79CD878A" w14:textId="77777777" w:rsidR="00000000" w:rsidRDefault="002F725F">
            <w:pPr>
              <w:rPr>
                <w:rFonts w:eastAsia="Times New Roman"/>
                <w:sz w:val="20"/>
                <w:szCs w:val="20"/>
              </w:rPr>
            </w:pPr>
            <w:r>
              <w:rPr>
                <w:rFonts w:eastAsia="Times New Roman"/>
                <w:sz w:val="20"/>
                <w:szCs w:val="20"/>
              </w:rPr>
              <w:lastRenderedPageBreak/>
              <w:t> </w:t>
            </w:r>
          </w:p>
        </w:tc>
        <w:tc>
          <w:tcPr>
            <w:tcW w:w="0" w:type="auto"/>
            <w:hideMark/>
          </w:tcPr>
          <w:p w14:paraId="5CD5A747" w14:textId="77777777" w:rsidR="00000000" w:rsidRDefault="002F725F">
            <w:pPr>
              <w:jc w:val="both"/>
              <w:rPr>
                <w:rFonts w:eastAsia="Times New Roman"/>
                <w:sz w:val="20"/>
                <w:szCs w:val="20"/>
              </w:rPr>
            </w:pPr>
            <w:r>
              <w:rPr>
                <w:rFonts w:eastAsia="Times New Roman"/>
                <w:b/>
                <w:bCs/>
                <w:sz w:val="20"/>
                <w:szCs w:val="20"/>
              </w:rPr>
              <w:t>To be valid, this form of proxy, together with the power of attorney or other authority (if any) un</w:t>
            </w:r>
            <w:r>
              <w:rPr>
                <w:rFonts w:eastAsia="Times New Roman"/>
                <w:b/>
                <w:bCs/>
                <w:sz w:val="20"/>
                <w:szCs w:val="20"/>
              </w:rPr>
              <w:t xml:space="preserve">der which it is signed or a certified copy thereof, must be deposited at Continental Stock Transfer, 1 State Street - SC1, New York, NY 10004, no later than </w:t>
            </w:r>
            <w:r>
              <w:rPr>
                <w:rFonts w:eastAsia="Times New Roman"/>
                <w:b/>
                <w:bCs/>
                <w:sz w:val="20"/>
                <w:szCs w:val="20"/>
                <w:u w:val="single"/>
              </w:rPr>
              <w:t>                  </w:t>
            </w:r>
            <w:r>
              <w:rPr>
                <w:rFonts w:eastAsia="Times New Roman"/>
                <w:b/>
                <w:bCs/>
                <w:sz w:val="20"/>
                <w:szCs w:val="20"/>
              </w:rPr>
              <w:t xml:space="preserve">, </w:t>
            </w:r>
            <w:r>
              <w:rPr>
                <w:rFonts w:eastAsia="Times New Roman"/>
                <w:b/>
                <w:bCs/>
                <w:sz w:val="20"/>
                <w:szCs w:val="20"/>
                <w:u w:val="single"/>
              </w:rPr>
              <w:t>                        </w:t>
            </w:r>
            <w:r>
              <w:rPr>
                <w:rFonts w:eastAsia="Times New Roman"/>
                <w:b/>
                <w:bCs/>
                <w:sz w:val="20"/>
                <w:szCs w:val="20"/>
              </w:rPr>
              <w:t xml:space="preserve"> a.m. (Beijing time), being 48 hours before the time ap</w:t>
            </w:r>
            <w:r>
              <w:rPr>
                <w:rFonts w:eastAsia="Times New Roman"/>
                <w:b/>
                <w:bCs/>
                <w:sz w:val="20"/>
                <w:szCs w:val="20"/>
              </w:rPr>
              <w:t>pointed for the extraordinary general meeting. Completion and delivery of this form will not preclude you from attending and voting at the extraordinary general meeting in person if you so wish, but the authority of your proxy will become invalid forthwith</w:t>
            </w:r>
            <w:r>
              <w:rPr>
                <w:rFonts w:eastAsia="Times New Roman"/>
                <w:b/>
                <w:bCs/>
                <w:sz w:val="20"/>
                <w:szCs w:val="20"/>
              </w:rPr>
              <w:t>.</w:t>
            </w:r>
          </w:p>
        </w:tc>
      </w:tr>
    </w:tbl>
    <w:p w14:paraId="285D9F7E" w14:textId="77777777" w:rsidR="00000000" w:rsidRDefault="002F725F">
      <w:pPr>
        <w:pStyle w:val="NormalWeb"/>
        <w:spacing w:before="0" w:beforeAutospacing="0" w:after="0" w:afterAutospacing="0"/>
        <w:divId w:val="415980837"/>
        <w:rPr>
          <w:sz w:val="20"/>
          <w:szCs w:val="20"/>
        </w:rPr>
      </w:pPr>
      <w:r>
        <w:rPr>
          <w:sz w:val="20"/>
          <w:szCs w:val="20"/>
        </w:rPr>
        <w:t> </w:t>
      </w:r>
    </w:p>
    <w:p w14:paraId="2ABC5D32" w14:textId="77777777" w:rsidR="00000000" w:rsidRDefault="002F725F">
      <w:pPr>
        <w:pStyle w:val="NormalWeb"/>
        <w:spacing w:before="0" w:beforeAutospacing="0" w:after="0" w:afterAutospacing="0"/>
        <w:divId w:val="415980837"/>
        <w:rPr>
          <w:sz w:val="20"/>
          <w:szCs w:val="20"/>
        </w:rPr>
      </w:pPr>
      <w:r>
        <w:rPr>
          <w:sz w:val="20"/>
          <w:szCs w:val="20"/>
        </w:rPr>
        <w:t> </w:t>
      </w:r>
    </w:p>
    <w:p w14:paraId="17501864" w14:textId="77777777" w:rsidR="00000000" w:rsidRDefault="002F725F">
      <w:pPr>
        <w:pStyle w:val="NormalWeb"/>
        <w:spacing w:before="0" w:beforeAutospacing="0" w:after="0" w:afterAutospacing="0"/>
        <w:jc w:val="center"/>
        <w:divId w:val="159010785"/>
        <w:rPr>
          <w:sz w:val="20"/>
          <w:szCs w:val="20"/>
        </w:rPr>
      </w:pPr>
      <w:r>
        <w:rPr>
          <w:sz w:val="20"/>
          <w:szCs w:val="20"/>
        </w:rPr>
        <w:t>F</w:t>
      </w:r>
      <w:r>
        <w:rPr>
          <w:sz w:val="20"/>
          <w:szCs w:val="20"/>
        </w:rPr>
        <w:t>-</w:t>
      </w:r>
      <w:r>
        <w:rPr>
          <w:sz w:val="20"/>
          <w:szCs w:val="20"/>
        </w:rPr>
        <w:t>2</w:t>
      </w:r>
    </w:p>
    <w:p w14:paraId="76C463E8" w14:textId="77777777" w:rsidR="00000000" w:rsidRDefault="002F725F">
      <w:pPr>
        <w:pStyle w:val="NormalWeb"/>
        <w:spacing w:before="0" w:beforeAutospacing="0" w:after="0" w:afterAutospacing="0"/>
        <w:ind w:left="360" w:hanging="360"/>
        <w:divId w:val="415980837"/>
        <w:rPr>
          <w:sz w:val="20"/>
          <w:szCs w:val="20"/>
        </w:rPr>
      </w:pPr>
      <w:r>
        <w:rPr>
          <w:sz w:val="20"/>
          <w:szCs w:val="20"/>
        </w:rPr>
        <w:t> </w:t>
      </w:r>
    </w:p>
    <w:p w14:paraId="6739A23B" w14:textId="77777777" w:rsidR="00000000" w:rsidRDefault="002F725F">
      <w:pPr>
        <w:pStyle w:val="NormalWeb"/>
        <w:spacing w:before="0" w:beforeAutospacing="0" w:after="0" w:afterAutospacing="0"/>
        <w:jc w:val="center"/>
        <w:divId w:val="415980837"/>
        <w:rPr>
          <w:sz w:val="20"/>
          <w:szCs w:val="20"/>
        </w:rPr>
      </w:pPr>
      <w:r>
        <w:rPr>
          <w:sz w:val="20"/>
          <w:szCs w:val="20"/>
        </w:rPr>
        <w:t> </w:t>
      </w:r>
    </w:p>
    <w:p w14:paraId="2911A174" w14:textId="77777777" w:rsidR="00000000" w:rsidRDefault="002F725F">
      <w:pPr>
        <w:pStyle w:val="NormalWeb"/>
        <w:spacing w:before="0" w:beforeAutospacing="0" w:after="0" w:afterAutospacing="0"/>
        <w:jc w:val="right"/>
        <w:divId w:val="2085181236"/>
      </w:pPr>
      <w:bookmarkStart w:id="41" w:name="gfpea028961701ex99-c4.htm"/>
      <w:bookmarkEnd w:id="41"/>
      <w:r>
        <w:rPr>
          <w:b/>
          <w:bCs/>
          <w:sz w:val="20"/>
          <w:szCs w:val="20"/>
        </w:rPr>
        <w:t>Exhibit (c)-(4)</w:t>
      </w:r>
    </w:p>
    <w:p w14:paraId="246BA7D3" w14:textId="77777777" w:rsidR="00000000" w:rsidRDefault="002F725F">
      <w:pPr>
        <w:pStyle w:val="NormalWeb"/>
        <w:spacing w:before="0" w:beforeAutospacing="0" w:after="0" w:afterAutospacing="0"/>
        <w:jc w:val="right"/>
        <w:divId w:val="2085181236"/>
      </w:pPr>
      <w:r>
        <w:t> </w:t>
      </w:r>
    </w:p>
    <w:p w14:paraId="51120478"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151F821F" wp14:editId="74CFAC93">
            <wp:extent cx="9906000" cy="6858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3B425FFD"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LakeShore Biopharma Co., Ltd. Private and Confidential The information contained herein is of a confidential nature and is intended for the exclusive use of the persons or firm to whom it is furnished by us. Reproduction, publication, or dissemination of p</w:t>
      </w:r>
      <w:r>
        <w:rPr>
          <w:color w:val="FFFFFF"/>
          <w:sz w:val="2"/>
          <w:szCs w:val="2"/>
        </w:rPr>
        <w:t>ortions hereof may not be made without prior approval of Kroll, LLC. Fairness Analysis Presented to the Special Committee of Independent Directors Prepared by: Duff &amp; Phelps Opinions Practice of Kroll April 28, 2026</w:t>
      </w:r>
    </w:p>
    <w:p w14:paraId="7C693211" w14:textId="77777777" w:rsidR="00000000" w:rsidRDefault="002F725F">
      <w:pPr>
        <w:pStyle w:val="NormalWeb"/>
        <w:spacing w:before="0" w:beforeAutospacing="0" w:after="0" w:afterAutospacing="0"/>
        <w:jc w:val="center"/>
        <w:divId w:val="144709880"/>
      </w:pPr>
      <w:r>
        <w:t> </w:t>
      </w:r>
    </w:p>
    <w:p w14:paraId="6AB2A91D" w14:textId="77777777" w:rsidR="00000000" w:rsidRDefault="002F725F">
      <w:pPr>
        <w:pStyle w:val="NormalWeb"/>
        <w:spacing w:before="0" w:beforeAutospacing="0" w:after="0" w:afterAutospacing="0"/>
        <w:jc w:val="center"/>
        <w:divId w:val="1735007652"/>
      </w:pPr>
      <w:r>
        <w:t> </w:t>
      </w:r>
    </w:p>
    <w:p w14:paraId="630EAFF3"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5E1C85BD" wp14:editId="07438F56">
            <wp:extent cx="9906000" cy="6858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4580E521"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Duff &amp; Phelps Disclaimer 2 • The following pages contain materials that are being provided by Kroll, LLC (“ Duff &amp; Phelps ”), operating through its Duff &amp; Phelps Opinions Practice, to the special committee (the “ Special Committee ”) of the board of direct</w:t>
      </w:r>
      <w:r>
        <w:rPr>
          <w:color w:val="FFFFFF"/>
          <w:sz w:val="2"/>
          <w:szCs w:val="2"/>
        </w:rPr>
        <w:t>ors (the “ Board of Directors ”) (solely in their capacity as members of the Special Committee) of LakeShore Biopharma Co . , Ltd (the “ Company ”) in the context of a meeting of the Special Committee held to consider the Proposed Transaction (as defined h</w:t>
      </w:r>
      <w:r>
        <w:rPr>
          <w:color w:val="FFFFFF"/>
          <w:sz w:val="2"/>
          <w:szCs w:val="2"/>
        </w:rPr>
        <w:t>erein) . • The accompanying materials are, and any Opinion (as defined herein) will be, compiled and presented on a confidential basis, solely for the use and benefit of the Special Committee in connection with its evaluation of the Proposed Transaction an</w:t>
      </w:r>
      <w:r>
        <w:rPr>
          <w:color w:val="FFFFFF"/>
          <w:sz w:val="2"/>
          <w:szCs w:val="2"/>
        </w:rPr>
        <w:t>d may not be, in whole or in part, distributed to any other party, publicly disclosed, or relied upon for any other purpose without the prior written consent of Duff &amp; Phelps or as otherwise provided in the engagement letter among Duff &amp; Phelps, the Compan</w:t>
      </w:r>
      <w:r>
        <w:rPr>
          <w:color w:val="FFFFFF"/>
          <w:sz w:val="2"/>
          <w:szCs w:val="2"/>
        </w:rPr>
        <w:t>y, and the Special Committee dated September 9 , 2025 and the addendum thereto dated April 7 , 2026 . • Because these materials were prepared for use in the context of an oral presentation to the Special Committee, whose members are familiar with the busin</w:t>
      </w:r>
      <w:r>
        <w:rPr>
          <w:color w:val="FFFFFF"/>
          <w:sz w:val="2"/>
          <w:szCs w:val="2"/>
        </w:rPr>
        <w:t>ess and affairs of the Company, neither Duff &amp; Phelps nor any of its respective legal or financial advisors or accountants, take any responsibility for the accuracy or completeness of any of the accompanying materials if used by persons other than the Spec</w:t>
      </w:r>
      <w:r>
        <w:rPr>
          <w:color w:val="FFFFFF"/>
          <w:sz w:val="2"/>
          <w:szCs w:val="2"/>
        </w:rPr>
        <w:t xml:space="preserve">ial Committee . • These materials are not intended to represent an Opinion and shall not be treated, construed, used or relied upon in any way as an Opinion . These materials are intended to serve as discussion materials for the Special Committee and as a </w:t>
      </w:r>
      <w:r>
        <w:rPr>
          <w:color w:val="FFFFFF"/>
          <w:sz w:val="2"/>
          <w:szCs w:val="2"/>
        </w:rPr>
        <w:t>summary of the basis upon which Duff &amp; Phelps may render an Opinion, and are incomplete without reference to, and should be viewed solely in conjunction with, the discussion between Duff &amp; Phelps and the Special Committee . • The accompanying material does</w:t>
      </w:r>
      <w:r>
        <w:rPr>
          <w:color w:val="FFFFFF"/>
          <w:sz w:val="2"/>
          <w:szCs w:val="2"/>
        </w:rPr>
        <w:t xml:space="preserve"> not, and any Opinion provided by Duff &amp; Phelps would not : (i) address the merits of the underlying business decision to enter into the Proposed Transaction versus any alternative strategy or transaction ; (ii) constitute a recommendation as to how the Sp</w:t>
      </w:r>
      <w:r>
        <w:rPr>
          <w:color w:val="FFFFFF"/>
          <w:sz w:val="2"/>
          <w:szCs w:val="2"/>
        </w:rPr>
        <w:t xml:space="preserve">ecial Committee, the Board of Directors or any other person (including security holders of the Company) should vote or act with respect to any matters relating to the Proposed Transaction, or whether to proceed with the Proposed Transaction or any related </w:t>
      </w:r>
      <w:r>
        <w:rPr>
          <w:color w:val="FFFFFF"/>
          <w:sz w:val="2"/>
          <w:szCs w:val="2"/>
        </w:rPr>
        <w:t>transaction ; or (iii) create any fiduciary duty on the part of Duff &amp; Phelps to any party . • The information utilized in preparing this presentation was obtained from the Company and from public sources under the assumption that they are complete and acc</w:t>
      </w:r>
      <w:r>
        <w:rPr>
          <w:color w:val="FFFFFF"/>
          <w:sz w:val="2"/>
          <w:szCs w:val="2"/>
        </w:rPr>
        <w:t>urate as of the date of provision . Duff &amp; Phelps has relied on the information provided to it and has not independently verified the accuracy or completeness of such information . Any estimates and forecasts contained herein have been prepared by or are b</w:t>
      </w:r>
      <w:r>
        <w:rPr>
          <w:color w:val="FFFFFF"/>
          <w:sz w:val="2"/>
          <w:szCs w:val="2"/>
        </w:rPr>
        <w:t>ased on discussions with the senior management of the Company and involve numerous and significant subjective determinations, which may or may not prove to be correct . No representation or warranty, expressed or implied, is made as to the accuracy or comp</w:t>
      </w:r>
      <w:r>
        <w:rPr>
          <w:color w:val="FFFFFF"/>
          <w:sz w:val="2"/>
          <w:szCs w:val="2"/>
        </w:rPr>
        <w:t xml:space="preserve">leteness of such information and nothing contained herein is, or shall be relied upon as, a representation or warranty, whether as to the past or the future . • No selected company or selected transaction used in our analysis is directly comparable to the </w:t>
      </w:r>
      <w:r>
        <w:rPr>
          <w:color w:val="FFFFFF"/>
          <w:sz w:val="2"/>
          <w:szCs w:val="2"/>
        </w:rPr>
        <w:t>Company or the Proposed Transaction .</w:t>
      </w:r>
    </w:p>
    <w:p w14:paraId="7CE2F362" w14:textId="77777777" w:rsidR="00000000" w:rsidRDefault="002F725F">
      <w:pPr>
        <w:pStyle w:val="NormalWeb"/>
        <w:spacing w:before="0" w:beforeAutospacing="0" w:after="0" w:afterAutospacing="0"/>
        <w:jc w:val="center"/>
        <w:divId w:val="812058967"/>
      </w:pPr>
      <w:r>
        <w:t> </w:t>
      </w:r>
    </w:p>
    <w:p w14:paraId="299FF2FC" w14:textId="77777777" w:rsidR="00000000" w:rsidRDefault="002F725F">
      <w:pPr>
        <w:pStyle w:val="NormalWeb"/>
        <w:spacing w:before="0" w:beforeAutospacing="0" w:after="0" w:afterAutospacing="0"/>
        <w:jc w:val="center"/>
        <w:divId w:val="1553882644"/>
      </w:pPr>
      <w:r>
        <w:t> </w:t>
      </w:r>
    </w:p>
    <w:p w14:paraId="7839751A"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45DE8A64" wp14:editId="0570085B">
            <wp:extent cx="9906000" cy="6858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4F4E5231"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 xml:space="preserve">Table of Contents 1. Introduction and Transaction Overview 2. Valuation Analysis • Discounted Cash Flow Analysis • Selected Public Companies / M&amp;A Transactions Analysis • Option </w:t>
      </w:r>
      <w:r>
        <w:rPr>
          <w:color w:val="FFFFFF"/>
          <w:sz w:val="2"/>
          <w:szCs w:val="2"/>
        </w:rPr>
        <w:t>Value Analysis 3</w:t>
      </w:r>
    </w:p>
    <w:p w14:paraId="0AB40370" w14:textId="77777777" w:rsidR="00000000" w:rsidRDefault="002F725F">
      <w:pPr>
        <w:pStyle w:val="NormalWeb"/>
        <w:spacing w:before="0" w:beforeAutospacing="0" w:after="0" w:afterAutospacing="0"/>
        <w:jc w:val="center"/>
        <w:divId w:val="1392581585"/>
      </w:pPr>
      <w:r>
        <w:t> </w:t>
      </w:r>
    </w:p>
    <w:p w14:paraId="36F486CD" w14:textId="77777777" w:rsidR="00000000" w:rsidRDefault="002F725F">
      <w:pPr>
        <w:pStyle w:val="NormalWeb"/>
        <w:spacing w:before="0" w:beforeAutospacing="0" w:after="0" w:afterAutospacing="0"/>
        <w:jc w:val="center"/>
        <w:divId w:val="532349232"/>
      </w:pPr>
      <w:r>
        <w:t> </w:t>
      </w:r>
    </w:p>
    <w:p w14:paraId="5DE43944"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35FD3F5C" wp14:editId="4F747E05">
            <wp:extent cx="9906000" cy="6858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1775DAE5"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1. Introduction and Transaction Overview</w:t>
      </w:r>
    </w:p>
    <w:p w14:paraId="1F5B39F7" w14:textId="77777777" w:rsidR="00000000" w:rsidRDefault="002F725F">
      <w:pPr>
        <w:pStyle w:val="NormalWeb"/>
        <w:spacing w:before="0" w:beforeAutospacing="0" w:after="0" w:afterAutospacing="0"/>
        <w:jc w:val="center"/>
        <w:divId w:val="597055868"/>
      </w:pPr>
      <w:r>
        <w:t> </w:t>
      </w:r>
    </w:p>
    <w:p w14:paraId="09CB8A1B" w14:textId="77777777" w:rsidR="00000000" w:rsidRDefault="002F725F">
      <w:pPr>
        <w:pStyle w:val="NormalWeb"/>
        <w:spacing w:before="0" w:beforeAutospacing="0" w:after="0" w:afterAutospacing="0"/>
        <w:jc w:val="center"/>
        <w:divId w:val="493842483"/>
      </w:pPr>
      <w:r>
        <w:t> </w:t>
      </w:r>
    </w:p>
    <w:p w14:paraId="607DEB53"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4313583D" wp14:editId="582CEE81">
            <wp:extent cx="9906000" cy="6858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59B9ADDC"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Introduction and Transaction Overview 5 The Engagement • Duff &amp; Phelps was engaged by the Company to serve as an ind</w:t>
      </w:r>
      <w:r>
        <w:rPr>
          <w:color w:val="FFFFFF"/>
          <w:sz w:val="2"/>
          <w:szCs w:val="2"/>
        </w:rPr>
        <w:t>ependent financial advisor to the Special Committee (solely in its capacity as such) . • Specifically, Duff &amp; Phelps has been asked to provide an opinion (the “ Opinion ”) as to the fairness, from a financial point of view, to the holders of ordinary share</w:t>
      </w:r>
      <w:r>
        <w:rPr>
          <w:color w:val="FFFFFF"/>
          <w:sz w:val="2"/>
          <w:szCs w:val="2"/>
        </w:rPr>
        <w:t>s, par value US $ 0 . 0002 per share, of the Company (each, a “ Share ” or, collectively, “ Shares ”), other than the Excluded Shares and the Dissenting Shares (each as defined below), of the Per Share Merger Consideration (as defined below) to be received</w:t>
      </w:r>
      <w:r>
        <w:rPr>
          <w:color w:val="FFFFFF"/>
          <w:sz w:val="2"/>
          <w:szCs w:val="2"/>
        </w:rPr>
        <w:t xml:space="preserve"> by such holders in the Proposed Transaction (as defined below) (without giving effect to any impact of the Proposed Transaction on any particular holder of Shares other than in its capacity as a holder of Shares) . The Proposed Transaction • It is Duff &amp; </w:t>
      </w:r>
      <w:r>
        <w:rPr>
          <w:color w:val="FFFFFF"/>
          <w:sz w:val="2"/>
          <w:szCs w:val="2"/>
        </w:rPr>
        <w:t>Phelps’ understanding that the Company, Oceanpine Skyline Inc . , an exempted company with limited liability incorporated under the laws of the Cayman Islands (“ Parent ”), and Oceanpine Merger Sub Inc . , an exempted company with limited liability incorpo</w:t>
      </w:r>
      <w:r>
        <w:rPr>
          <w:color w:val="FFFFFF"/>
          <w:sz w:val="2"/>
          <w:szCs w:val="2"/>
        </w:rPr>
        <w:t>rated under the laws of the Cayman Islands and a wholly owned subsidiary of Parent (“ Merger Sub ”), entered into an Agreement and Plan of Merger dated November 4 , 2025 , and propose to enter into an Amendment No . 1 to Agreement and Plan of Merger, the l</w:t>
      </w:r>
      <w:r>
        <w:rPr>
          <w:color w:val="FFFFFF"/>
          <w:sz w:val="2"/>
          <w:szCs w:val="2"/>
        </w:rPr>
        <w:t xml:space="preserve">atest draft of which Duff &amp; Phelps has reviewed is dated April 13 , 2026 (together with the Agreement and Plan of Merger, the “ Merger Agreement ”) . Pursuant to the Merger Agreement, among other things, Merger Sub will merge with and into the Company and </w:t>
      </w:r>
      <w:r>
        <w:rPr>
          <w:color w:val="FFFFFF"/>
          <w:sz w:val="2"/>
          <w:szCs w:val="2"/>
        </w:rPr>
        <w:t>the separate corporate existence of Merger Sub shall thereupon cease, with the Company being the surviving company and becoming a wholly owned subsidiary of Parent as a result of the merger . In connection with such merger, among other things, each Share i</w:t>
      </w:r>
      <w:r>
        <w:rPr>
          <w:color w:val="FFFFFF"/>
          <w:sz w:val="2"/>
          <w:szCs w:val="2"/>
        </w:rPr>
        <w:t>ssued and outstanding immediately prior to the Effective Time (other than the Excluded Shares and the Dissenting Shares) shall be cancelled and cease to exist in exchange for the right to receive US $ 0 . 066 in cash per Share without interest (the “ Per S</w:t>
      </w:r>
      <w:r>
        <w:rPr>
          <w:color w:val="FFFFFF"/>
          <w:sz w:val="2"/>
          <w:szCs w:val="2"/>
        </w:rPr>
        <w:t>hare Merger Consideration ”) (collectively, the “ Proposed Transaction ”) . • The terms and conditions of the Proposed Transaction are more fully set forth in the Merger Agreement. • For purposes of the Opinion, (i) “ Excluded Shares ” shall mean collectiv</w:t>
      </w:r>
      <w:r>
        <w:rPr>
          <w:color w:val="FFFFFF"/>
          <w:sz w:val="2"/>
          <w:szCs w:val="2"/>
        </w:rPr>
        <w:t>ely, (a) the Rollover Shares, (b) Shares held by any of Parent, Merger Sub and any of their respective Affiliates, (c) Shares held by the Company or any Subsidiary of the Company or held in the Company’s treasury, and (d) Shares held by holders who prior t</w:t>
      </w:r>
      <w:r>
        <w:rPr>
          <w:color w:val="FFFFFF"/>
          <w:sz w:val="2"/>
          <w:szCs w:val="2"/>
        </w:rPr>
        <w:t>o the Closing agree with Parent not to receive any Merger Consideration with respect to such Shares; and (ii) “ Dissenting Shares ”, “ Effective Time ”, “ Rollover Shares ”, “ Affiliates” , “ Subsidiary ”, “ Closing ” and “ Merger Consideration ” shall hav</w:t>
      </w:r>
      <w:r>
        <w:rPr>
          <w:color w:val="FFFFFF"/>
          <w:sz w:val="2"/>
          <w:szCs w:val="2"/>
        </w:rPr>
        <w:t>e the meanings set forth in the Merger Agreement.</w:t>
      </w:r>
    </w:p>
    <w:p w14:paraId="434FC18A" w14:textId="77777777" w:rsidR="00000000" w:rsidRDefault="002F725F">
      <w:pPr>
        <w:pStyle w:val="NormalWeb"/>
        <w:spacing w:before="0" w:beforeAutospacing="0" w:after="0" w:afterAutospacing="0"/>
        <w:jc w:val="center"/>
        <w:divId w:val="25451217"/>
      </w:pPr>
      <w:r>
        <w:t> </w:t>
      </w:r>
    </w:p>
    <w:p w14:paraId="65C0A532" w14:textId="77777777" w:rsidR="00000000" w:rsidRDefault="002F725F">
      <w:pPr>
        <w:pStyle w:val="NormalWeb"/>
        <w:spacing w:before="0" w:beforeAutospacing="0" w:after="0" w:afterAutospacing="0"/>
        <w:jc w:val="center"/>
        <w:divId w:val="446580480"/>
      </w:pPr>
      <w:r>
        <w:t> </w:t>
      </w:r>
    </w:p>
    <w:p w14:paraId="2A8E55BE"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4EC6BC9B" wp14:editId="393E55CF">
            <wp:extent cx="9906000" cy="6858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317C270D"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 xml:space="preserve">Scope of Analysis Duff &amp; Phelps has made such reviews, analyses and inquiries as it has deemed necessary and appropriate under the circumstances . Duff &amp; Phelps also </w:t>
      </w:r>
      <w:r>
        <w:rPr>
          <w:color w:val="FFFFFF"/>
          <w:sz w:val="2"/>
          <w:szCs w:val="2"/>
        </w:rPr>
        <w:t>took into account its assessment of general economic, market and financial conditions, as well as its experience in securities and business valuation, in general, and with respect to similar transactions, in particular . Duff &amp; Phelps’ procedures, investig</w:t>
      </w:r>
      <w:r>
        <w:rPr>
          <w:color w:val="FFFFFF"/>
          <w:sz w:val="2"/>
          <w:szCs w:val="2"/>
        </w:rPr>
        <w:t xml:space="preserve">ations, and financial analysis with respect to the preparation of its Opinion included, but were not limited to, the items summarized below : • Reviewed the following documents : – The Company’s annual reports and audited financial statements on Form 20 - </w:t>
      </w:r>
      <w:r>
        <w:rPr>
          <w:color w:val="FFFFFF"/>
          <w:sz w:val="2"/>
          <w:szCs w:val="2"/>
        </w:rPr>
        <w:t>F filed with the Securities and Exchange Commission for the years ended March 31 , 2023 through March 31 , 2025 ; – Certain unaudited and segment financial information for the Company for the years ended March 31 , 2023 through March 31 , 2026 , provided t</w:t>
      </w:r>
      <w:r>
        <w:rPr>
          <w:color w:val="FFFFFF"/>
          <w:sz w:val="2"/>
          <w:szCs w:val="2"/>
        </w:rPr>
        <w:t>o Duff &amp; Phelps by the management of the Company and which the management of the Company identified as being the most current financial statements available ; – A detailed financial projection model for the Company for the years ending March 31 , 2027 thro</w:t>
      </w:r>
      <w:r>
        <w:rPr>
          <w:color w:val="FFFFFF"/>
          <w:sz w:val="2"/>
          <w:szCs w:val="2"/>
        </w:rPr>
        <w:t>ugh March 31 , 2033 , prepared and provided to Duff &amp; Phelps by the management of the Company, upon which Duff &amp; Phelps has relied, with the Company’s and the Special Committee’s consent, in performing its analysis (collectively, the “ Management Projectio</w:t>
      </w:r>
      <w:r>
        <w:rPr>
          <w:color w:val="FFFFFF"/>
          <w:sz w:val="2"/>
          <w:szCs w:val="2"/>
        </w:rPr>
        <w:t>ns ”) ; – Other internal documents relating to the history, current operations, and probable future outlook of the Company, provided to Duff &amp; Phelps by the management of the Company ; – A letter dated April 24 , 2026 from the management of the Company, wh</w:t>
      </w:r>
      <w:r>
        <w:rPr>
          <w:color w:val="FFFFFF"/>
          <w:sz w:val="2"/>
          <w:szCs w:val="2"/>
        </w:rPr>
        <w:t>ich made certain representations as to historical financial information for the Company, the Management Projections and the underlying assumptions of such projections (the “ Management Representation Letter ”) ; and – The Agreement and Plan of Merger dated</w:t>
      </w:r>
      <w:r>
        <w:rPr>
          <w:color w:val="FFFFFF"/>
          <w:sz w:val="2"/>
          <w:szCs w:val="2"/>
        </w:rPr>
        <w:t xml:space="preserve"> November 4, 2025, and a draft of the Amendment No. 1 to Agreement and Plan of Merger dated April 13, 2026; 6 Introduction and Transaction Overview</w:t>
      </w:r>
    </w:p>
    <w:p w14:paraId="02F2ED13" w14:textId="77777777" w:rsidR="00000000" w:rsidRDefault="002F725F">
      <w:pPr>
        <w:pStyle w:val="NormalWeb"/>
        <w:spacing w:before="0" w:beforeAutospacing="0" w:after="0" w:afterAutospacing="0"/>
        <w:jc w:val="center"/>
        <w:divId w:val="1505391331"/>
      </w:pPr>
      <w:r>
        <w:t> </w:t>
      </w:r>
    </w:p>
    <w:p w14:paraId="3C7DB317" w14:textId="77777777" w:rsidR="00000000" w:rsidRDefault="002F725F">
      <w:pPr>
        <w:pStyle w:val="NormalWeb"/>
        <w:spacing w:before="0" w:beforeAutospacing="0" w:after="0" w:afterAutospacing="0"/>
        <w:jc w:val="center"/>
        <w:divId w:val="186332278"/>
      </w:pPr>
      <w:r>
        <w:t> </w:t>
      </w:r>
    </w:p>
    <w:p w14:paraId="3D4C543F"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276EB553" wp14:editId="5D2F03CC">
            <wp:extent cx="9906000" cy="6858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3448CC08"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Scope of Analysis (continued) 7 Introduction and Transaction Overview • Discussed the information referred to on the previous page and the background and other elements of the Proposed Transaction with the management of the Company ; • Discussed with the m</w:t>
      </w:r>
      <w:r>
        <w:rPr>
          <w:color w:val="FFFFFF"/>
          <w:sz w:val="2"/>
          <w:szCs w:val="2"/>
        </w:rPr>
        <w:t>anagement of the Company its plans and intentions with respect to the management and operation of the Company’s business; • Reviewed the historical trading price and trading volume of the Shares and the publicly traded securities of certain other companies</w:t>
      </w:r>
      <w:r>
        <w:rPr>
          <w:color w:val="FFFFFF"/>
          <w:sz w:val="2"/>
          <w:szCs w:val="2"/>
        </w:rPr>
        <w:t xml:space="preserve"> that Duff &amp; Phelps deemed relevant ; • Performed certain valuation and comparative analyses using generally accepted valuation and analytical techniques, including a discounted cash flow analysis, an analysis of selected public companies that Duff &amp; Phelp</w:t>
      </w:r>
      <w:r>
        <w:rPr>
          <w:color w:val="FFFFFF"/>
          <w:sz w:val="2"/>
          <w:szCs w:val="2"/>
        </w:rPr>
        <w:t>s deemed relevant, and an analysis of selected transactions that Duff &amp; Phelps deemed relevant ; and • Conducted such other analyses and considered such other factors as Duff &amp; Phelps deemed appropriate.</w:t>
      </w:r>
    </w:p>
    <w:p w14:paraId="67C80BE5" w14:textId="77777777" w:rsidR="00000000" w:rsidRDefault="002F725F">
      <w:pPr>
        <w:pStyle w:val="NormalWeb"/>
        <w:spacing w:before="0" w:beforeAutospacing="0" w:after="0" w:afterAutospacing="0"/>
        <w:jc w:val="center"/>
        <w:divId w:val="594097933"/>
      </w:pPr>
      <w:r>
        <w:t> </w:t>
      </w:r>
    </w:p>
    <w:p w14:paraId="007D4ADA" w14:textId="77777777" w:rsidR="00000000" w:rsidRDefault="002F725F">
      <w:pPr>
        <w:pStyle w:val="NormalWeb"/>
        <w:spacing w:before="0" w:beforeAutospacing="0" w:after="0" w:afterAutospacing="0"/>
        <w:jc w:val="center"/>
        <w:divId w:val="196820601"/>
      </w:pPr>
      <w:r>
        <w:t> </w:t>
      </w:r>
    </w:p>
    <w:p w14:paraId="61AD4DEE"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6FB1905C" wp14:editId="09FBFECE">
            <wp:extent cx="9906000" cy="6858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5093A144"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Ownership Su</w:t>
      </w:r>
      <w:r>
        <w:rPr>
          <w:color w:val="FFFFFF"/>
          <w:sz w:val="2"/>
          <w:szCs w:val="2"/>
        </w:rPr>
        <w:t>mmary LakeShore Biopharma Co., Ltd - Ownership % of 8 Ownership Ordinary Shares Current Shareholders 51.0% 21,021,332 Buyer Group Crystal Peak Investment Inc 1.0% 410,560 OCEANPINE INVESTMENT FUND II LP 0.1% 52,200 Oceanpine Capital Inc. 0.6% 243,630 Adjuv</w:t>
      </w:r>
      <w:r>
        <w:rPr>
          <w:color w:val="FFFFFF"/>
          <w:sz w:val="2"/>
          <w:szCs w:val="2"/>
        </w:rPr>
        <w:t>ant Global Health Technology Fund, L.P. 0.1% 46,668 Adjuvant Global Health Technology Fund DE, L.P. 0.3% 112,904 MSA GROWTH FUND II, L.P. 0.2% 70,083 Epiphron Capital (Hong Kong) Limited 0.1% 30,792 Superstring Capital Master Fd LP 53.4% 21,988,169 Buyer G</w:t>
      </w:r>
      <w:r>
        <w:rPr>
          <w:color w:val="FFFFFF"/>
          <w:sz w:val="2"/>
          <w:szCs w:val="2"/>
        </w:rPr>
        <w:t>roup Management and Directors 0.8% 313,638 Shao Hui (President, Chief Business Officer &amp; Vice Chairman) 0.8% 313,638 Management and Directors 23.9% 9,836,010 Institutional Investors and Individual Investors Apex Prospect Limited / Fung Ching Wong 11.9% 4,9</w:t>
      </w:r>
      <w:r>
        <w:rPr>
          <w:color w:val="FFFFFF"/>
          <w:sz w:val="2"/>
          <w:szCs w:val="2"/>
        </w:rPr>
        <w:t>08,919 Yi Zhang (Former Chairperson) 0.9% 389,725 Golden Biomedical Century Holdings 0.9% 385,348 Summit Healthcare Acquisition Sponsor LLC 0.9% 351,918 NG HAU HUNG 37.7% 15,871,920 Top 5 Institutional and Individual Investors 40.1% 16,524,459 Total Instit</w:t>
      </w:r>
      <w:r>
        <w:rPr>
          <w:color w:val="FFFFFF"/>
          <w:sz w:val="2"/>
          <w:szCs w:val="2"/>
        </w:rPr>
        <w:t>utional Investors and Individual Investors 5.8% 2,386,427 Public Investors and Others 100.0% 41,212,693 Total Shares Outstanding (1) (1) Based on the number of ordinary shares outstanding as provided by the management of the Company. Source: Company filing</w:t>
      </w:r>
      <w:r>
        <w:rPr>
          <w:color w:val="FFFFFF"/>
          <w:sz w:val="2"/>
          <w:szCs w:val="2"/>
        </w:rPr>
        <w:t>s, Capital IQ, the management of the Company. Introduction and Transaction Overview</w:t>
      </w:r>
    </w:p>
    <w:p w14:paraId="4A9E9208" w14:textId="77777777" w:rsidR="00000000" w:rsidRDefault="002F725F">
      <w:pPr>
        <w:pStyle w:val="NormalWeb"/>
        <w:spacing w:before="0" w:beforeAutospacing="0" w:after="0" w:afterAutospacing="0"/>
        <w:jc w:val="center"/>
        <w:divId w:val="987589477"/>
      </w:pPr>
      <w:r>
        <w:t> </w:t>
      </w:r>
    </w:p>
    <w:p w14:paraId="40551F10" w14:textId="77777777" w:rsidR="00000000" w:rsidRDefault="002F725F">
      <w:pPr>
        <w:pStyle w:val="NormalWeb"/>
        <w:spacing w:before="0" w:beforeAutospacing="0" w:after="0" w:afterAutospacing="0"/>
        <w:jc w:val="center"/>
        <w:divId w:val="962079115"/>
      </w:pPr>
      <w:r>
        <w:t> </w:t>
      </w:r>
    </w:p>
    <w:p w14:paraId="1C9580B5"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236ACF2C" wp14:editId="539A9683">
            <wp:extent cx="9906000" cy="6858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2E7755B4"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 xml:space="preserve">Introduction and Transaction Overview Trading Analysis LakeShore </w:t>
      </w:r>
      <w:r>
        <w:rPr>
          <w:color w:val="FFFFFF"/>
          <w:sz w:val="2"/>
          <w:szCs w:val="2"/>
        </w:rPr>
        <w:t xml:space="preserve">Biopharma Co., Ltd - Trading History April 24, 2025 to April 24, 2026 Source: Capital IQ, SEC filings, press releases. LakeShore Biopharma Co., Ltd Historical Trading Metrics (in thousands, except per share) Post Offer During one year prior to Offer $0.04 </w:t>
      </w:r>
      <w:r>
        <w:rPr>
          <w:color w:val="FFFFFF"/>
          <w:sz w:val="2"/>
          <w:szCs w:val="2"/>
        </w:rPr>
        <w:t>Average Closing Price $0.94 Average Closing Price $0.07 High $2.75 High $0.03 Low $0.04 Low 6.6 Average Volume 101.3 Average Volume 0.0% % of Shares Issued and Outstanding 0.2% % of Shares Issued and Outstanding 0.1% % of Float 2.0% % of Float 9</w:t>
      </w:r>
    </w:p>
    <w:p w14:paraId="331FABD7" w14:textId="77777777" w:rsidR="00000000" w:rsidRDefault="002F725F">
      <w:pPr>
        <w:pStyle w:val="NormalWeb"/>
        <w:spacing w:before="0" w:beforeAutospacing="0" w:after="0" w:afterAutospacing="0"/>
        <w:jc w:val="center"/>
        <w:divId w:val="1181973293"/>
      </w:pPr>
      <w:r>
        <w:t> </w:t>
      </w:r>
    </w:p>
    <w:p w14:paraId="61101B97" w14:textId="77777777" w:rsidR="00000000" w:rsidRDefault="002F725F">
      <w:pPr>
        <w:pStyle w:val="NormalWeb"/>
        <w:spacing w:before="0" w:beforeAutospacing="0" w:after="0" w:afterAutospacing="0"/>
        <w:jc w:val="center"/>
        <w:divId w:val="404644002"/>
      </w:pPr>
      <w:r>
        <w:t> </w:t>
      </w:r>
    </w:p>
    <w:p w14:paraId="41FF4A72"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6C8CFD06" wp14:editId="77D3BC6C">
            <wp:extent cx="9906000" cy="6858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79D7C20A"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 xml:space="preserve">LakeShore Biopharma Co., Ltd - Offer Price Premium Relative To Share Implied Price Premium 65.0% $0.040 One - day prior to Offer (3/23/26) 15.8% $0.057 10 - day average VWAP prior to Offer $0.066 Offer Price Per Share Source: </w:t>
      </w:r>
      <w:r>
        <w:rPr>
          <w:color w:val="FFFFFF"/>
          <w:sz w:val="2"/>
          <w:szCs w:val="2"/>
        </w:rPr>
        <w:t>Capital IQ. Proposed Transaction Introduction and Transaction Overview LakeShore Biopharma Co., Ltd - Implied Multiples (USD in millions, except per share data) Offer $0.066 Shares Issued and Outstanding 41.2 $2.7 Implied Equity Value (15.0) Less: Cash and</w:t>
      </w:r>
      <w:r>
        <w:rPr>
          <w:color w:val="FFFFFF"/>
          <w:sz w:val="2"/>
          <w:szCs w:val="2"/>
        </w:rPr>
        <w:t xml:space="preserve"> Cash Equivalents 19.5 Plus: Bank Loans and Other Borrowings 22.7 Plus: Due to Related Parties 84.3 Plus: Financial Liabilities from Arbitral Awards (1) $114.3 Implied Enterprise Value Implied Offer Multiples : 1.39x 1.47x 1.47x EV / FY 3/31/2026 Revenue $</w:t>
      </w:r>
      <w:r>
        <w:rPr>
          <w:color w:val="FFFFFF"/>
          <w:sz w:val="2"/>
          <w:szCs w:val="2"/>
        </w:rPr>
        <w:t>82.0 EV / FY 3/31/2027 Revenue $78.0 EV / FY 3/31/2028 Revenue $77.5 14.0x 11.5x 9.7x EV / FY 3/31/2026 EBITDA $8.1 EV / FY 3/31/2027 EBITDA $10.0 EV / FY 3/31/2028 EBITDA $11.8 Note : Balance sheet data as of March 31 , 2026 . Financial performance metric</w:t>
      </w:r>
      <w:r>
        <w:rPr>
          <w:color w:val="FFFFFF"/>
          <w:sz w:val="2"/>
          <w:szCs w:val="2"/>
        </w:rPr>
        <w:t>s presented are adjusted to exclude public company costs, transaction costs and non - recurring items as provided by the management the Company . Source : The management of the Company 10</w:t>
      </w:r>
    </w:p>
    <w:p w14:paraId="653BF689" w14:textId="77777777" w:rsidR="00000000" w:rsidRDefault="002F725F">
      <w:pPr>
        <w:pStyle w:val="NormalWeb"/>
        <w:spacing w:before="0" w:beforeAutospacing="0" w:after="0" w:afterAutospacing="0"/>
        <w:jc w:val="center"/>
        <w:divId w:val="1377269941"/>
      </w:pPr>
      <w:r>
        <w:t> </w:t>
      </w:r>
    </w:p>
    <w:p w14:paraId="486DDE2E" w14:textId="77777777" w:rsidR="00000000" w:rsidRDefault="002F725F">
      <w:pPr>
        <w:pStyle w:val="NormalWeb"/>
        <w:spacing w:before="0" w:beforeAutospacing="0" w:after="0" w:afterAutospacing="0"/>
        <w:jc w:val="center"/>
        <w:divId w:val="1527594649"/>
      </w:pPr>
      <w:r>
        <w:t> </w:t>
      </w:r>
    </w:p>
    <w:p w14:paraId="39F16094"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10F07525" wp14:editId="73CAD44B">
            <wp:extent cx="9906000" cy="6858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7C12EDBF"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Proposed Transaction Selecte</w:t>
      </w:r>
      <w:r>
        <w:rPr>
          <w:color w:val="FFFFFF"/>
          <w:sz w:val="2"/>
          <w:szCs w:val="2"/>
        </w:rPr>
        <w:t xml:space="preserve">d Public Companies / M&amp;A Transactions Analysis Low High Discounted Cash Flow Analysis Low High Valuation Analysis Indications </w:t>
      </w:r>
      <w:r>
        <w:rPr>
          <w:color w:val="FFFFFF"/>
          <w:sz w:val="2"/>
          <w:szCs w:val="2"/>
        </w:rPr>
        <w:t>̞</w:t>
      </w:r>
      <w:r>
        <w:rPr>
          <w:color w:val="FFFFFF"/>
          <w:sz w:val="2"/>
          <w:szCs w:val="2"/>
        </w:rPr>
        <w:t xml:space="preserve"> 646,600 - </w:t>
      </w:r>
      <w:r>
        <w:rPr>
          <w:color w:val="FFFFFF"/>
          <w:sz w:val="2"/>
          <w:szCs w:val="2"/>
        </w:rPr>
        <w:t>̞</w:t>
      </w:r>
      <w:r>
        <w:rPr>
          <w:color w:val="FFFFFF"/>
          <w:sz w:val="2"/>
          <w:szCs w:val="2"/>
        </w:rPr>
        <w:t xml:space="preserve"> 534,900 </w:t>
      </w:r>
      <w:r>
        <w:rPr>
          <w:color w:val="FFFFFF"/>
          <w:sz w:val="2"/>
          <w:szCs w:val="2"/>
        </w:rPr>
        <w:t>̞</w:t>
      </w:r>
      <w:r>
        <w:rPr>
          <w:color w:val="FFFFFF"/>
          <w:sz w:val="2"/>
          <w:szCs w:val="2"/>
        </w:rPr>
        <w:t xml:space="preserve"> 713,300 - </w:t>
      </w:r>
      <w:r>
        <w:rPr>
          <w:color w:val="FFFFFF"/>
          <w:sz w:val="2"/>
          <w:szCs w:val="2"/>
        </w:rPr>
        <w:t>̞</w:t>
      </w:r>
      <w:r>
        <w:rPr>
          <w:color w:val="FFFFFF"/>
          <w:sz w:val="2"/>
          <w:szCs w:val="2"/>
        </w:rPr>
        <w:t xml:space="preserve"> 594,000 Enterprise Value Range 102,311 - 102,311 102,311 - 102,311 Plus: Cash and Cash Equival</w:t>
      </w:r>
      <w:r>
        <w:rPr>
          <w:color w:val="FFFFFF"/>
          <w:sz w:val="2"/>
          <w:szCs w:val="2"/>
        </w:rPr>
        <w:t xml:space="preserve">ents (133,522) - (133,522) (133,522) - (133,522) Less: Bank Loans and Other Borrowings (155,000) - (155,000) (155,000) - (155,000) Less: Due to Related Parties </w:t>
      </w:r>
      <w:r>
        <w:rPr>
          <w:color w:val="FFFFFF"/>
          <w:sz w:val="2"/>
          <w:szCs w:val="2"/>
        </w:rPr>
        <w:t>̞</w:t>
      </w:r>
      <w:r>
        <w:rPr>
          <w:color w:val="FFFFFF"/>
          <w:sz w:val="2"/>
          <w:szCs w:val="2"/>
        </w:rPr>
        <w:t xml:space="preserve"> 460,390 - </w:t>
      </w:r>
      <w:r>
        <w:rPr>
          <w:color w:val="FFFFFF"/>
          <w:sz w:val="2"/>
          <w:szCs w:val="2"/>
        </w:rPr>
        <w:t>̞</w:t>
      </w:r>
      <w:r>
        <w:rPr>
          <w:color w:val="FFFFFF"/>
          <w:sz w:val="2"/>
          <w:szCs w:val="2"/>
        </w:rPr>
        <w:t xml:space="preserve"> 348,690 </w:t>
      </w:r>
      <w:r>
        <w:rPr>
          <w:color w:val="FFFFFF"/>
          <w:sz w:val="2"/>
          <w:szCs w:val="2"/>
        </w:rPr>
        <w:t>̞</w:t>
      </w:r>
      <w:r>
        <w:rPr>
          <w:color w:val="FFFFFF"/>
          <w:sz w:val="2"/>
          <w:szCs w:val="2"/>
        </w:rPr>
        <w:t xml:space="preserve"> 527,090 - </w:t>
      </w:r>
      <w:r>
        <w:rPr>
          <w:color w:val="FFFFFF"/>
          <w:sz w:val="2"/>
          <w:szCs w:val="2"/>
        </w:rPr>
        <w:t>̞</w:t>
      </w:r>
      <w:r>
        <w:rPr>
          <w:color w:val="FFFFFF"/>
          <w:sz w:val="2"/>
          <w:szCs w:val="2"/>
        </w:rPr>
        <w:t xml:space="preserve"> 407,790 Equity Value Range (Before Financial Liabilities fro</w:t>
      </w:r>
      <w:r>
        <w:rPr>
          <w:color w:val="FFFFFF"/>
          <w:sz w:val="2"/>
          <w:szCs w:val="2"/>
        </w:rPr>
        <w:t>m Arbitral Awards) (576,500) - (576,500) (576,500) - (576,500) Less: Financial Liabilities from Arbitral Awards (1) - NM - - - NM - - NM - - - NM - Equity Value Range - NM - - - NM - - NM - - - NM - Equity Value Range (USD) 41,212,693 - 41,212,693 41,212,6</w:t>
      </w:r>
      <w:r>
        <w:rPr>
          <w:color w:val="FFFFFF"/>
          <w:sz w:val="2"/>
          <w:szCs w:val="2"/>
        </w:rPr>
        <w:t>93 - 41,212,693 Shares Issued and Outstanding - NM - - - NM - - NM - - - NM - Value Per Share Range (RMB) Offer Price 6.84 - 6.84 6.84 - 6.84 RMB to USD FX Rate (as of 4/26/2026) $0.066 - NM - - - NM - - NM - - - NM - Value Per Share Range (USD) Offer Pric</w:t>
      </w:r>
      <w:r>
        <w:rPr>
          <w:color w:val="FFFFFF"/>
          <w:sz w:val="2"/>
          <w:szCs w:val="2"/>
        </w:rPr>
        <w:t>e Option Value Analysis Indications $0.066 $0.01 - $0.22 $0.22 - $0.01 Value Per Share Range (USD) Implied Valuation Multiples 1.39x 1.15x - 0.95x 1.27x - 1.06x EV / FY 3/31/2026 Revenue 1.47x 1.21x - 1.00x 1.34x - 1.11x EV / FY 3/31/2027 Revenue 1.47x 1.2</w:t>
      </w:r>
      <w:r>
        <w:rPr>
          <w:color w:val="FFFFFF"/>
          <w:sz w:val="2"/>
          <w:szCs w:val="2"/>
        </w:rPr>
        <w:t>2x - 1.01x 1.35x - 1.12x EV / FY 3/31/2028 Revenue 14.0x 11.6x - 9.6x 12.8x - 10.7x EV / FY 3/31/2026 EBITDA 11.5x 9.5x - 7.9x 10.5x - 8.7x EV / FY 3/31/2027 EBITDA 9.7x 8.0x - 6.6x 8.8x - 7.4x EV / FY 3/31/2028 EBITDA Valuation Summary Valuation Summary (</w:t>
      </w:r>
      <w:r>
        <w:rPr>
          <w:color w:val="FFFFFF"/>
          <w:sz w:val="2"/>
          <w:szCs w:val="2"/>
        </w:rPr>
        <w:t xml:space="preserve">RMB in thousands, except per Share values or otherwise noted) 11 Introduction and Transaction Overview (1) Reflects the financial liabilities resulted from the arbitral awards received by the Company as previously disclosed in the Company's current report </w:t>
      </w:r>
      <w:r>
        <w:rPr>
          <w:color w:val="FFFFFF"/>
          <w:sz w:val="2"/>
          <w:szCs w:val="2"/>
        </w:rPr>
        <w:t>on Form 6 - K furnished with the SEC. Note: Balance sheet data as of March 31, 2026. Financial performance metrics presented are adjusted to exclude public company costs, transaction costs and non - recurring items as provided by the management the Company</w:t>
      </w:r>
      <w:r>
        <w:rPr>
          <w:color w:val="FFFFFF"/>
          <w:sz w:val="2"/>
          <w:szCs w:val="2"/>
        </w:rPr>
        <w:t>.</w:t>
      </w:r>
    </w:p>
    <w:p w14:paraId="7D37AC5F" w14:textId="77777777" w:rsidR="00000000" w:rsidRDefault="002F725F">
      <w:pPr>
        <w:pStyle w:val="NormalWeb"/>
        <w:spacing w:before="0" w:beforeAutospacing="0" w:after="0" w:afterAutospacing="0"/>
        <w:jc w:val="center"/>
        <w:divId w:val="174660628"/>
      </w:pPr>
      <w:r>
        <w:t> </w:t>
      </w:r>
    </w:p>
    <w:p w14:paraId="5BDCBF9B" w14:textId="77777777" w:rsidR="00000000" w:rsidRDefault="002F725F">
      <w:pPr>
        <w:pStyle w:val="NormalWeb"/>
        <w:spacing w:before="0" w:beforeAutospacing="0" w:after="0" w:afterAutospacing="0"/>
        <w:jc w:val="center"/>
        <w:divId w:val="1159999221"/>
      </w:pPr>
      <w:r>
        <w:t> </w:t>
      </w:r>
    </w:p>
    <w:p w14:paraId="3EAF8A54"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473F48DE" wp14:editId="61DB3DCB">
            <wp:extent cx="9906000" cy="6858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6F5A9D5E"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2. Valuation Analysis</w:t>
      </w:r>
    </w:p>
    <w:p w14:paraId="02540BB9" w14:textId="77777777" w:rsidR="00000000" w:rsidRDefault="002F725F">
      <w:pPr>
        <w:pStyle w:val="NormalWeb"/>
        <w:spacing w:before="0" w:beforeAutospacing="0" w:after="0" w:afterAutospacing="0"/>
        <w:jc w:val="center"/>
        <w:divId w:val="2070494982"/>
      </w:pPr>
      <w:r>
        <w:t> </w:t>
      </w:r>
    </w:p>
    <w:p w14:paraId="6D527353" w14:textId="77777777" w:rsidR="00000000" w:rsidRDefault="002F725F">
      <w:pPr>
        <w:pStyle w:val="NormalWeb"/>
        <w:spacing w:before="0" w:beforeAutospacing="0" w:after="0" w:afterAutospacing="0"/>
        <w:jc w:val="center"/>
        <w:divId w:val="1506477103"/>
      </w:pPr>
      <w:r>
        <w:t> </w:t>
      </w:r>
    </w:p>
    <w:p w14:paraId="0F1F1D0F"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32DE8A16" wp14:editId="1E6432B4">
            <wp:extent cx="9906000" cy="6858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37AA9434"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Historical and Projected Financial Performance Historical and Projected Financial Performance (RMB in thousands) Management Projections Valuation Analys</w:t>
      </w:r>
      <w:r>
        <w:rPr>
          <w:color w:val="FFFFFF"/>
          <w:sz w:val="2"/>
          <w:szCs w:val="2"/>
        </w:rPr>
        <w:t>is Note: Balance sheet data as of March 31, 2026. Fiscal years ending on March 31 each year. (1) EBITDA and EBIT are adjusted to exclude public company costs, transaction costs and non - recurring items as provided by the management of the Company. Source:</w:t>
      </w:r>
      <w:r>
        <w:rPr>
          <w:color w:val="FFFFFF"/>
          <w:sz w:val="2"/>
          <w:szCs w:val="2"/>
        </w:rPr>
        <w:t xml:space="preserve"> Company filings, the management of the Company. 2023A 2024A 2025A 2026A 2027P 2028P 2029P 2030P 2031P 2032P 2033P </w:t>
      </w:r>
      <w:r>
        <w:rPr>
          <w:color w:val="FFFFFF"/>
          <w:sz w:val="2"/>
          <w:szCs w:val="2"/>
        </w:rPr>
        <w:t>̞</w:t>
      </w:r>
      <w:r>
        <w:rPr>
          <w:color w:val="FFFFFF"/>
          <w:sz w:val="2"/>
          <w:szCs w:val="2"/>
        </w:rPr>
        <w:t xml:space="preserve"> 569,743 1.0% </w:t>
      </w:r>
      <w:r>
        <w:rPr>
          <w:color w:val="FFFFFF"/>
          <w:sz w:val="2"/>
          <w:szCs w:val="2"/>
        </w:rPr>
        <w:t>̞</w:t>
      </w:r>
      <w:r>
        <w:rPr>
          <w:color w:val="FFFFFF"/>
          <w:sz w:val="2"/>
          <w:szCs w:val="2"/>
        </w:rPr>
        <w:t xml:space="preserve"> 564,373 2.3% </w:t>
      </w:r>
      <w:r>
        <w:rPr>
          <w:color w:val="FFFFFF"/>
          <w:sz w:val="2"/>
          <w:szCs w:val="2"/>
        </w:rPr>
        <w:t>̞</w:t>
      </w:r>
      <w:r>
        <w:rPr>
          <w:color w:val="FFFFFF"/>
          <w:sz w:val="2"/>
          <w:szCs w:val="2"/>
        </w:rPr>
        <w:t xml:space="preserve"> 551,860 2.7% </w:t>
      </w:r>
      <w:r>
        <w:rPr>
          <w:color w:val="FFFFFF"/>
          <w:sz w:val="2"/>
          <w:szCs w:val="2"/>
        </w:rPr>
        <w:t>̞</w:t>
      </w:r>
      <w:r>
        <w:rPr>
          <w:color w:val="FFFFFF"/>
          <w:sz w:val="2"/>
          <w:szCs w:val="2"/>
        </w:rPr>
        <w:t xml:space="preserve"> 537,387 0.7% </w:t>
      </w:r>
      <w:r>
        <w:rPr>
          <w:color w:val="FFFFFF"/>
          <w:sz w:val="2"/>
          <w:szCs w:val="2"/>
        </w:rPr>
        <w:t>̞</w:t>
      </w:r>
      <w:r>
        <w:rPr>
          <w:color w:val="FFFFFF"/>
          <w:sz w:val="2"/>
          <w:szCs w:val="2"/>
        </w:rPr>
        <w:t xml:space="preserve"> 533,877 0.7% </w:t>
      </w:r>
      <w:r>
        <w:rPr>
          <w:color w:val="FFFFFF"/>
          <w:sz w:val="2"/>
          <w:szCs w:val="2"/>
        </w:rPr>
        <w:t>̞</w:t>
      </w:r>
      <w:r>
        <w:rPr>
          <w:color w:val="FFFFFF"/>
          <w:sz w:val="2"/>
          <w:szCs w:val="2"/>
        </w:rPr>
        <w:t xml:space="preserve"> 530,035 (0.6%) </w:t>
      </w:r>
      <w:r>
        <w:rPr>
          <w:color w:val="FFFFFF"/>
          <w:sz w:val="2"/>
          <w:szCs w:val="2"/>
        </w:rPr>
        <w:t>̞</w:t>
      </w:r>
      <w:r>
        <w:rPr>
          <w:color w:val="FFFFFF"/>
          <w:sz w:val="2"/>
          <w:szCs w:val="2"/>
        </w:rPr>
        <w:t xml:space="preserve"> 533,277 (4.9%) </w:t>
      </w:r>
      <w:r>
        <w:rPr>
          <w:color w:val="FFFFFF"/>
          <w:sz w:val="2"/>
          <w:szCs w:val="2"/>
        </w:rPr>
        <w:t>̞</w:t>
      </w:r>
      <w:r>
        <w:rPr>
          <w:color w:val="FFFFFF"/>
          <w:sz w:val="2"/>
          <w:szCs w:val="2"/>
        </w:rPr>
        <w:t xml:space="preserve"> 560,626 (8.8%) </w:t>
      </w:r>
      <w:r>
        <w:rPr>
          <w:color w:val="FFFFFF"/>
          <w:sz w:val="2"/>
          <w:szCs w:val="2"/>
        </w:rPr>
        <w:t>̞</w:t>
      </w:r>
      <w:r>
        <w:rPr>
          <w:color w:val="FFFFFF"/>
          <w:sz w:val="2"/>
          <w:szCs w:val="2"/>
        </w:rPr>
        <w:t xml:space="preserve"> 614,962 7.2% </w:t>
      </w:r>
      <w:r>
        <w:rPr>
          <w:color w:val="FFFFFF"/>
          <w:sz w:val="2"/>
          <w:szCs w:val="2"/>
        </w:rPr>
        <w:t>̞</w:t>
      </w:r>
      <w:r>
        <w:rPr>
          <w:color w:val="FFFFFF"/>
          <w:sz w:val="2"/>
          <w:szCs w:val="2"/>
        </w:rPr>
        <w:t xml:space="preserve"> 573,418 (16.6%) </w:t>
      </w:r>
      <w:r>
        <w:rPr>
          <w:color w:val="FFFFFF"/>
          <w:sz w:val="2"/>
          <w:szCs w:val="2"/>
        </w:rPr>
        <w:t>̞</w:t>
      </w:r>
      <w:r>
        <w:rPr>
          <w:color w:val="FFFFFF"/>
          <w:sz w:val="2"/>
          <w:szCs w:val="2"/>
        </w:rPr>
        <w:t xml:space="preserve"> 687,201 NA Total Revenue Growth </w:t>
      </w:r>
      <w:r>
        <w:rPr>
          <w:color w:val="FFFFFF"/>
          <w:sz w:val="2"/>
          <w:szCs w:val="2"/>
        </w:rPr>
        <w:t>̞</w:t>
      </w:r>
      <w:r>
        <w:rPr>
          <w:color w:val="FFFFFF"/>
          <w:sz w:val="2"/>
          <w:szCs w:val="2"/>
        </w:rPr>
        <w:t xml:space="preserve"> 115,308 </w:t>
      </w:r>
      <w:r>
        <w:rPr>
          <w:color w:val="FFFFFF"/>
          <w:sz w:val="2"/>
          <w:szCs w:val="2"/>
        </w:rPr>
        <w:t>̞</w:t>
      </w:r>
      <w:r>
        <w:rPr>
          <w:color w:val="FFFFFF"/>
          <w:sz w:val="2"/>
          <w:szCs w:val="2"/>
        </w:rPr>
        <w:t xml:space="preserve"> 113,489 </w:t>
      </w:r>
      <w:r>
        <w:rPr>
          <w:color w:val="FFFFFF"/>
          <w:sz w:val="2"/>
          <w:szCs w:val="2"/>
        </w:rPr>
        <w:t>̞</w:t>
      </w:r>
      <w:r>
        <w:rPr>
          <w:color w:val="FFFFFF"/>
          <w:sz w:val="2"/>
          <w:szCs w:val="2"/>
        </w:rPr>
        <w:t xml:space="preserve"> 105,945 </w:t>
      </w:r>
      <w:r>
        <w:rPr>
          <w:color w:val="FFFFFF"/>
          <w:sz w:val="2"/>
          <w:szCs w:val="2"/>
        </w:rPr>
        <w:t>̞</w:t>
      </w:r>
      <w:r>
        <w:rPr>
          <w:color w:val="FFFFFF"/>
          <w:sz w:val="2"/>
          <w:szCs w:val="2"/>
        </w:rPr>
        <w:t xml:space="preserve"> 101,734 </w:t>
      </w:r>
      <w:r>
        <w:rPr>
          <w:color w:val="FFFFFF"/>
          <w:sz w:val="2"/>
          <w:szCs w:val="2"/>
        </w:rPr>
        <w:t>̞</w:t>
      </w:r>
      <w:r>
        <w:rPr>
          <w:color w:val="FFFFFF"/>
          <w:sz w:val="2"/>
          <w:szCs w:val="2"/>
        </w:rPr>
        <w:t xml:space="preserve"> 92,161 </w:t>
      </w:r>
      <w:r>
        <w:rPr>
          <w:color w:val="FFFFFF"/>
          <w:sz w:val="2"/>
          <w:szCs w:val="2"/>
        </w:rPr>
        <w:t>̞</w:t>
      </w:r>
      <w:r>
        <w:rPr>
          <w:color w:val="FFFFFF"/>
          <w:sz w:val="2"/>
          <w:szCs w:val="2"/>
        </w:rPr>
        <w:t xml:space="preserve"> 80,783 </w:t>
      </w:r>
      <w:r>
        <w:rPr>
          <w:color w:val="FFFFFF"/>
          <w:sz w:val="2"/>
          <w:szCs w:val="2"/>
        </w:rPr>
        <w:t>̞</w:t>
      </w:r>
      <w:r>
        <w:rPr>
          <w:color w:val="FFFFFF"/>
          <w:sz w:val="2"/>
          <w:szCs w:val="2"/>
        </w:rPr>
        <w:t xml:space="preserve"> 68,089 </w:t>
      </w:r>
      <w:r>
        <w:rPr>
          <w:color w:val="FFFFFF"/>
          <w:sz w:val="2"/>
          <w:szCs w:val="2"/>
        </w:rPr>
        <w:t>̞</w:t>
      </w:r>
      <w:r>
        <w:rPr>
          <w:color w:val="FFFFFF"/>
          <w:sz w:val="2"/>
          <w:szCs w:val="2"/>
        </w:rPr>
        <w:t xml:space="preserve"> 55,700 - </w:t>
      </w:r>
      <w:r>
        <w:rPr>
          <w:color w:val="FFFFFF"/>
          <w:sz w:val="2"/>
          <w:szCs w:val="2"/>
        </w:rPr>
        <w:t>̞</w:t>
      </w:r>
      <w:r>
        <w:rPr>
          <w:color w:val="FFFFFF"/>
          <w:sz w:val="2"/>
          <w:szCs w:val="2"/>
        </w:rPr>
        <w:t xml:space="preserve"> 556 - </w:t>
      </w:r>
      <w:r>
        <w:rPr>
          <w:color w:val="FFFFFF"/>
          <w:sz w:val="2"/>
          <w:szCs w:val="2"/>
        </w:rPr>
        <w:t>̞</w:t>
      </w:r>
      <w:r>
        <w:rPr>
          <w:color w:val="FFFFFF"/>
          <w:sz w:val="2"/>
          <w:szCs w:val="2"/>
        </w:rPr>
        <w:t xml:space="preserve"> 229,301 - </w:t>
      </w:r>
      <w:r>
        <w:rPr>
          <w:color w:val="FFFFFF"/>
          <w:sz w:val="2"/>
          <w:szCs w:val="2"/>
        </w:rPr>
        <w:t>̞</w:t>
      </w:r>
      <w:r>
        <w:rPr>
          <w:color w:val="FFFFFF"/>
          <w:sz w:val="2"/>
          <w:szCs w:val="2"/>
        </w:rPr>
        <w:t xml:space="preserve"> 93,003 EBITDA (1) 20.2% 20.1% 19.2% 18.9% 17.3% 15.2% 12.8% 9.9% (0.1%) (40.0%) (13.5%) Margin % 1.6% 7.</w:t>
      </w:r>
      <w:r>
        <w:rPr>
          <w:color w:val="FFFFFF"/>
          <w:sz w:val="2"/>
          <w:szCs w:val="2"/>
        </w:rPr>
        <w:t xml:space="preserve">1% 4.1% 10.4% 14.1% 18.6% 22.2% NM NM NM NA Growth </w:t>
      </w:r>
      <w:r>
        <w:rPr>
          <w:color w:val="FFFFFF"/>
          <w:sz w:val="2"/>
          <w:szCs w:val="2"/>
        </w:rPr>
        <w:t>̞</w:t>
      </w:r>
      <w:r>
        <w:rPr>
          <w:color w:val="FFFFFF"/>
          <w:sz w:val="2"/>
          <w:szCs w:val="2"/>
        </w:rPr>
        <w:t xml:space="preserve"> 75,444 </w:t>
      </w:r>
      <w:r>
        <w:rPr>
          <w:color w:val="FFFFFF"/>
          <w:sz w:val="2"/>
          <w:szCs w:val="2"/>
        </w:rPr>
        <w:t>̞</w:t>
      </w:r>
      <w:r>
        <w:rPr>
          <w:color w:val="FFFFFF"/>
          <w:sz w:val="2"/>
          <w:szCs w:val="2"/>
        </w:rPr>
        <w:t xml:space="preserve"> 74,719 </w:t>
      </w:r>
      <w:r>
        <w:rPr>
          <w:color w:val="FFFFFF"/>
          <w:sz w:val="2"/>
          <w:szCs w:val="2"/>
        </w:rPr>
        <w:t>̞</w:t>
      </w:r>
      <w:r>
        <w:rPr>
          <w:color w:val="FFFFFF"/>
          <w:sz w:val="2"/>
          <w:szCs w:val="2"/>
        </w:rPr>
        <w:t xml:space="preserve"> 68,182 </w:t>
      </w:r>
      <w:r>
        <w:rPr>
          <w:color w:val="FFFFFF"/>
          <w:sz w:val="2"/>
          <w:szCs w:val="2"/>
        </w:rPr>
        <w:t>̞</w:t>
      </w:r>
      <w:r>
        <w:rPr>
          <w:color w:val="FFFFFF"/>
          <w:sz w:val="2"/>
          <w:szCs w:val="2"/>
        </w:rPr>
        <w:t xml:space="preserve"> 64,890 </w:t>
      </w:r>
      <w:r>
        <w:rPr>
          <w:color w:val="FFFFFF"/>
          <w:sz w:val="2"/>
          <w:szCs w:val="2"/>
        </w:rPr>
        <w:t>̞</w:t>
      </w:r>
      <w:r>
        <w:rPr>
          <w:color w:val="FFFFFF"/>
          <w:sz w:val="2"/>
          <w:szCs w:val="2"/>
        </w:rPr>
        <w:t xml:space="preserve"> 56,148 </w:t>
      </w:r>
      <w:r>
        <w:rPr>
          <w:color w:val="FFFFFF"/>
          <w:sz w:val="2"/>
          <w:szCs w:val="2"/>
        </w:rPr>
        <w:t>̞</w:t>
      </w:r>
      <w:r>
        <w:rPr>
          <w:color w:val="FFFFFF"/>
          <w:sz w:val="2"/>
          <w:szCs w:val="2"/>
        </w:rPr>
        <w:t xml:space="preserve"> 45,535 </w:t>
      </w:r>
      <w:r>
        <w:rPr>
          <w:color w:val="FFFFFF"/>
          <w:sz w:val="2"/>
          <w:szCs w:val="2"/>
        </w:rPr>
        <w:t>̞</w:t>
      </w:r>
      <w:r>
        <w:rPr>
          <w:color w:val="FFFFFF"/>
          <w:sz w:val="2"/>
          <w:szCs w:val="2"/>
        </w:rPr>
        <w:t xml:space="preserve"> 33,607 </w:t>
      </w:r>
      <w:r>
        <w:rPr>
          <w:color w:val="FFFFFF"/>
          <w:sz w:val="2"/>
          <w:szCs w:val="2"/>
        </w:rPr>
        <w:t>̞</w:t>
      </w:r>
      <w:r>
        <w:rPr>
          <w:color w:val="FFFFFF"/>
          <w:sz w:val="2"/>
          <w:szCs w:val="2"/>
        </w:rPr>
        <w:t xml:space="preserve"> 18,328 - </w:t>
      </w:r>
      <w:r>
        <w:rPr>
          <w:color w:val="FFFFFF"/>
          <w:sz w:val="2"/>
          <w:szCs w:val="2"/>
        </w:rPr>
        <w:t>̞</w:t>
      </w:r>
      <w:r>
        <w:rPr>
          <w:color w:val="FFFFFF"/>
          <w:sz w:val="2"/>
          <w:szCs w:val="2"/>
        </w:rPr>
        <w:t xml:space="preserve"> 37,211 - </w:t>
      </w:r>
      <w:r>
        <w:rPr>
          <w:color w:val="FFFFFF"/>
          <w:sz w:val="2"/>
          <w:szCs w:val="2"/>
        </w:rPr>
        <w:t>̞</w:t>
      </w:r>
      <w:r>
        <w:rPr>
          <w:color w:val="FFFFFF"/>
          <w:sz w:val="2"/>
          <w:szCs w:val="2"/>
        </w:rPr>
        <w:t xml:space="preserve"> 271,525 - </w:t>
      </w:r>
      <w:r>
        <w:rPr>
          <w:color w:val="FFFFFF"/>
          <w:sz w:val="2"/>
          <w:szCs w:val="2"/>
        </w:rPr>
        <w:t>̞</w:t>
      </w:r>
      <w:r>
        <w:rPr>
          <w:color w:val="FFFFFF"/>
          <w:sz w:val="2"/>
          <w:szCs w:val="2"/>
        </w:rPr>
        <w:t xml:space="preserve"> 129,733 EBIT (1) 13.2% 13.2% 12.4% 12.1% 10.5% 8.6% 6.3% 3.3% (6.1%) (47.4%) (18.9%) Margin % 1.0% 9.6% 5.</w:t>
      </w:r>
      <w:r>
        <w:rPr>
          <w:color w:val="FFFFFF"/>
          <w:sz w:val="2"/>
          <w:szCs w:val="2"/>
        </w:rPr>
        <w:t xml:space="preserve">1% 15.6% 23.3% 35.5% 83.4% NM NM NM NA Growth </w:t>
      </w:r>
      <w:r>
        <w:rPr>
          <w:color w:val="FFFFFF"/>
          <w:sz w:val="2"/>
          <w:szCs w:val="2"/>
        </w:rPr>
        <w:t>̞</w:t>
      </w:r>
      <w:r>
        <w:rPr>
          <w:color w:val="FFFFFF"/>
          <w:sz w:val="2"/>
          <w:szCs w:val="2"/>
        </w:rPr>
        <w:t xml:space="preserve"> 13,000 2.3% </w:t>
      </w:r>
      <w:r>
        <w:rPr>
          <w:color w:val="FFFFFF"/>
          <w:sz w:val="2"/>
          <w:szCs w:val="2"/>
        </w:rPr>
        <w:t>̞</w:t>
      </w:r>
      <w:r>
        <w:rPr>
          <w:color w:val="FFFFFF"/>
          <w:sz w:val="2"/>
          <w:szCs w:val="2"/>
        </w:rPr>
        <w:t xml:space="preserve"> 12,000 2.1% </w:t>
      </w:r>
      <w:r>
        <w:rPr>
          <w:color w:val="FFFFFF"/>
          <w:sz w:val="2"/>
          <w:szCs w:val="2"/>
        </w:rPr>
        <w:t>̞</w:t>
      </w:r>
      <w:r>
        <w:rPr>
          <w:color w:val="FFFFFF"/>
          <w:sz w:val="2"/>
          <w:szCs w:val="2"/>
        </w:rPr>
        <w:t xml:space="preserve"> 11,000 2.0% </w:t>
      </w:r>
      <w:r>
        <w:rPr>
          <w:color w:val="FFFFFF"/>
          <w:sz w:val="2"/>
          <w:szCs w:val="2"/>
        </w:rPr>
        <w:t>̞</w:t>
      </w:r>
      <w:r>
        <w:rPr>
          <w:color w:val="FFFFFF"/>
          <w:sz w:val="2"/>
          <w:szCs w:val="2"/>
        </w:rPr>
        <w:t xml:space="preserve"> 10,000 1.9% </w:t>
      </w:r>
      <w:r>
        <w:rPr>
          <w:color w:val="FFFFFF"/>
          <w:sz w:val="2"/>
          <w:szCs w:val="2"/>
        </w:rPr>
        <w:t>̞</w:t>
      </w:r>
      <w:r>
        <w:rPr>
          <w:color w:val="FFFFFF"/>
          <w:sz w:val="2"/>
          <w:szCs w:val="2"/>
        </w:rPr>
        <w:t xml:space="preserve"> 9,000 1.7% </w:t>
      </w:r>
      <w:r>
        <w:rPr>
          <w:color w:val="FFFFFF"/>
          <w:sz w:val="2"/>
          <w:szCs w:val="2"/>
        </w:rPr>
        <w:t>̞</w:t>
      </w:r>
      <w:r>
        <w:rPr>
          <w:color w:val="FFFFFF"/>
          <w:sz w:val="2"/>
          <w:szCs w:val="2"/>
        </w:rPr>
        <w:t xml:space="preserve"> 8,500 1.6% </w:t>
      </w:r>
      <w:r>
        <w:rPr>
          <w:color w:val="FFFFFF"/>
          <w:sz w:val="2"/>
          <w:szCs w:val="2"/>
        </w:rPr>
        <w:t>̞</w:t>
      </w:r>
      <w:r>
        <w:rPr>
          <w:color w:val="FFFFFF"/>
          <w:sz w:val="2"/>
          <w:szCs w:val="2"/>
        </w:rPr>
        <w:t xml:space="preserve"> 9,000 1.7% </w:t>
      </w:r>
      <w:r>
        <w:rPr>
          <w:color w:val="FFFFFF"/>
          <w:sz w:val="2"/>
          <w:szCs w:val="2"/>
        </w:rPr>
        <w:t>̞</w:t>
      </w:r>
      <w:r>
        <w:rPr>
          <w:color w:val="FFFFFF"/>
          <w:sz w:val="2"/>
          <w:szCs w:val="2"/>
        </w:rPr>
        <w:t xml:space="preserve"> 19,516 3.5% </w:t>
      </w:r>
      <w:r>
        <w:rPr>
          <w:color w:val="FFFFFF"/>
          <w:sz w:val="2"/>
          <w:szCs w:val="2"/>
        </w:rPr>
        <w:t>̞</w:t>
      </w:r>
      <w:r>
        <w:rPr>
          <w:color w:val="FFFFFF"/>
          <w:sz w:val="2"/>
          <w:szCs w:val="2"/>
        </w:rPr>
        <w:t xml:space="preserve"> 17,859 2.9% </w:t>
      </w:r>
      <w:r>
        <w:rPr>
          <w:color w:val="FFFFFF"/>
          <w:sz w:val="2"/>
          <w:szCs w:val="2"/>
        </w:rPr>
        <w:t>̞</w:t>
      </w:r>
      <w:r>
        <w:rPr>
          <w:color w:val="FFFFFF"/>
          <w:sz w:val="2"/>
          <w:szCs w:val="2"/>
        </w:rPr>
        <w:t xml:space="preserve"> 44,251 7.7% </w:t>
      </w:r>
      <w:r>
        <w:rPr>
          <w:color w:val="FFFFFF"/>
          <w:sz w:val="2"/>
          <w:szCs w:val="2"/>
        </w:rPr>
        <w:t>̞</w:t>
      </w:r>
      <w:r>
        <w:rPr>
          <w:color w:val="FFFFFF"/>
          <w:sz w:val="2"/>
          <w:szCs w:val="2"/>
        </w:rPr>
        <w:t xml:space="preserve"> 57,050 8.3% Capital Expenditures % of Total Revenue 11.3% 10.6% 10.4% 9</w:t>
      </w:r>
      <w:r>
        <w:rPr>
          <w:color w:val="FFFFFF"/>
          <w:sz w:val="2"/>
          <w:szCs w:val="2"/>
        </w:rPr>
        <w:t xml:space="preserve">.8% 9.8% 10.5% 13.2% 35.0% NM NM NM % of EBITDA </w:t>
      </w:r>
      <w:r>
        <w:rPr>
          <w:color w:val="FFFFFF"/>
          <w:sz w:val="2"/>
          <w:szCs w:val="2"/>
        </w:rPr>
        <w:t>̞</w:t>
      </w:r>
      <w:r>
        <w:rPr>
          <w:color w:val="FFFFFF"/>
          <w:sz w:val="2"/>
          <w:szCs w:val="2"/>
        </w:rPr>
        <w:t xml:space="preserve"> 436,692 </w:t>
      </w:r>
      <w:r>
        <w:rPr>
          <w:color w:val="FFFFFF"/>
          <w:sz w:val="2"/>
          <w:szCs w:val="2"/>
        </w:rPr>
        <w:t>̞</w:t>
      </w:r>
      <w:r>
        <w:rPr>
          <w:color w:val="FFFFFF"/>
          <w:sz w:val="2"/>
          <w:szCs w:val="2"/>
        </w:rPr>
        <w:t xml:space="preserve"> 435,511 </w:t>
      </w:r>
      <w:r>
        <w:rPr>
          <w:color w:val="FFFFFF"/>
          <w:sz w:val="2"/>
          <w:szCs w:val="2"/>
        </w:rPr>
        <w:t>̞</w:t>
      </w:r>
      <w:r>
        <w:rPr>
          <w:color w:val="FFFFFF"/>
          <w:sz w:val="2"/>
          <w:szCs w:val="2"/>
        </w:rPr>
        <w:t xml:space="preserve"> 435,201 </w:t>
      </w:r>
      <w:r>
        <w:rPr>
          <w:color w:val="FFFFFF"/>
          <w:sz w:val="2"/>
          <w:szCs w:val="2"/>
        </w:rPr>
        <w:t>̞</w:t>
      </w:r>
      <w:r>
        <w:rPr>
          <w:color w:val="FFFFFF"/>
          <w:sz w:val="2"/>
          <w:szCs w:val="2"/>
        </w:rPr>
        <w:t xml:space="preserve"> 422,260 </w:t>
      </w:r>
      <w:r>
        <w:rPr>
          <w:color w:val="FFFFFF"/>
          <w:sz w:val="2"/>
          <w:szCs w:val="2"/>
        </w:rPr>
        <w:t>̞</w:t>
      </w:r>
      <w:r>
        <w:rPr>
          <w:color w:val="FFFFFF"/>
          <w:sz w:val="2"/>
          <w:szCs w:val="2"/>
        </w:rPr>
        <w:t xml:space="preserve"> 407,112 </w:t>
      </w:r>
      <w:r>
        <w:rPr>
          <w:color w:val="FFFFFF"/>
          <w:sz w:val="2"/>
          <w:szCs w:val="2"/>
        </w:rPr>
        <w:t>̞</w:t>
      </w:r>
      <w:r>
        <w:rPr>
          <w:color w:val="FFFFFF"/>
          <w:sz w:val="2"/>
          <w:szCs w:val="2"/>
        </w:rPr>
        <w:t xml:space="preserve"> 410,267 </w:t>
      </w:r>
      <w:r>
        <w:rPr>
          <w:color w:val="FFFFFF"/>
          <w:sz w:val="2"/>
          <w:szCs w:val="2"/>
        </w:rPr>
        <w:t>̞</w:t>
      </w:r>
      <w:r>
        <w:rPr>
          <w:color w:val="FFFFFF"/>
          <w:sz w:val="2"/>
          <w:szCs w:val="2"/>
        </w:rPr>
        <w:t xml:space="preserve"> 386,169 </w:t>
      </w:r>
      <w:r>
        <w:rPr>
          <w:color w:val="FFFFFF"/>
          <w:sz w:val="2"/>
          <w:szCs w:val="2"/>
        </w:rPr>
        <w:t>̞</w:t>
      </w:r>
      <w:r>
        <w:rPr>
          <w:color w:val="FFFFFF"/>
          <w:sz w:val="2"/>
          <w:szCs w:val="2"/>
        </w:rPr>
        <w:t xml:space="preserve"> 365,896 </w:t>
      </w:r>
      <w:r>
        <w:rPr>
          <w:color w:val="FFFFFF"/>
          <w:sz w:val="2"/>
          <w:szCs w:val="2"/>
        </w:rPr>
        <w:t>̞</w:t>
      </w:r>
      <w:r>
        <w:rPr>
          <w:color w:val="FFFFFF"/>
          <w:sz w:val="2"/>
          <w:szCs w:val="2"/>
        </w:rPr>
        <w:t xml:space="preserve"> 302,333 </w:t>
      </w:r>
      <w:r>
        <w:rPr>
          <w:color w:val="FFFFFF"/>
          <w:sz w:val="2"/>
          <w:szCs w:val="2"/>
        </w:rPr>
        <w:t>̞</w:t>
      </w:r>
      <w:r>
        <w:rPr>
          <w:color w:val="FFFFFF"/>
          <w:sz w:val="2"/>
          <w:szCs w:val="2"/>
        </w:rPr>
        <w:t xml:space="preserve"> 180,104 </w:t>
      </w:r>
      <w:r>
        <w:rPr>
          <w:color w:val="FFFFFF"/>
          <w:sz w:val="2"/>
          <w:szCs w:val="2"/>
        </w:rPr>
        <w:t>̞</w:t>
      </w:r>
      <w:r>
        <w:rPr>
          <w:color w:val="FFFFFF"/>
          <w:sz w:val="2"/>
          <w:szCs w:val="2"/>
        </w:rPr>
        <w:t xml:space="preserve"> 207,633 Net Working Capital 76.6% 77.2% 78.9% 78.6% 76.3% 77.4% 72.4% 65.3% 49.2% 31.4% 30.2% % of Total R</w:t>
      </w:r>
      <w:r>
        <w:rPr>
          <w:color w:val="FFFFFF"/>
          <w:sz w:val="2"/>
          <w:szCs w:val="2"/>
        </w:rPr>
        <w:t>evenue 13</w:t>
      </w:r>
    </w:p>
    <w:p w14:paraId="26045ADF" w14:textId="77777777" w:rsidR="00000000" w:rsidRDefault="002F725F">
      <w:pPr>
        <w:pStyle w:val="NormalWeb"/>
        <w:spacing w:before="0" w:beforeAutospacing="0" w:after="0" w:afterAutospacing="0"/>
        <w:jc w:val="center"/>
        <w:divId w:val="377360715"/>
      </w:pPr>
      <w:r>
        <w:t> </w:t>
      </w:r>
    </w:p>
    <w:p w14:paraId="101ED789" w14:textId="77777777" w:rsidR="00000000" w:rsidRDefault="002F725F">
      <w:pPr>
        <w:pStyle w:val="NormalWeb"/>
        <w:spacing w:before="0" w:beforeAutospacing="0" w:after="0" w:afterAutospacing="0"/>
        <w:jc w:val="center"/>
        <w:divId w:val="2093162746"/>
      </w:pPr>
      <w:r>
        <w:t> </w:t>
      </w:r>
    </w:p>
    <w:p w14:paraId="0A3F50EE"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04F9EC86" wp14:editId="02F38EF3">
            <wp:extent cx="9906000" cy="6858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3A1069BE"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 xml:space="preserve">Discounted Cash Flow Analysis Methodology and Key Assumptions Discounted Cash Flow Methodology • Duff &amp; </w:t>
      </w:r>
      <w:r>
        <w:rPr>
          <w:color w:val="FFFFFF"/>
          <w:sz w:val="2"/>
          <w:szCs w:val="2"/>
        </w:rPr>
        <w:t>Phelps performed a discounted cash flow analysis of the projected unlevered free cash flows. • Unlevered free cash flow is defined as cash generated by the business that is available to either reinvest or to distribute to security holders. • Projected free</w:t>
      </w:r>
      <w:r>
        <w:rPr>
          <w:color w:val="FFFFFF"/>
          <w:sz w:val="2"/>
          <w:szCs w:val="2"/>
        </w:rPr>
        <w:t xml:space="preserve"> cash flows are discounted to the present using a discount rate which reflects their relative risk. • The discount rate is equivalent to the rate of return that security holders could expect to realize on alternative investment opportunities with similar r</w:t>
      </w:r>
      <w:r>
        <w:rPr>
          <w:color w:val="FFFFFF"/>
          <w:sz w:val="2"/>
          <w:szCs w:val="2"/>
        </w:rPr>
        <w:t>isk profiles . Discounted Cash Flow Key Assumptions • Duff &amp; Phelps utilized and relied upon the Management Projections for the fiscal years ending March 31 , 2027 through 2033 (excluding public company expenses and transaction costs, as provided by the ma</w:t>
      </w:r>
      <w:r>
        <w:rPr>
          <w:color w:val="FFFFFF"/>
          <w:sz w:val="2"/>
          <w:szCs w:val="2"/>
        </w:rPr>
        <w:t>nagement of the Company), discussions with the management of the Company, and a review of the Company’s historical performance and other factors to develop the discounted cash flow (“ DCF ”) analysis . • The following is a summary of the Management Project</w:t>
      </w:r>
      <w:r>
        <w:rPr>
          <w:color w:val="FFFFFF"/>
          <w:sz w:val="2"/>
          <w:szCs w:val="2"/>
        </w:rPr>
        <w:t>ions utilized in the discounted cash flow analysis: – Revenue increases at a compound annual growth rate (“ CAGR ”) of 0.2% from 2026 to 2033. – EBITDA increases at a CAGR of 11.0% from 2026 to 2033. – EBITDA margin averages 17.7% from 2027 to 2033, with E</w:t>
      </w:r>
      <w:r>
        <w:rPr>
          <w:color w:val="FFFFFF"/>
          <w:sz w:val="2"/>
          <w:szCs w:val="2"/>
        </w:rPr>
        <w:t>BITDA margin projected to reach 20.2% by 2033. – Capital expenditures averages 1.9% of total revenue from 2027 to 2033. – Net working capital averages 76.8% of total revenue from 2027 to 2033. • Beyond the projection period, Duff &amp; Phelps estimated the “te</w:t>
      </w:r>
      <w:r>
        <w:rPr>
          <w:color w:val="FFFFFF"/>
          <w:sz w:val="2"/>
          <w:szCs w:val="2"/>
        </w:rPr>
        <w:t>rminal value” using a perpetuity formula. • Duff &amp; Phelps discounted the resulting free cash flows and terminal value using a weighted average cost of capital range of 13.0% to 15.0%. 14 Valuation Analysis</w:t>
      </w:r>
    </w:p>
    <w:p w14:paraId="22B5691B" w14:textId="77777777" w:rsidR="00000000" w:rsidRDefault="002F725F">
      <w:pPr>
        <w:pStyle w:val="NormalWeb"/>
        <w:spacing w:before="0" w:beforeAutospacing="0" w:after="0" w:afterAutospacing="0"/>
        <w:jc w:val="center"/>
        <w:divId w:val="665746498"/>
      </w:pPr>
      <w:r>
        <w:t> </w:t>
      </w:r>
    </w:p>
    <w:p w14:paraId="248DE470" w14:textId="77777777" w:rsidR="00000000" w:rsidRDefault="002F725F">
      <w:pPr>
        <w:pStyle w:val="NormalWeb"/>
        <w:spacing w:before="0" w:beforeAutospacing="0" w:after="0" w:afterAutospacing="0"/>
        <w:jc w:val="center"/>
        <w:divId w:val="609817852"/>
      </w:pPr>
      <w:r>
        <w:t> </w:t>
      </w:r>
    </w:p>
    <w:p w14:paraId="728155EE"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54BFB194" wp14:editId="590C6889">
            <wp:extent cx="9906000" cy="6858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66CA82F8"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Discounted</w:t>
      </w:r>
      <w:r>
        <w:rPr>
          <w:color w:val="FFFFFF"/>
          <w:sz w:val="2"/>
          <w:szCs w:val="2"/>
        </w:rPr>
        <w:t xml:space="preserve"> Cash Flow Analysis Summary Discounted Cash Flow Analysis Terminal (RMB in thousands) Year 2033P 2032P 2031P 2030P 2029P 2028P 2027P 2026A </w:t>
      </w:r>
      <w:r>
        <w:rPr>
          <w:color w:val="FFFFFF"/>
          <w:sz w:val="2"/>
          <w:szCs w:val="2"/>
        </w:rPr>
        <w:t>̞</w:t>
      </w:r>
      <w:r>
        <w:rPr>
          <w:color w:val="FFFFFF"/>
          <w:sz w:val="2"/>
          <w:szCs w:val="2"/>
        </w:rPr>
        <w:t xml:space="preserve"> 569,743 </w:t>
      </w:r>
      <w:r>
        <w:rPr>
          <w:color w:val="FFFFFF"/>
          <w:sz w:val="2"/>
          <w:szCs w:val="2"/>
        </w:rPr>
        <w:t>̞</w:t>
      </w:r>
      <w:r>
        <w:rPr>
          <w:color w:val="FFFFFF"/>
          <w:sz w:val="2"/>
          <w:szCs w:val="2"/>
        </w:rPr>
        <w:t xml:space="preserve"> 569,743 </w:t>
      </w:r>
      <w:r>
        <w:rPr>
          <w:color w:val="FFFFFF"/>
          <w:sz w:val="2"/>
          <w:szCs w:val="2"/>
        </w:rPr>
        <w:t>̞</w:t>
      </w:r>
      <w:r>
        <w:rPr>
          <w:color w:val="FFFFFF"/>
          <w:sz w:val="2"/>
          <w:szCs w:val="2"/>
        </w:rPr>
        <w:t xml:space="preserve"> 564,373 </w:t>
      </w:r>
      <w:r>
        <w:rPr>
          <w:color w:val="FFFFFF"/>
          <w:sz w:val="2"/>
          <w:szCs w:val="2"/>
        </w:rPr>
        <w:t>̞</w:t>
      </w:r>
      <w:r>
        <w:rPr>
          <w:color w:val="FFFFFF"/>
          <w:sz w:val="2"/>
          <w:szCs w:val="2"/>
        </w:rPr>
        <w:t xml:space="preserve"> 551,860 </w:t>
      </w:r>
      <w:r>
        <w:rPr>
          <w:color w:val="FFFFFF"/>
          <w:sz w:val="2"/>
          <w:szCs w:val="2"/>
        </w:rPr>
        <w:t>̞</w:t>
      </w:r>
      <w:r>
        <w:rPr>
          <w:color w:val="FFFFFF"/>
          <w:sz w:val="2"/>
          <w:szCs w:val="2"/>
        </w:rPr>
        <w:t xml:space="preserve"> 537,387 </w:t>
      </w:r>
      <w:r>
        <w:rPr>
          <w:color w:val="FFFFFF"/>
          <w:sz w:val="2"/>
          <w:szCs w:val="2"/>
        </w:rPr>
        <w:t>̞</w:t>
      </w:r>
      <w:r>
        <w:rPr>
          <w:color w:val="FFFFFF"/>
          <w:sz w:val="2"/>
          <w:szCs w:val="2"/>
        </w:rPr>
        <w:t xml:space="preserve"> 533,877 </w:t>
      </w:r>
      <w:r>
        <w:rPr>
          <w:color w:val="FFFFFF"/>
          <w:sz w:val="2"/>
          <w:szCs w:val="2"/>
        </w:rPr>
        <w:t>̞</w:t>
      </w:r>
      <w:r>
        <w:rPr>
          <w:color w:val="FFFFFF"/>
          <w:sz w:val="2"/>
          <w:szCs w:val="2"/>
        </w:rPr>
        <w:t xml:space="preserve"> 530,035 </w:t>
      </w:r>
      <w:r>
        <w:rPr>
          <w:color w:val="FFFFFF"/>
          <w:sz w:val="2"/>
          <w:szCs w:val="2"/>
        </w:rPr>
        <w:t>̞</w:t>
      </w:r>
      <w:r>
        <w:rPr>
          <w:color w:val="FFFFFF"/>
          <w:sz w:val="2"/>
          <w:szCs w:val="2"/>
        </w:rPr>
        <w:t xml:space="preserve"> 533,277 </w:t>
      </w:r>
      <w:r>
        <w:rPr>
          <w:color w:val="FFFFFF"/>
          <w:sz w:val="2"/>
          <w:szCs w:val="2"/>
        </w:rPr>
        <w:t>̞</w:t>
      </w:r>
      <w:r>
        <w:rPr>
          <w:color w:val="FFFFFF"/>
          <w:sz w:val="2"/>
          <w:szCs w:val="2"/>
        </w:rPr>
        <w:t xml:space="preserve"> 560,626 Total Revenue 2.3% 1.0% 2.7</w:t>
      </w:r>
      <w:r>
        <w:rPr>
          <w:color w:val="FFFFFF"/>
          <w:sz w:val="2"/>
          <w:szCs w:val="2"/>
        </w:rPr>
        <w:t xml:space="preserve">% 0.7% 0.7% (0.6%) (4.9%) (8.8%) Growth </w:t>
      </w:r>
      <w:r>
        <w:rPr>
          <w:color w:val="FFFFFF"/>
          <w:sz w:val="2"/>
          <w:szCs w:val="2"/>
        </w:rPr>
        <w:t>̞</w:t>
      </w:r>
      <w:r>
        <w:rPr>
          <w:color w:val="FFFFFF"/>
          <w:sz w:val="2"/>
          <w:szCs w:val="2"/>
        </w:rPr>
        <w:t xml:space="preserve"> 113,489 </w:t>
      </w:r>
      <w:r>
        <w:rPr>
          <w:color w:val="FFFFFF"/>
          <w:sz w:val="2"/>
          <w:szCs w:val="2"/>
        </w:rPr>
        <w:t>̞</w:t>
      </w:r>
      <w:r>
        <w:rPr>
          <w:color w:val="FFFFFF"/>
          <w:sz w:val="2"/>
          <w:szCs w:val="2"/>
        </w:rPr>
        <w:t xml:space="preserve"> 115,308 </w:t>
      </w:r>
      <w:r>
        <w:rPr>
          <w:color w:val="FFFFFF"/>
          <w:sz w:val="2"/>
          <w:szCs w:val="2"/>
        </w:rPr>
        <w:t>̞</w:t>
      </w:r>
      <w:r>
        <w:rPr>
          <w:color w:val="FFFFFF"/>
          <w:sz w:val="2"/>
          <w:szCs w:val="2"/>
        </w:rPr>
        <w:t xml:space="preserve"> 115,308 </w:t>
      </w:r>
      <w:r>
        <w:rPr>
          <w:color w:val="FFFFFF"/>
          <w:sz w:val="2"/>
          <w:szCs w:val="2"/>
        </w:rPr>
        <w:t>̞</w:t>
      </w:r>
      <w:r>
        <w:rPr>
          <w:color w:val="FFFFFF"/>
          <w:sz w:val="2"/>
          <w:szCs w:val="2"/>
        </w:rPr>
        <w:t xml:space="preserve"> 105,945 </w:t>
      </w:r>
      <w:r>
        <w:rPr>
          <w:color w:val="FFFFFF"/>
          <w:sz w:val="2"/>
          <w:szCs w:val="2"/>
        </w:rPr>
        <w:t>̞</w:t>
      </w:r>
      <w:r>
        <w:rPr>
          <w:color w:val="FFFFFF"/>
          <w:sz w:val="2"/>
          <w:szCs w:val="2"/>
        </w:rPr>
        <w:t xml:space="preserve"> 101,734 </w:t>
      </w:r>
      <w:r>
        <w:rPr>
          <w:color w:val="FFFFFF"/>
          <w:sz w:val="2"/>
          <w:szCs w:val="2"/>
        </w:rPr>
        <w:t>̞</w:t>
      </w:r>
      <w:r>
        <w:rPr>
          <w:color w:val="FFFFFF"/>
          <w:sz w:val="2"/>
          <w:szCs w:val="2"/>
        </w:rPr>
        <w:t xml:space="preserve"> 92,161 </w:t>
      </w:r>
      <w:r>
        <w:rPr>
          <w:color w:val="FFFFFF"/>
          <w:sz w:val="2"/>
          <w:szCs w:val="2"/>
        </w:rPr>
        <w:t>̞</w:t>
      </w:r>
      <w:r>
        <w:rPr>
          <w:color w:val="FFFFFF"/>
          <w:sz w:val="2"/>
          <w:szCs w:val="2"/>
        </w:rPr>
        <w:t xml:space="preserve"> 80,783 </w:t>
      </w:r>
      <w:r>
        <w:rPr>
          <w:color w:val="FFFFFF"/>
          <w:sz w:val="2"/>
          <w:szCs w:val="2"/>
        </w:rPr>
        <w:t>̞</w:t>
      </w:r>
      <w:r>
        <w:rPr>
          <w:color w:val="FFFFFF"/>
          <w:sz w:val="2"/>
          <w:szCs w:val="2"/>
        </w:rPr>
        <w:t xml:space="preserve"> 68,089 </w:t>
      </w:r>
      <w:r>
        <w:rPr>
          <w:color w:val="FFFFFF"/>
          <w:sz w:val="2"/>
          <w:szCs w:val="2"/>
        </w:rPr>
        <w:t>̞</w:t>
      </w:r>
      <w:r>
        <w:rPr>
          <w:color w:val="FFFFFF"/>
          <w:sz w:val="2"/>
          <w:szCs w:val="2"/>
        </w:rPr>
        <w:t xml:space="preserve"> 55,700 EBITDA (1) 20.2% 20.2% 20.1% 19.2% 18.9% 17.3% 15.2% 12.8% 9.9% Margin 1.6% 7.1% 4.1% 10.4% 14.1% 18.6% 22.2% NM Growth </w:t>
      </w:r>
      <w:r>
        <w:rPr>
          <w:color w:val="FFFFFF"/>
          <w:sz w:val="2"/>
          <w:szCs w:val="2"/>
        </w:rPr>
        <w:t>̞</w:t>
      </w:r>
      <w:r>
        <w:rPr>
          <w:color w:val="FFFFFF"/>
          <w:sz w:val="2"/>
          <w:szCs w:val="2"/>
        </w:rPr>
        <w:t xml:space="preserve"> 102,958 </w:t>
      </w:r>
      <w:r>
        <w:rPr>
          <w:color w:val="FFFFFF"/>
          <w:sz w:val="2"/>
          <w:szCs w:val="2"/>
        </w:rPr>
        <w:t>̞</w:t>
      </w:r>
      <w:r>
        <w:rPr>
          <w:color w:val="FFFFFF"/>
          <w:sz w:val="2"/>
          <w:szCs w:val="2"/>
        </w:rPr>
        <w:t xml:space="preserve"> 75,444 </w:t>
      </w:r>
      <w:r>
        <w:rPr>
          <w:color w:val="FFFFFF"/>
          <w:sz w:val="2"/>
          <w:szCs w:val="2"/>
        </w:rPr>
        <w:t>̞</w:t>
      </w:r>
      <w:r>
        <w:rPr>
          <w:color w:val="FFFFFF"/>
          <w:sz w:val="2"/>
          <w:szCs w:val="2"/>
        </w:rPr>
        <w:t xml:space="preserve"> 74,719 </w:t>
      </w:r>
      <w:r>
        <w:rPr>
          <w:color w:val="FFFFFF"/>
          <w:sz w:val="2"/>
          <w:szCs w:val="2"/>
        </w:rPr>
        <w:t>̞</w:t>
      </w:r>
      <w:r>
        <w:rPr>
          <w:color w:val="FFFFFF"/>
          <w:sz w:val="2"/>
          <w:szCs w:val="2"/>
        </w:rPr>
        <w:t xml:space="preserve"> 68,182 </w:t>
      </w:r>
      <w:r>
        <w:rPr>
          <w:color w:val="FFFFFF"/>
          <w:sz w:val="2"/>
          <w:szCs w:val="2"/>
        </w:rPr>
        <w:t>̞</w:t>
      </w:r>
      <w:r>
        <w:rPr>
          <w:color w:val="FFFFFF"/>
          <w:sz w:val="2"/>
          <w:szCs w:val="2"/>
        </w:rPr>
        <w:t xml:space="preserve"> 64,890 </w:t>
      </w:r>
      <w:r>
        <w:rPr>
          <w:color w:val="FFFFFF"/>
          <w:sz w:val="2"/>
          <w:szCs w:val="2"/>
        </w:rPr>
        <w:t>̞</w:t>
      </w:r>
      <w:r>
        <w:rPr>
          <w:color w:val="FFFFFF"/>
          <w:sz w:val="2"/>
          <w:szCs w:val="2"/>
        </w:rPr>
        <w:t xml:space="preserve"> 56,148 </w:t>
      </w:r>
      <w:r>
        <w:rPr>
          <w:color w:val="FFFFFF"/>
          <w:sz w:val="2"/>
          <w:szCs w:val="2"/>
        </w:rPr>
        <w:t>̞</w:t>
      </w:r>
      <w:r>
        <w:rPr>
          <w:color w:val="FFFFFF"/>
          <w:sz w:val="2"/>
          <w:szCs w:val="2"/>
        </w:rPr>
        <w:t xml:space="preserve"> 45,535 </w:t>
      </w:r>
      <w:r>
        <w:rPr>
          <w:color w:val="FFFFFF"/>
          <w:sz w:val="2"/>
          <w:szCs w:val="2"/>
        </w:rPr>
        <w:t>̞</w:t>
      </w:r>
      <w:r>
        <w:rPr>
          <w:color w:val="FFFFFF"/>
          <w:sz w:val="2"/>
          <w:szCs w:val="2"/>
        </w:rPr>
        <w:t xml:space="preserve"> 33,607 Earnings Before Interest and Taxes (1) - 15,444 - 11,317 - 11,208 - 10,227 - 9,733 - 8,422 - 6,830 - 5,041 Pro Forma Taxes 87,514 64,127 63,511 57,954 55,156 47,726 38,705 28,566 Net Operating </w:t>
      </w:r>
      <w:r>
        <w:rPr>
          <w:color w:val="FFFFFF"/>
          <w:sz w:val="2"/>
          <w:szCs w:val="2"/>
        </w:rPr>
        <w:t>Profit After Tax 12,350 39,864 38,770 37,764 36,845 36,014 35,248 34,482 Depreciation - 13,000 - 13,000 - 12,000 - 11,000 - 10,000 - 9,000 - 8,500 - 9,000 Capital Expenditures - 12,719 - 1,181 - 310 - 12,941 - 15,148 3,156 - 24,099 - 20,273 (Increase) / De</w:t>
      </w:r>
      <w:r>
        <w:rPr>
          <w:color w:val="FFFFFF"/>
          <w:sz w:val="2"/>
          <w:szCs w:val="2"/>
        </w:rPr>
        <w:t xml:space="preserve">crease in Working Capital </w:t>
      </w:r>
      <w:r>
        <w:rPr>
          <w:color w:val="FFFFFF"/>
          <w:sz w:val="2"/>
          <w:szCs w:val="2"/>
        </w:rPr>
        <w:t>̞</w:t>
      </w:r>
      <w:r>
        <w:rPr>
          <w:color w:val="FFFFFF"/>
          <w:sz w:val="2"/>
          <w:szCs w:val="2"/>
        </w:rPr>
        <w:t xml:space="preserve"> 74,145 </w:t>
      </w:r>
      <w:r>
        <w:rPr>
          <w:color w:val="FFFFFF"/>
          <w:sz w:val="2"/>
          <w:szCs w:val="2"/>
        </w:rPr>
        <w:t>̞</w:t>
      </w:r>
      <w:r>
        <w:rPr>
          <w:color w:val="FFFFFF"/>
          <w:sz w:val="2"/>
          <w:szCs w:val="2"/>
        </w:rPr>
        <w:t xml:space="preserve"> 89,810 </w:t>
      </w:r>
      <w:r>
        <w:rPr>
          <w:color w:val="FFFFFF"/>
          <w:sz w:val="2"/>
          <w:szCs w:val="2"/>
        </w:rPr>
        <w:t>̞</w:t>
      </w:r>
      <w:r>
        <w:rPr>
          <w:color w:val="FFFFFF"/>
          <w:sz w:val="2"/>
          <w:szCs w:val="2"/>
        </w:rPr>
        <w:t xml:space="preserve"> 89,971 </w:t>
      </w:r>
      <w:r>
        <w:rPr>
          <w:color w:val="FFFFFF"/>
          <w:sz w:val="2"/>
          <w:szCs w:val="2"/>
        </w:rPr>
        <w:t>̞</w:t>
      </w:r>
      <w:r>
        <w:rPr>
          <w:color w:val="FFFFFF"/>
          <w:sz w:val="2"/>
          <w:szCs w:val="2"/>
        </w:rPr>
        <w:t xml:space="preserve"> 71,777 </w:t>
      </w:r>
      <w:r>
        <w:rPr>
          <w:color w:val="FFFFFF"/>
          <w:sz w:val="2"/>
          <w:szCs w:val="2"/>
        </w:rPr>
        <w:t>̞</w:t>
      </w:r>
      <w:r>
        <w:rPr>
          <w:color w:val="FFFFFF"/>
          <w:sz w:val="2"/>
          <w:szCs w:val="2"/>
        </w:rPr>
        <w:t xml:space="preserve"> 66,853 </w:t>
      </w:r>
      <w:r>
        <w:rPr>
          <w:color w:val="FFFFFF"/>
          <w:sz w:val="2"/>
          <w:szCs w:val="2"/>
        </w:rPr>
        <w:t>̞</w:t>
      </w:r>
      <w:r>
        <w:rPr>
          <w:color w:val="FFFFFF"/>
          <w:sz w:val="2"/>
          <w:szCs w:val="2"/>
        </w:rPr>
        <w:t xml:space="preserve"> 77,895 </w:t>
      </w:r>
      <w:r>
        <w:rPr>
          <w:color w:val="FFFFFF"/>
          <w:sz w:val="2"/>
          <w:szCs w:val="2"/>
        </w:rPr>
        <w:t>̞</w:t>
      </w:r>
      <w:r>
        <w:rPr>
          <w:color w:val="FFFFFF"/>
          <w:sz w:val="2"/>
          <w:szCs w:val="2"/>
        </w:rPr>
        <w:t xml:space="preserve"> 41,354 </w:t>
      </w:r>
      <w:r>
        <w:rPr>
          <w:color w:val="FFFFFF"/>
          <w:sz w:val="2"/>
          <w:szCs w:val="2"/>
        </w:rPr>
        <w:t>̞</w:t>
      </w:r>
      <w:r>
        <w:rPr>
          <w:color w:val="FFFFFF"/>
          <w:sz w:val="2"/>
          <w:szCs w:val="2"/>
        </w:rPr>
        <w:t xml:space="preserve"> 33,776 Free Cash Flow High Low Enterprise Value Range 3.00% 3.00% Terminal Growth Rate 13.00% 15.00% Discount Rate </w:t>
      </w:r>
      <w:r>
        <w:rPr>
          <w:color w:val="FFFFFF"/>
          <w:sz w:val="2"/>
          <w:szCs w:val="2"/>
        </w:rPr>
        <w:t>̞</w:t>
      </w:r>
      <w:r>
        <w:rPr>
          <w:color w:val="FFFFFF"/>
          <w:sz w:val="2"/>
          <w:szCs w:val="2"/>
        </w:rPr>
        <w:t xml:space="preserve"> 713,300 </w:t>
      </w:r>
      <w:r>
        <w:rPr>
          <w:color w:val="FFFFFF"/>
          <w:sz w:val="2"/>
          <w:szCs w:val="2"/>
        </w:rPr>
        <w:t>̞</w:t>
      </w:r>
      <w:r>
        <w:rPr>
          <w:color w:val="FFFFFF"/>
          <w:sz w:val="2"/>
          <w:szCs w:val="2"/>
        </w:rPr>
        <w:t xml:space="preserve"> 594,000 Enterprise Value Range Implied</w:t>
      </w:r>
      <w:r>
        <w:rPr>
          <w:color w:val="FFFFFF"/>
          <w:sz w:val="2"/>
          <w:szCs w:val="2"/>
        </w:rPr>
        <w:t xml:space="preserve"> Valuation Multiples 1.27x 1.34x 1.35x 1.06x 1.11x 1.12x </w:t>
      </w:r>
      <w:r>
        <w:rPr>
          <w:color w:val="FFFFFF"/>
          <w:sz w:val="2"/>
          <w:szCs w:val="2"/>
        </w:rPr>
        <w:t>̞</w:t>
      </w:r>
      <w:r>
        <w:rPr>
          <w:color w:val="FFFFFF"/>
          <w:sz w:val="2"/>
          <w:szCs w:val="2"/>
        </w:rPr>
        <w:t xml:space="preserve"> 560,626 </w:t>
      </w:r>
      <w:r>
        <w:rPr>
          <w:color w:val="FFFFFF"/>
          <w:sz w:val="2"/>
          <w:szCs w:val="2"/>
        </w:rPr>
        <w:t>̞</w:t>
      </w:r>
      <w:r>
        <w:rPr>
          <w:color w:val="FFFFFF"/>
          <w:sz w:val="2"/>
          <w:szCs w:val="2"/>
        </w:rPr>
        <w:t xml:space="preserve"> 533,277 </w:t>
      </w:r>
      <w:r>
        <w:rPr>
          <w:color w:val="FFFFFF"/>
          <w:sz w:val="2"/>
          <w:szCs w:val="2"/>
        </w:rPr>
        <w:t>̞</w:t>
      </w:r>
      <w:r>
        <w:rPr>
          <w:color w:val="FFFFFF"/>
          <w:sz w:val="2"/>
          <w:szCs w:val="2"/>
        </w:rPr>
        <w:t xml:space="preserve"> 530,035 EV / FY 3/31/2026 Revenue EV / FY 3/31/2027 Revenue EV / FY 3/31/2028 Revenue 12.8x 10.5x 8.8x 10.7x 8.7x 7.4x </w:t>
      </w:r>
      <w:r>
        <w:rPr>
          <w:color w:val="FFFFFF"/>
          <w:sz w:val="2"/>
          <w:szCs w:val="2"/>
        </w:rPr>
        <w:t>̞</w:t>
      </w:r>
      <w:r>
        <w:rPr>
          <w:color w:val="FFFFFF"/>
          <w:sz w:val="2"/>
          <w:szCs w:val="2"/>
        </w:rPr>
        <w:t xml:space="preserve"> 55,700 </w:t>
      </w:r>
      <w:r>
        <w:rPr>
          <w:color w:val="FFFFFF"/>
          <w:sz w:val="2"/>
          <w:szCs w:val="2"/>
        </w:rPr>
        <w:t>̞</w:t>
      </w:r>
      <w:r>
        <w:rPr>
          <w:color w:val="FFFFFF"/>
          <w:sz w:val="2"/>
          <w:szCs w:val="2"/>
        </w:rPr>
        <w:t xml:space="preserve"> 68,089 </w:t>
      </w:r>
      <w:r>
        <w:rPr>
          <w:color w:val="FFFFFF"/>
          <w:sz w:val="2"/>
          <w:szCs w:val="2"/>
        </w:rPr>
        <w:t>̞</w:t>
      </w:r>
      <w:r>
        <w:rPr>
          <w:color w:val="FFFFFF"/>
          <w:sz w:val="2"/>
          <w:szCs w:val="2"/>
        </w:rPr>
        <w:t xml:space="preserve"> 80,783 EV / FY 3 / 31 / 2026 EBITDA EV</w:t>
      </w:r>
      <w:r>
        <w:rPr>
          <w:color w:val="FFFFFF"/>
          <w:sz w:val="2"/>
          <w:szCs w:val="2"/>
        </w:rPr>
        <w:t xml:space="preserve"> / FY 3 / 31 / 2027 EBITDA EV / FY 3 / 31 / 2028 EBITDA 15 Valuation Analysis (1) EBITDA and EBIT are adjusted to exclude public company costs, transaction costs and non - recurring items as provided by the management of the Company.</w:t>
      </w:r>
    </w:p>
    <w:p w14:paraId="020F5983" w14:textId="77777777" w:rsidR="00000000" w:rsidRDefault="002F725F">
      <w:pPr>
        <w:pStyle w:val="NormalWeb"/>
        <w:spacing w:before="0" w:beforeAutospacing="0" w:after="0" w:afterAutospacing="0"/>
        <w:jc w:val="center"/>
        <w:divId w:val="103968298"/>
      </w:pPr>
      <w:r>
        <w:t> </w:t>
      </w:r>
    </w:p>
    <w:p w14:paraId="21E99BE8" w14:textId="77777777" w:rsidR="00000000" w:rsidRDefault="002F725F">
      <w:pPr>
        <w:pStyle w:val="NormalWeb"/>
        <w:spacing w:before="0" w:beforeAutospacing="0" w:after="0" w:afterAutospacing="0"/>
        <w:jc w:val="center"/>
        <w:divId w:val="1514804728"/>
      </w:pPr>
      <w:r>
        <w:t> </w:t>
      </w:r>
    </w:p>
    <w:p w14:paraId="1A0ED84C"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4C134495" wp14:editId="1A3AE8CA">
            <wp:extent cx="9906000" cy="6858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468C8AE4"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Selected Public Companies / M&amp;A Transactions Analysis Methodology Selected Public Companies Analysis • Duff &amp; Phelps selected seven publicly traded companies that were deemed relevant to its analysis. • Duff &amp; Phelps analyzed the financia</w:t>
      </w:r>
      <w:r>
        <w:rPr>
          <w:color w:val="FFFFFF"/>
          <w:sz w:val="2"/>
          <w:szCs w:val="2"/>
        </w:rPr>
        <w:t>l performance of each of the publicly traded companies. Duff &amp; Phelps then analyzed the selected public companies’ trading multiples, including enterprise value to revenue and enterprise value to EBITDA. Selected M&amp;A Transactions Analysis • Duff &amp; Phelps a</w:t>
      </w:r>
      <w:r>
        <w:rPr>
          <w:color w:val="FFFFFF"/>
          <w:sz w:val="2"/>
          <w:szCs w:val="2"/>
        </w:rPr>
        <w:t>lso reviewed certain merger and acquisition transactions involving target companies that were deemed relevant to its analysis and computed the implied valuation multiples for such transactions . However, due to the limited number of recent transactions inv</w:t>
      </w:r>
      <w:r>
        <w:rPr>
          <w:color w:val="FFFFFF"/>
          <w:sz w:val="2"/>
          <w:szCs w:val="2"/>
        </w:rPr>
        <w:t>olving target companies comparable to the Company and which have implied valuation multiples available, Duff &amp; Phelps focused primarily on the selected public companies analysis in its selection of multiples for the Company . Duff &amp; Phelps analyzed a numbe</w:t>
      </w:r>
      <w:r>
        <w:rPr>
          <w:color w:val="FFFFFF"/>
          <w:sz w:val="2"/>
          <w:szCs w:val="2"/>
        </w:rPr>
        <w:t>r of factors in comparing the Company to the selected public companies and the targets in the selected M&amp;A transactions, including historical and forecasted growth in revenue and profits, profit margins and other characteristics that we deemed relevant. Du</w:t>
      </w:r>
      <w:r>
        <w:rPr>
          <w:color w:val="FFFFFF"/>
          <w:sz w:val="2"/>
          <w:szCs w:val="2"/>
        </w:rPr>
        <w:t>ff &amp; Phelps selected multiples that reflect the Company’s size, growth outlook, capital requirements, profit margins, revenue mix, and other characteristics relative to the group. None of the companies utilized for comparative purposes in the following ana</w:t>
      </w:r>
      <w:r>
        <w:rPr>
          <w:color w:val="FFFFFF"/>
          <w:sz w:val="2"/>
          <w:szCs w:val="2"/>
        </w:rPr>
        <w:t>lysis are directly comparable to the Company, and none of the transactions utilized for comparative purposes in the following analysis are directly comparable to the Proposed Transaction . Duff &amp; Phelps does not have access to non - public information of a</w:t>
      </w:r>
      <w:r>
        <w:rPr>
          <w:color w:val="FFFFFF"/>
          <w:sz w:val="2"/>
          <w:szCs w:val="2"/>
        </w:rPr>
        <w:t>ny of the companies used for comparative purposes . Accordingly, a complete valuation analysis of the Company and the Proposed Transaction cannot rely solely upon a quantitative review of the selected companies and selected transactions and involves comple</w:t>
      </w:r>
      <w:r>
        <w:rPr>
          <w:color w:val="FFFFFF"/>
          <w:sz w:val="2"/>
          <w:szCs w:val="2"/>
        </w:rPr>
        <w:t>x considerations and judgments concerning differences in financial and operating characteristics of such companies and targets, as well as other factors that could affect their value relative to that of the Company . Therefore, the Selected Public Companie</w:t>
      </w:r>
      <w:r>
        <w:rPr>
          <w:color w:val="FFFFFF"/>
          <w:sz w:val="2"/>
          <w:szCs w:val="2"/>
        </w:rPr>
        <w:t>s / Selected M&amp;A Transactions Analysis is subject to certain limitations . 16 Valuation Analysis</w:t>
      </w:r>
    </w:p>
    <w:p w14:paraId="18B917E9" w14:textId="77777777" w:rsidR="00000000" w:rsidRDefault="002F725F">
      <w:pPr>
        <w:pStyle w:val="NormalWeb"/>
        <w:spacing w:before="0" w:beforeAutospacing="0" w:after="0" w:afterAutospacing="0"/>
        <w:jc w:val="center"/>
        <w:divId w:val="1602227040"/>
      </w:pPr>
      <w:r>
        <w:t> </w:t>
      </w:r>
    </w:p>
    <w:p w14:paraId="0FD6F946" w14:textId="77777777" w:rsidR="00000000" w:rsidRDefault="002F725F">
      <w:pPr>
        <w:pStyle w:val="NormalWeb"/>
        <w:spacing w:before="0" w:beforeAutospacing="0" w:after="0" w:afterAutospacing="0"/>
        <w:jc w:val="center"/>
        <w:divId w:val="1664313827"/>
      </w:pPr>
      <w:r>
        <w:t> </w:t>
      </w:r>
    </w:p>
    <w:p w14:paraId="4525ABAD"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61014CFF" wp14:editId="09F3B4A6">
            <wp:extent cx="9906000" cy="6858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5137DCFF"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 xml:space="preserve">Selected Public Companies Analysis – </w:t>
      </w:r>
      <w:r>
        <w:rPr>
          <w:color w:val="FFFFFF"/>
          <w:sz w:val="2"/>
          <w:szCs w:val="2"/>
        </w:rPr>
        <w:t>Financial Metrics Selected Public Companies Analysis 17 Valuation Analysis LTM = Latest Twelve Months CAGR = Compounded Annual Growth Rate EBITDA = Earnings Before Interest, Taxes, Depreciation and Amortization NM = Not Meaningful NA = Not Available (1) 20</w:t>
      </w:r>
      <w:r>
        <w:rPr>
          <w:color w:val="FFFFFF"/>
          <w:sz w:val="2"/>
          <w:szCs w:val="2"/>
        </w:rPr>
        <w:t>26 and 2027 metrics for the Company reflect fiscal years ending 3/31/27 and 3/31/28, respectively. Note: The Company’s EBITDA is adjusted to exclude public company costs, transaction costs and non - recurring items as provided by Company management. Source</w:t>
      </w:r>
      <w:r>
        <w:rPr>
          <w:color w:val="FFFFFF"/>
          <w:sz w:val="2"/>
          <w:szCs w:val="2"/>
        </w:rPr>
        <w:t>: Capital IQ, Bloomberg, SEC Filings, Annual and Interim Reports. COMPANY INFORMATION REVENUE GROWTH EBITDA GROWTH EBITDA MARGIN 3 - YR 3 - YR 3 - YR 2027 2026 LTM AVG 2027 2026 LTM CAGR 2027 2026 LTM CAGR Company Name NA NA - 50.4% NM NA NA NM NA NA NA 51</w:t>
      </w:r>
      <w:r>
        <w:rPr>
          <w:color w:val="FFFFFF"/>
          <w:sz w:val="2"/>
          <w:szCs w:val="2"/>
        </w:rPr>
        <w:t xml:space="preserve">7.0% NA Ab&amp;B Bio - Tech CO., LTD. JS NA NA - 7.3 - 62.5% NA NA NM NM NA NA 6.6 - 6.5% AIM Vaccine Co., Ltd. 29.2% 26.7% 26.7 30.7 16.4% - 17.2% 3.7% 76.2% 6.3% - 17.2% 9.2 - 6.0 Bavarian Nordic A/S 31.8 21.3 7.5 - 141.9 87.5 278.6 NA NM 25.3 32.8 26.2 1.1 </w:t>
      </w:r>
      <w:r>
        <w:rPr>
          <w:color w:val="FFFFFF"/>
          <w:sz w:val="2"/>
          <w:szCs w:val="2"/>
        </w:rPr>
        <w:t xml:space="preserve">CanSino Biologics Inc. NA NA NM NM NA NA NM NA NA NA 79.2 NA Clover Biopharmaceuticals, Ltd. 24.2 21.3 21.9 19.3 28.0 9.1 22.1 33.3 12.8 12.2 12.1 11.7 Kamada Ltd. 29.6 29.3 27.3 27.0 8.2 9.5 8.3 - 1.1 6.9 9.3 5.5 5.0 Sanofi 28.7% 24.6% 4.3% - 25.5% 35.0% </w:t>
      </w:r>
      <w:r>
        <w:rPr>
          <w:color w:val="FFFFFF"/>
          <w:sz w:val="2"/>
          <w:szCs w:val="2"/>
        </w:rPr>
        <w:t>70.0% 11.4% 36.1% 12.8% 9.3% 93.7% 1.1% Mean 29.4% 24.0% 14.7% 19.3% 22.2% 9.3% 8.3% 33.3% 9.8% 10.8% 12.1% 1.1% Median 15.2% 12.8% 9.9% - 10.0% 18.6% 22.2% NM NM - 0.6% - 4.9% - 8.8% - 6.6% LakeShore Biopharma Co., Ltd (1) As of April 24, 2026</w:t>
      </w:r>
    </w:p>
    <w:p w14:paraId="6725F19C" w14:textId="77777777" w:rsidR="00000000" w:rsidRDefault="002F725F">
      <w:pPr>
        <w:pStyle w:val="NormalWeb"/>
        <w:spacing w:before="0" w:beforeAutospacing="0" w:after="0" w:afterAutospacing="0"/>
        <w:jc w:val="center"/>
        <w:divId w:val="1203904409"/>
      </w:pPr>
      <w:r>
        <w:t> </w:t>
      </w:r>
    </w:p>
    <w:p w14:paraId="35B2D8BF" w14:textId="77777777" w:rsidR="00000000" w:rsidRDefault="002F725F">
      <w:pPr>
        <w:pStyle w:val="NormalWeb"/>
        <w:spacing w:before="0" w:beforeAutospacing="0" w:after="0" w:afterAutospacing="0"/>
        <w:jc w:val="center"/>
        <w:divId w:val="885331782"/>
      </w:pPr>
      <w:r>
        <w:t> </w:t>
      </w:r>
    </w:p>
    <w:p w14:paraId="2931E085"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6565E7E5" wp14:editId="117E20C0">
            <wp:extent cx="9906000" cy="6858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797F0C94"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 xml:space="preserve">Valuation Analysis 18 LTM = Latest Twelve Months EBITDA = Earnings Before Interest, Taxes, Depreciation and Amortization Enterprise Value = [Market Capitalization + Management Equity + Debt + Finance Leases + Operating Leases </w:t>
      </w:r>
      <w:r>
        <w:rPr>
          <w:color w:val="FFFFFF"/>
          <w:sz w:val="2"/>
          <w:szCs w:val="2"/>
        </w:rPr>
        <w:t xml:space="preserve">(for IFRS/non - US GAAP companies only) + Preferred Stock + Non - Controlling Interest] - [Cash &amp; Equivalents + Long - Term Investments + Net Non - Operating Assets] NM = Not Meaningful NA = Not Available Source: Capital IQ, Bloomberg, SEC Filings, Annual </w:t>
      </w:r>
      <w:r>
        <w:rPr>
          <w:color w:val="FFFFFF"/>
          <w:sz w:val="2"/>
          <w:szCs w:val="2"/>
        </w:rPr>
        <w:t>and Interim Reports. Selected Public Companies Analysis – Valuation Multiples Selected Public Companies Analysis (US$ in millions, except per share data) COMPANY INFORMATION MARKET DATA ENTERPRISE VALUE AS MULTIPLE OF Common Stock 2027 2026 LTM 2027 2026 L</w:t>
      </w:r>
      <w:r>
        <w:rPr>
          <w:color w:val="FFFFFF"/>
          <w:sz w:val="2"/>
          <w:szCs w:val="2"/>
        </w:rPr>
        <w:t>TM Enterprise Market % of 52 - Price (Primary) on Revenue Revenue Revenue EBITDA EBITDA EBITDA Value Capitalization Week High Company Name 4/24/2026 NA NA NM NA NA NM $1,591 $1,472 40.2% HKD 29.32 Ab&amp;B Bio - Tech CO., LTD. JS NA NA 3.19x NA NA NM 589 352 3</w:t>
      </w:r>
      <w:r>
        <w:rPr>
          <w:color w:val="FFFFFF"/>
          <w:sz w:val="2"/>
          <w:szCs w:val="2"/>
        </w:rPr>
        <w:t>7.4 HKD 2.25 AIM Vaccine Co., Ltd. 2.03x 2.16x 1.78 6.8x 7.9x 6.6x 1,746 2,249 76.3 DKK 186.70 Bavarian Nordic A/S 5.48 6.87 9.13 16.9 31.5 NM 1,426 1,653 58.1 HKD 32.84 CanSino Biologics Inc. NA NA NM NA NA NM 436 492 92.8 HKD 2.97 Clover Biopharmaceutica</w:t>
      </w:r>
      <w:r>
        <w:rPr>
          <w:color w:val="FFFFFF"/>
          <w:sz w:val="2"/>
          <w:szCs w:val="2"/>
        </w:rPr>
        <w:t>ls, Ltd. 1.79 2.01 2.26 7.1 9.1 9.9 408 472 84.6 ILS 24.44 Kamada Ltd. 2.01 2.15 2.19 6.7 7.2 7.9 119,929 113,205 81.4 EUR 80.08 Sanofi 2.83x 3.30x 3.71x 9.4x 13.9x 8.1x $18,018 $17,128 67.2% Mean 2.02x 2.15x 2.26x 7.0x 8.5x 7.9x $1,426 $1,472 76.3% Median</w:t>
      </w:r>
      <w:r>
        <w:rPr>
          <w:color w:val="FFFFFF"/>
          <w:sz w:val="2"/>
          <w:szCs w:val="2"/>
        </w:rPr>
        <w:t xml:space="preserve"> As of April 24, 2026</w:t>
      </w:r>
    </w:p>
    <w:p w14:paraId="1A1287CC" w14:textId="77777777" w:rsidR="00000000" w:rsidRDefault="002F725F">
      <w:pPr>
        <w:pStyle w:val="NormalWeb"/>
        <w:spacing w:before="0" w:beforeAutospacing="0" w:after="0" w:afterAutospacing="0"/>
        <w:jc w:val="center"/>
        <w:divId w:val="1872453465"/>
      </w:pPr>
      <w:r>
        <w:t> </w:t>
      </w:r>
    </w:p>
    <w:p w14:paraId="53F064AA" w14:textId="77777777" w:rsidR="00000000" w:rsidRDefault="002F725F">
      <w:pPr>
        <w:pStyle w:val="NormalWeb"/>
        <w:spacing w:before="0" w:beforeAutospacing="0" w:after="0" w:afterAutospacing="0"/>
        <w:jc w:val="center"/>
        <w:divId w:val="1921138199"/>
      </w:pPr>
      <w:r>
        <w:t> </w:t>
      </w:r>
    </w:p>
    <w:p w14:paraId="4852B981"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2EBB1016" wp14:editId="5964E785">
            <wp:extent cx="9906000" cy="6858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28A36B59"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 xml:space="preserve">Selected M&amp;A Transactions Analysis Selected M&amp;A Transactions Analysis ($ in millions) Valuation Analysis Source: Capital IQ, Bloomberg, company filings, press releases. EV / EV / EBITDA LTM LTM </w:t>
      </w:r>
      <w:r>
        <w:rPr>
          <w:color w:val="FFFFFF"/>
          <w:sz w:val="2"/>
          <w:szCs w:val="2"/>
        </w:rPr>
        <w:t>Enterprise EBITDA Revenue Margin EBITDA Revenue Value Acquirer Name Target Business Description Target Name Announced 63.6x 4.66x 7.3% $24 $331 $1,539 Sanofi Develops and commercializes vaccines in the United States and internationally. Dynavax Technologie</w:t>
      </w:r>
      <w:r>
        <w:rPr>
          <w:color w:val="FFFFFF"/>
          <w:sz w:val="2"/>
          <w:szCs w:val="2"/>
        </w:rPr>
        <w:t>s Corporation 12/23/2025 6/12/2025 CureVac N.V. Developing various mRNA medicines, including clinical and preclinical candidates for BioNTech SE various disease indications in prophylactic vaccines, oncology, and molecular therapy. $795 $566 $266 47.0% 1.4</w:t>
      </w:r>
      <w:r>
        <w:rPr>
          <w:color w:val="FFFFFF"/>
          <w:sz w:val="2"/>
          <w:szCs w:val="2"/>
        </w:rPr>
        <w:t>0x 3.0x 2/7/2025 Mitsubishi Tanabe Pharma Corporation Manufactures and sells pharmaceuticals and OTC products in Japan, Europe, North America, other Asian countries, and internationally. Bain Capital Private Equity, LP $3,373 $3,437 - $362 NM 0.98x NM 3/13</w:t>
      </w:r>
      <w:r>
        <w:rPr>
          <w:color w:val="FFFFFF"/>
          <w:sz w:val="2"/>
          <w:szCs w:val="2"/>
        </w:rPr>
        <w:t xml:space="preserve">/2025 Endo, Inc. Develops, manufactures, markets, and sells various pharmaceutical products and provides life - enhancing therapies in the United States and internationally. Keenova Therapeutics plc $4,010 $1,760 - $13 - 0.8% 2.28x NM 3/29/2023 GreenLight </w:t>
      </w:r>
      <w:r>
        <w:rPr>
          <w:color w:val="FFFFFF"/>
          <w:sz w:val="2"/>
          <w:szCs w:val="2"/>
        </w:rPr>
        <w:t>Biosciences, Inc. Researches, develops, manufactures, and commercializes RNA - based crop protection Fall Line Capital, LLC; Fall Line solutions Endurance Fund, Lp $38 $10 - $146 NM 3.66x NM 12/20/2021 Sanofi - Aventis Pakistan Limited Manufactures, sells,</w:t>
      </w:r>
      <w:r>
        <w:rPr>
          <w:color w:val="FFFFFF"/>
          <w:sz w:val="2"/>
          <w:szCs w:val="2"/>
        </w:rPr>
        <w:t xml:space="preserve"> and trades in pharmaceutical and related products in Pakistan, Afghanistan, and internationally. Packages Limited; Ali Gohar &amp; Co. (Pvt) Ltd; IGI Investments (Private) Limited $43 $79 $10 12.3% 0.55x 4.5x 1/21/2021 Sanofi Bangladesh Limited Researches, de</w:t>
      </w:r>
      <w:r>
        <w:rPr>
          <w:color w:val="FFFFFF"/>
          <w:sz w:val="2"/>
          <w:szCs w:val="2"/>
        </w:rPr>
        <w:t>velops, manufactures, and markets therapeutic solutions, including immunology and inflammation, rare diseases neurology, oncology, and other vaccines. Beximco Pharmaceuticals Limited (nka:Beximco Pharmaceuticals PLC.) $101 $35 NA NA 2.84x NA Mean Median 2.</w:t>
      </w:r>
      <w:r>
        <w:rPr>
          <w:color w:val="FFFFFF"/>
          <w:sz w:val="2"/>
          <w:szCs w:val="2"/>
        </w:rPr>
        <w:t>34x 2.28x 23.7x 4.5x 19</w:t>
      </w:r>
    </w:p>
    <w:p w14:paraId="2059F4E0" w14:textId="77777777" w:rsidR="00000000" w:rsidRDefault="002F725F">
      <w:pPr>
        <w:pStyle w:val="NormalWeb"/>
        <w:spacing w:before="0" w:beforeAutospacing="0" w:after="0" w:afterAutospacing="0"/>
        <w:jc w:val="center"/>
        <w:divId w:val="42213571"/>
      </w:pPr>
      <w:r>
        <w:t> </w:t>
      </w:r>
    </w:p>
    <w:p w14:paraId="3613EA0D" w14:textId="77777777" w:rsidR="00000000" w:rsidRDefault="002F725F">
      <w:pPr>
        <w:pStyle w:val="NormalWeb"/>
        <w:spacing w:before="0" w:beforeAutospacing="0" w:after="0" w:afterAutospacing="0"/>
        <w:jc w:val="center"/>
        <w:divId w:val="1717466723"/>
      </w:pPr>
      <w:r>
        <w:t> </w:t>
      </w:r>
    </w:p>
    <w:p w14:paraId="3506C2CD"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0F12B6C1" wp14:editId="5BF9D0FE">
            <wp:extent cx="9906000" cy="6858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5F6BF049"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 xml:space="preserve">Metric Median Public Companies Selected Multiple Range Company Performance DCF Analysis Range Enterprise Value Range - </w:t>
      </w:r>
      <w:r>
        <w:rPr>
          <w:color w:val="FFFFFF"/>
          <w:sz w:val="2"/>
          <w:szCs w:val="2"/>
        </w:rPr>
        <w:t>̞</w:t>
      </w:r>
      <w:r>
        <w:rPr>
          <w:color w:val="FFFFFF"/>
          <w:sz w:val="2"/>
          <w:szCs w:val="2"/>
        </w:rPr>
        <w:t xml:space="preserve"> 646,850 - </w:t>
      </w:r>
      <w:r>
        <w:rPr>
          <w:color w:val="FFFFFF"/>
          <w:sz w:val="2"/>
          <w:szCs w:val="2"/>
        </w:rPr>
        <w:t>̞</w:t>
      </w:r>
      <w:r>
        <w:rPr>
          <w:color w:val="FFFFFF"/>
          <w:sz w:val="2"/>
          <w:szCs w:val="2"/>
        </w:rPr>
        <w:t xml:space="preserve"> 646,264 </w:t>
      </w:r>
      <w:r>
        <w:rPr>
          <w:color w:val="FFFFFF"/>
          <w:sz w:val="2"/>
          <w:szCs w:val="2"/>
        </w:rPr>
        <w:t>̞</w:t>
      </w:r>
      <w:r>
        <w:rPr>
          <w:color w:val="FFFFFF"/>
          <w:sz w:val="2"/>
          <w:szCs w:val="2"/>
        </w:rPr>
        <w:t xml:space="preserve"> 544,716 </w:t>
      </w:r>
      <w:r>
        <w:rPr>
          <w:color w:val="FFFFFF"/>
          <w:sz w:val="2"/>
          <w:szCs w:val="2"/>
        </w:rPr>
        <w:t>̞</w:t>
      </w:r>
      <w:r>
        <w:rPr>
          <w:color w:val="FFFFFF"/>
          <w:sz w:val="2"/>
          <w:szCs w:val="2"/>
        </w:rPr>
        <w:t xml:space="preserve"> 525,090 </w:t>
      </w:r>
      <w:r>
        <w:rPr>
          <w:color w:val="FFFFFF"/>
          <w:sz w:val="2"/>
          <w:szCs w:val="2"/>
        </w:rPr>
        <w:t>̞</w:t>
      </w:r>
      <w:r>
        <w:rPr>
          <w:color w:val="FFFFFF"/>
          <w:sz w:val="2"/>
          <w:szCs w:val="2"/>
        </w:rPr>
        <w:t xml:space="preserve"> 68,089 </w:t>
      </w:r>
      <w:r>
        <w:rPr>
          <w:color w:val="FFFFFF"/>
          <w:sz w:val="2"/>
          <w:szCs w:val="2"/>
        </w:rPr>
        <w:t>̞</w:t>
      </w:r>
      <w:r>
        <w:rPr>
          <w:color w:val="FFFFFF"/>
          <w:sz w:val="2"/>
          <w:szCs w:val="2"/>
        </w:rPr>
        <w:t xml:space="preserve"> 80,783 FY 3/31/2027 </w:t>
      </w:r>
      <w:r>
        <w:rPr>
          <w:color w:val="FFFFFF"/>
          <w:sz w:val="2"/>
          <w:szCs w:val="2"/>
        </w:rPr>
        <w:t xml:space="preserve">EBITDA FY 3/31/2028 EBITDA - 9.5x - 8.0x 8.0x 6.5x 8.5x 7.0x - 31.5x - 16.9x 7.2x 6.7x EV / 2026 EBITDA EV / 2027 EBITDA - </w:t>
      </w:r>
      <w:r>
        <w:rPr>
          <w:color w:val="FFFFFF"/>
          <w:sz w:val="2"/>
          <w:szCs w:val="2"/>
        </w:rPr>
        <w:t>̞</w:t>
      </w:r>
      <w:r>
        <w:rPr>
          <w:color w:val="FFFFFF"/>
          <w:sz w:val="2"/>
          <w:szCs w:val="2"/>
        </w:rPr>
        <w:t xml:space="preserve"> 646,600 </w:t>
      </w:r>
      <w:r>
        <w:rPr>
          <w:color w:val="FFFFFF"/>
          <w:sz w:val="2"/>
          <w:szCs w:val="2"/>
        </w:rPr>
        <w:t>̞</w:t>
      </w:r>
      <w:r>
        <w:rPr>
          <w:color w:val="FFFFFF"/>
          <w:sz w:val="2"/>
          <w:szCs w:val="2"/>
        </w:rPr>
        <w:t xml:space="preserve"> 534,900 Enterprise Value Range Implied Multiples - 1.15x 0.95x </w:t>
      </w:r>
      <w:r>
        <w:rPr>
          <w:color w:val="FFFFFF"/>
          <w:sz w:val="2"/>
          <w:szCs w:val="2"/>
        </w:rPr>
        <w:t>̞</w:t>
      </w:r>
      <w:r>
        <w:rPr>
          <w:color w:val="FFFFFF"/>
          <w:sz w:val="2"/>
          <w:szCs w:val="2"/>
        </w:rPr>
        <w:t xml:space="preserve"> 560,626 FY 3/31/2026 Revenue 2.26x - 9.13x 1.78x EV / LT</w:t>
      </w:r>
      <w:r>
        <w:rPr>
          <w:color w:val="FFFFFF"/>
          <w:sz w:val="2"/>
          <w:szCs w:val="2"/>
        </w:rPr>
        <w:t xml:space="preserve">M Revenue - 1.21x 1.00x </w:t>
      </w:r>
      <w:r>
        <w:rPr>
          <w:color w:val="FFFFFF"/>
          <w:sz w:val="2"/>
          <w:szCs w:val="2"/>
        </w:rPr>
        <w:t>̞</w:t>
      </w:r>
      <w:r>
        <w:rPr>
          <w:color w:val="FFFFFF"/>
          <w:sz w:val="2"/>
          <w:szCs w:val="2"/>
        </w:rPr>
        <w:t xml:space="preserve"> 533,277 FY 3/31/2027 Revenue 2.15x - 6.87x 2.01x EV / 2026 Revenue - 1.22x 1.01x </w:t>
      </w:r>
      <w:r>
        <w:rPr>
          <w:color w:val="FFFFFF"/>
          <w:sz w:val="2"/>
          <w:szCs w:val="2"/>
        </w:rPr>
        <w:t>̞</w:t>
      </w:r>
      <w:r>
        <w:rPr>
          <w:color w:val="FFFFFF"/>
          <w:sz w:val="2"/>
          <w:szCs w:val="2"/>
        </w:rPr>
        <w:t xml:space="preserve"> 530,035 FY 3/31/2028 Revenue 2.02x - 5.48x 1.79x EV / 2027 Revenue - 11.6x 9.6x </w:t>
      </w:r>
      <w:r>
        <w:rPr>
          <w:color w:val="FFFFFF"/>
          <w:sz w:val="2"/>
          <w:szCs w:val="2"/>
        </w:rPr>
        <w:t>̞</w:t>
      </w:r>
      <w:r>
        <w:rPr>
          <w:color w:val="FFFFFF"/>
          <w:sz w:val="2"/>
          <w:szCs w:val="2"/>
        </w:rPr>
        <w:t xml:space="preserve"> 55,700 FY 3/31/2026 EBITDA 7.9x - 9.9x 6.6x EV / LTM EBITDA Publi</w:t>
      </w:r>
      <w:r>
        <w:rPr>
          <w:color w:val="FFFFFF"/>
          <w:sz w:val="2"/>
          <w:szCs w:val="2"/>
        </w:rPr>
        <w:t>c Companies Selected Public Companies / M&amp;A Transactions Analysis Summary Selected Public Companies / M&amp;A Transactions Analysis Summary (RMB in thousands) Valuation Multiples Valuation Summary 20 Valuation Analysis Note: LTM for the Company as of March 31,</w:t>
      </w:r>
      <w:r>
        <w:rPr>
          <w:color w:val="FFFFFF"/>
          <w:sz w:val="2"/>
          <w:szCs w:val="2"/>
        </w:rPr>
        <w:t xml:space="preserve"> 2026. The Company’s EBITDA is adjusted to exclude public company costs, transaction costs and non - recurring items as provided by the management of the Company.</w:t>
      </w:r>
    </w:p>
    <w:p w14:paraId="4AEE1B1A" w14:textId="77777777" w:rsidR="00000000" w:rsidRDefault="002F725F">
      <w:pPr>
        <w:pStyle w:val="NormalWeb"/>
        <w:spacing w:before="0" w:beforeAutospacing="0" w:after="0" w:afterAutospacing="0"/>
        <w:jc w:val="center"/>
        <w:divId w:val="1560897610"/>
      </w:pPr>
      <w:r>
        <w:t> </w:t>
      </w:r>
    </w:p>
    <w:p w14:paraId="2B929494" w14:textId="77777777" w:rsidR="00000000" w:rsidRDefault="002F725F">
      <w:pPr>
        <w:pStyle w:val="NormalWeb"/>
        <w:spacing w:before="0" w:beforeAutospacing="0" w:after="0" w:afterAutospacing="0"/>
        <w:jc w:val="center"/>
        <w:divId w:val="353850000"/>
      </w:pPr>
      <w:r>
        <w:t> </w:t>
      </w:r>
    </w:p>
    <w:p w14:paraId="315ACD54"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19D39A09" wp14:editId="65C9051D">
            <wp:extent cx="9906000" cy="6858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0383E803"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Option Value Analysis Methodology and Key Assumptions Option Value Analysis • Based on Duff &amp; Phelps’ valuation analysis, without considering optionality of the Company’s equity, the Company’s enterprise value, or asset value, is insufficient to fund the C</w:t>
      </w:r>
      <w:r>
        <w:rPr>
          <w:color w:val="FFFFFF"/>
          <w:sz w:val="2"/>
          <w:szCs w:val="2"/>
        </w:rPr>
        <w:t>ompany’s debt and other liabilities (including the arbitral award liabilities), leaving no equity value . However, using an option value analysis, which considers equity as an option on the asset value of the Company, indicates some equity value . • The op</w:t>
      </w:r>
      <w:r>
        <w:rPr>
          <w:color w:val="FFFFFF"/>
          <w:sz w:val="2"/>
          <w:szCs w:val="2"/>
        </w:rPr>
        <w:t>tion value analysis utilizes the Black - Scholes option pricing model to value equity as a call option on the assets of a company, using the amount of debt and other liabilities as the strike price. • The option value analysis assess the value of a company</w:t>
      </w:r>
      <w:r>
        <w:rPr>
          <w:color w:val="FFFFFF"/>
          <w:sz w:val="2"/>
          <w:szCs w:val="2"/>
        </w:rPr>
        <w:t>’s equity based on the likelihood that the value of the assets will exceed the amount of the debt and other liabilities, including accrued interest, in a certain time frame. Option Value Analysis Assumptions • The option value analysis utilizes the followi</w:t>
      </w:r>
      <w:r>
        <w:rPr>
          <w:color w:val="FFFFFF"/>
          <w:sz w:val="2"/>
          <w:szCs w:val="2"/>
        </w:rPr>
        <w:t>ng assumptions: – Asset value based on the enterprise value ranges resulting from the discounted cash flow analysis and the selected public companies / M&amp;A transactions analysis. – Strike price of the option is the forward value of total net liabilities (i</w:t>
      </w:r>
      <w:r>
        <w:rPr>
          <w:color w:val="FFFFFF"/>
          <w:sz w:val="2"/>
          <w:szCs w:val="2"/>
        </w:rPr>
        <w:t>ncluding debt, payables to related parties, cash, financial liabilities from arbitral awards, and future interest accruals) – Term of four to ten months, based on the estimated time frame for processes related to the arbitral award liabilities, per Company</w:t>
      </w:r>
      <w:r>
        <w:rPr>
          <w:color w:val="FFFFFF"/>
          <w:sz w:val="2"/>
          <w:szCs w:val="2"/>
        </w:rPr>
        <w:t xml:space="preserve"> management. The option value analysis assumes that the Company is fully operational as a continuing business during this assumed term. – Asset volatility of 30.0%, based on the selected public companies. 21 Valuation Analysis</w:t>
      </w:r>
    </w:p>
    <w:p w14:paraId="76685C0E" w14:textId="77777777" w:rsidR="00000000" w:rsidRDefault="002F725F">
      <w:pPr>
        <w:pStyle w:val="NormalWeb"/>
        <w:spacing w:before="0" w:beforeAutospacing="0" w:after="0" w:afterAutospacing="0"/>
        <w:jc w:val="center"/>
        <w:divId w:val="2030788322"/>
      </w:pPr>
      <w:r>
        <w:t> </w:t>
      </w:r>
    </w:p>
    <w:p w14:paraId="1CA0824B" w14:textId="77777777" w:rsidR="00000000" w:rsidRDefault="002F725F">
      <w:pPr>
        <w:pStyle w:val="NormalWeb"/>
        <w:spacing w:before="0" w:beforeAutospacing="0" w:after="0" w:afterAutospacing="0"/>
        <w:jc w:val="center"/>
        <w:divId w:val="639920808"/>
      </w:pPr>
      <w:r>
        <w:t> </w:t>
      </w:r>
    </w:p>
    <w:p w14:paraId="54B33ECD"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6BD60C10" wp14:editId="0D99BC8C">
            <wp:extent cx="9906000" cy="6858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7B7D2A37"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 xml:space="preserve">Discounted Cash Flow Analysis Low High Selected Public Companies / M&amp;A Transactions Analysis Low High </w:t>
      </w:r>
      <w:r>
        <w:rPr>
          <w:color w:val="FFFFFF"/>
          <w:sz w:val="2"/>
          <w:szCs w:val="2"/>
        </w:rPr>
        <w:t>̞</w:t>
      </w:r>
      <w:r>
        <w:rPr>
          <w:color w:val="FFFFFF"/>
          <w:sz w:val="2"/>
          <w:szCs w:val="2"/>
        </w:rPr>
        <w:t xml:space="preserve"> 646,600 - </w:t>
      </w:r>
      <w:r>
        <w:rPr>
          <w:color w:val="FFFFFF"/>
          <w:sz w:val="2"/>
          <w:szCs w:val="2"/>
        </w:rPr>
        <w:t>̞</w:t>
      </w:r>
      <w:r>
        <w:rPr>
          <w:color w:val="FFFFFF"/>
          <w:sz w:val="2"/>
          <w:szCs w:val="2"/>
        </w:rPr>
        <w:t xml:space="preserve"> 534,900 </w:t>
      </w:r>
      <w:r>
        <w:rPr>
          <w:color w:val="FFFFFF"/>
          <w:sz w:val="2"/>
          <w:szCs w:val="2"/>
        </w:rPr>
        <w:t>̞</w:t>
      </w:r>
      <w:r>
        <w:rPr>
          <w:color w:val="FFFFFF"/>
          <w:sz w:val="2"/>
          <w:szCs w:val="2"/>
        </w:rPr>
        <w:t xml:space="preserve"> 713,300 - </w:t>
      </w:r>
      <w:r>
        <w:rPr>
          <w:color w:val="FFFFFF"/>
          <w:sz w:val="2"/>
          <w:szCs w:val="2"/>
        </w:rPr>
        <w:t>̞</w:t>
      </w:r>
      <w:r>
        <w:rPr>
          <w:color w:val="FFFFFF"/>
          <w:sz w:val="2"/>
          <w:szCs w:val="2"/>
        </w:rPr>
        <w:t xml:space="preserve"> 594,000 Valuation Summary and Obligations Enterprise Value Range (102,311) - (102,311) (102,311) - (102,31</w:t>
      </w:r>
      <w:r>
        <w:rPr>
          <w:color w:val="FFFFFF"/>
          <w:sz w:val="2"/>
          <w:szCs w:val="2"/>
        </w:rPr>
        <w:t xml:space="preserve">1) Cash and Cash Equivalents 133,522 - 133,522 133,522 - 133,522 Bank Loans and Other Borrowings 155,000 - 155,000 155,000 - 155,000 Due to Related Parties 576,500 - 576,500 576,500 - 576,500 Financial Liabilities from Arbitral Awards </w:t>
      </w:r>
      <w:r>
        <w:rPr>
          <w:color w:val="FFFFFF"/>
          <w:sz w:val="2"/>
          <w:szCs w:val="2"/>
        </w:rPr>
        <w:t>̞</w:t>
      </w:r>
      <w:r>
        <w:rPr>
          <w:color w:val="FFFFFF"/>
          <w:sz w:val="2"/>
          <w:szCs w:val="2"/>
        </w:rPr>
        <w:t xml:space="preserve"> 762,710 - </w:t>
      </w:r>
      <w:r>
        <w:rPr>
          <w:color w:val="FFFFFF"/>
          <w:sz w:val="2"/>
          <w:szCs w:val="2"/>
        </w:rPr>
        <w:t>̞</w:t>
      </w:r>
      <w:r>
        <w:rPr>
          <w:color w:val="FFFFFF"/>
          <w:sz w:val="2"/>
          <w:szCs w:val="2"/>
        </w:rPr>
        <w:t xml:space="preserve"> 762,710</w:t>
      </w:r>
      <w:r>
        <w:rPr>
          <w:color w:val="FFFFFF"/>
          <w:sz w:val="2"/>
          <w:szCs w:val="2"/>
        </w:rPr>
        <w:t xml:space="preserve"> </w:t>
      </w:r>
      <w:r>
        <w:rPr>
          <w:color w:val="FFFFFF"/>
          <w:sz w:val="2"/>
          <w:szCs w:val="2"/>
        </w:rPr>
        <w:t>̞</w:t>
      </w:r>
      <w:r>
        <w:rPr>
          <w:color w:val="FFFFFF"/>
          <w:sz w:val="2"/>
          <w:szCs w:val="2"/>
        </w:rPr>
        <w:t xml:space="preserve"> 762,710 - </w:t>
      </w:r>
      <w:r>
        <w:rPr>
          <w:color w:val="FFFFFF"/>
          <w:sz w:val="2"/>
          <w:szCs w:val="2"/>
        </w:rPr>
        <w:t>̞</w:t>
      </w:r>
      <w:r>
        <w:rPr>
          <w:color w:val="FFFFFF"/>
          <w:sz w:val="2"/>
          <w:szCs w:val="2"/>
        </w:rPr>
        <w:t xml:space="preserve"> 762,710 Total Net Liabilities Option Model Assumptions 10.0 Months - 4.0 Months 10.0 Months - 4.0 Months Assumed Term 32.5% - 27.5% 32.5% - 27.5% Volatility 3.67% - 3.70% 3.67% - 3.70% Risk Free Rate </w:t>
      </w:r>
      <w:r>
        <w:rPr>
          <w:color w:val="FFFFFF"/>
          <w:sz w:val="2"/>
          <w:szCs w:val="2"/>
        </w:rPr>
        <w:t>̞</w:t>
      </w:r>
      <w:r>
        <w:rPr>
          <w:color w:val="FFFFFF"/>
          <w:sz w:val="2"/>
          <w:szCs w:val="2"/>
        </w:rPr>
        <w:t xml:space="preserve"> 793,767 - </w:t>
      </w:r>
      <w:r>
        <w:rPr>
          <w:color w:val="FFFFFF"/>
          <w:sz w:val="2"/>
          <w:szCs w:val="2"/>
        </w:rPr>
        <w:t>̞</w:t>
      </w:r>
      <w:r>
        <w:rPr>
          <w:color w:val="FFFFFF"/>
          <w:sz w:val="2"/>
          <w:szCs w:val="2"/>
        </w:rPr>
        <w:t xml:space="preserve"> 775,133 </w:t>
      </w:r>
      <w:r>
        <w:rPr>
          <w:color w:val="FFFFFF"/>
          <w:sz w:val="2"/>
          <w:szCs w:val="2"/>
        </w:rPr>
        <w:t>̞</w:t>
      </w:r>
      <w:r>
        <w:rPr>
          <w:color w:val="FFFFFF"/>
          <w:sz w:val="2"/>
          <w:szCs w:val="2"/>
        </w:rPr>
        <w:t xml:space="preserve"> 793,767 - </w:t>
      </w:r>
      <w:r>
        <w:rPr>
          <w:color w:val="FFFFFF"/>
          <w:sz w:val="2"/>
          <w:szCs w:val="2"/>
        </w:rPr>
        <w:t>̞</w:t>
      </w:r>
      <w:r>
        <w:rPr>
          <w:color w:val="FFFFFF"/>
          <w:sz w:val="2"/>
          <w:szCs w:val="2"/>
        </w:rPr>
        <w:t xml:space="preserve"> 775,1</w:t>
      </w:r>
      <w:r>
        <w:rPr>
          <w:color w:val="FFFFFF"/>
          <w:sz w:val="2"/>
          <w:szCs w:val="2"/>
        </w:rPr>
        <w:t xml:space="preserve">33 Strike Price (Total Net Liabilities and Future Interest Accruals) Option Model Valuation Indications </w:t>
      </w:r>
      <w:r>
        <w:rPr>
          <w:color w:val="FFFFFF"/>
          <w:sz w:val="2"/>
          <w:szCs w:val="2"/>
        </w:rPr>
        <w:t>̞</w:t>
      </w:r>
      <w:r>
        <w:rPr>
          <w:color w:val="FFFFFF"/>
          <w:sz w:val="2"/>
          <w:szCs w:val="2"/>
        </w:rPr>
        <w:t xml:space="preserve"> 62,125 - </w:t>
      </w:r>
      <w:r>
        <w:rPr>
          <w:color w:val="FFFFFF"/>
          <w:sz w:val="2"/>
          <w:szCs w:val="2"/>
        </w:rPr>
        <w:t>̞</w:t>
      </w:r>
      <w:r>
        <w:rPr>
          <w:color w:val="FFFFFF"/>
          <w:sz w:val="2"/>
          <w:szCs w:val="2"/>
        </w:rPr>
        <w:t xml:space="preserve"> 2,504 </w:t>
      </w:r>
      <w:r>
        <w:rPr>
          <w:color w:val="FFFFFF"/>
          <w:sz w:val="2"/>
          <w:szCs w:val="2"/>
        </w:rPr>
        <w:t>̞</w:t>
      </w:r>
      <w:r>
        <w:rPr>
          <w:color w:val="FFFFFF"/>
          <w:sz w:val="2"/>
          <w:szCs w:val="2"/>
        </w:rPr>
        <w:t xml:space="preserve"> 62,125 - </w:t>
      </w:r>
      <w:r>
        <w:rPr>
          <w:color w:val="FFFFFF"/>
          <w:sz w:val="2"/>
          <w:szCs w:val="2"/>
        </w:rPr>
        <w:t>̞</w:t>
      </w:r>
      <w:r>
        <w:rPr>
          <w:color w:val="FFFFFF"/>
          <w:sz w:val="2"/>
          <w:szCs w:val="2"/>
        </w:rPr>
        <w:t xml:space="preserve"> 2,504 Equity Value Range $0.22 - $0.01 $0.22 - $0.01 Per Share Equity Value Range (USD) Option Value Analysis Summary Op</w:t>
      </w:r>
      <w:r>
        <w:rPr>
          <w:color w:val="FFFFFF"/>
          <w:sz w:val="2"/>
          <w:szCs w:val="2"/>
        </w:rPr>
        <w:t>tion Value Analysis Summary (RMB in thousands, except per Share values or otherwise noted) 22 Valuation Analysis Note: Balance sheet data as of March 31, 2026.</w:t>
      </w:r>
    </w:p>
    <w:p w14:paraId="0BC987D4" w14:textId="77777777" w:rsidR="00000000" w:rsidRDefault="002F725F">
      <w:pPr>
        <w:pStyle w:val="NormalWeb"/>
        <w:spacing w:before="0" w:beforeAutospacing="0" w:after="0" w:afterAutospacing="0"/>
        <w:jc w:val="center"/>
        <w:divId w:val="1258170935"/>
      </w:pPr>
      <w:r>
        <w:t> </w:t>
      </w:r>
    </w:p>
    <w:p w14:paraId="4D6C8FA1" w14:textId="77777777" w:rsidR="00000000" w:rsidRDefault="002F725F">
      <w:pPr>
        <w:pStyle w:val="NormalWeb"/>
        <w:spacing w:before="0" w:beforeAutospacing="0" w:after="0" w:afterAutospacing="0"/>
        <w:jc w:val="center"/>
        <w:divId w:val="71388834"/>
      </w:pPr>
      <w:r>
        <w:t> </w:t>
      </w:r>
    </w:p>
    <w:p w14:paraId="58CEF57E" w14:textId="77777777" w:rsidR="00000000" w:rsidRDefault="002F725F">
      <w:pPr>
        <w:pStyle w:val="NormalWeb"/>
        <w:spacing w:before="0" w:beforeAutospacing="0" w:after="0" w:afterAutospacing="0"/>
        <w:jc w:val="center"/>
        <w:divId w:val="2085181236"/>
      </w:pPr>
      <w:r>
        <w:rPr>
          <w:rFonts w:asciiTheme="minorHAnsi" w:hAnsiTheme="minorHAnsi" w:cstheme="minorBidi"/>
          <w:noProof/>
          <w:sz w:val="22"/>
          <w:szCs w:val="22"/>
        </w:rPr>
        <w:lastRenderedPageBreak/>
        <w:drawing>
          <wp:inline distT="0" distB="0" distL="0" distR="0" wp14:anchorId="5DE30EB7" wp14:editId="6AB863BC">
            <wp:extent cx="9906000" cy="6858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906000" cy="6858000"/>
                    </a:xfrm>
                    <a:prstGeom prst="rect">
                      <a:avLst/>
                    </a:prstGeom>
                    <a:noFill/>
                    <a:ln>
                      <a:noFill/>
                    </a:ln>
                  </pic:spPr>
                </pic:pic>
              </a:graphicData>
            </a:graphic>
          </wp:inline>
        </w:drawing>
      </w:r>
    </w:p>
    <w:p w14:paraId="16ACD318" w14:textId="77777777" w:rsidR="00000000" w:rsidRDefault="002F725F">
      <w:pPr>
        <w:pStyle w:val="NormalWeb"/>
        <w:spacing w:before="0" w:beforeAutospacing="0" w:after="0" w:afterAutospacing="0"/>
        <w:jc w:val="center"/>
        <w:divId w:val="2085181236"/>
        <w:rPr>
          <w:color w:val="FFFFFF"/>
          <w:sz w:val="2"/>
          <w:szCs w:val="2"/>
        </w:rPr>
      </w:pPr>
      <w:r>
        <w:rPr>
          <w:color w:val="FFFFFF"/>
          <w:sz w:val="2"/>
          <w:szCs w:val="2"/>
        </w:rPr>
        <w:t>About Kroll As the leading independent provider of finan</w:t>
      </w:r>
      <w:r>
        <w:rPr>
          <w:color w:val="FFFFFF"/>
          <w:sz w:val="2"/>
          <w:szCs w:val="2"/>
        </w:rPr>
        <w:t>cial and risk advisory solutions, Kroll leverages our unique insights, data and technology to help clients stay ahead of complex demands. Kroll’s team of more than 6,500 professionals worldwide continues the firm’s nearly 100 - year history of trusted expe</w:t>
      </w:r>
      <w:r>
        <w:rPr>
          <w:color w:val="FFFFFF"/>
          <w:sz w:val="2"/>
          <w:szCs w:val="2"/>
        </w:rPr>
        <w:t>rtise spanning risk, governance, transactions and valuation. Our advanced solutions and intelligence provide clients the foresight they need to create an enduring competitive advantage. At Kroll, our values define who we are and how we partner with clients</w:t>
      </w:r>
      <w:r>
        <w:rPr>
          <w:color w:val="FFFFFF"/>
          <w:sz w:val="2"/>
          <w:szCs w:val="2"/>
        </w:rPr>
        <w:t xml:space="preserve"> and communities. Learn more at www.kroll.com . M&amp;A advisory, capital raising and secondary market advisory services in the United States are provided by Kroll Securities, LLC (member FINRA/SIPC) . M&amp;A advisory, capital raising and secondary market advisor</w:t>
      </w:r>
      <w:r>
        <w:rPr>
          <w:color w:val="FFFFFF"/>
          <w:sz w:val="2"/>
          <w:szCs w:val="2"/>
        </w:rPr>
        <w:t>y services in the United Kingdom are provided by Kroll Securities Ltd . , which is authorized and regulated by the Financial Conduct Authority (FCA) . Valuation Advisory Services in India are provided by Kroll Advisory Private Limited (formerly, Duff &amp; Phe</w:t>
      </w:r>
      <w:r>
        <w:rPr>
          <w:color w:val="FFFFFF"/>
          <w:sz w:val="2"/>
          <w:szCs w:val="2"/>
        </w:rPr>
        <w:t>lps India Private Limited), under a category 1 merchant banker license issued by the Securities and Exchange Board of India . © 2026 Kroll, LLC. All rights reserved.</w:t>
      </w:r>
    </w:p>
    <w:p w14:paraId="7F2AFDE8" w14:textId="77777777" w:rsidR="00000000" w:rsidRDefault="002F725F">
      <w:pPr>
        <w:pStyle w:val="NormalWeb"/>
        <w:spacing w:before="0" w:beforeAutospacing="0" w:after="0" w:afterAutospacing="0"/>
        <w:jc w:val="center"/>
        <w:divId w:val="811095286"/>
      </w:pPr>
      <w:r>
        <w:t> </w:t>
      </w:r>
    </w:p>
    <w:sectPr w:rsidR="0000000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noPunctuationKerning/>
  <w:characterSpacingControl w:val="doNotCompress"/>
  <w:compat>
    <w:doNotSnapToGridInCell/>
    <w:doNotWrapTextWithPunct/>
    <w:doNotUseEastAsianBreakRules/>
    <w:growAutofit/>
    <w:compatSetting w:name="compatibilityMode" w:uri="http://schemas.microsoft.com/office/word" w:val="15"/>
    <w:compatSetting w:name="differentiateMultirowTableHeaders" w:uri="http://schemas.microsoft.com/office/word" w:val="1"/>
    <w:compatSetting w:name="useWord2013TrackBottomHyphenation" w:uri="http://schemas.microsoft.com/office/word" w:val="0"/>
  </w:compat>
  <w:rsids>
    <w:rsidRoot w:val="002F725F"/>
    <w:rsid w:val="002F72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D26866E"/>
  <w15:chartTrackingRefBased/>
  <w15:docId w15:val="{568BDE63-A527-47C9-84A6-A8D2BB8E1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normal0">
    <w:name w:val="msonormal"/>
    <w:basedOn w:val="Normal"/>
    <w:pPr>
      <w:spacing w:before="100" w:beforeAutospacing="1" w:after="100" w:afterAutospacing="1"/>
    </w:pPr>
  </w:style>
  <w:style w:type="paragraph" w:styleId="NormalWeb">
    <w:name w:val="Normal (Web)"/>
    <w:basedOn w:val="Normal"/>
    <w:uiPriority w:val="99"/>
    <w:semiHidden/>
    <w:unhideWhenUsed/>
    <w:pPr>
      <w:spacing w:before="100" w:beforeAutospacing="1" w:after="100" w:afterAutospacing="1"/>
    </w:pPr>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5475121">
      <w:marLeft w:val="0"/>
      <w:marRight w:val="0"/>
      <w:marTop w:val="0"/>
      <w:marBottom w:val="0"/>
      <w:divBdr>
        <w:top w:val="none" w:sz="0" w:space="0" w:color="auto"/>
        <w:left w:val="none" w:sz="0" w:space="0" w:color="auto"/>
        <w:bottom w:val="none" w:sz="0" w:space="0" w:color="auto"/>
        <w:right w:val="none" w:sz="0" w:space="0" w:color="auto"/>
      </w:divBdr>
      <w:divsChild>
        <w:div w:id="887228902">
          <w:marLeft w:val="0"/>
          <w:marRight w:val="0"/>
          <w:marTop w:val="0"/>
          <w:marBottom w:val="0"/>
          <w:divBdr>
            <w:top w:val="none" w:sz="0" w:space="0" w:color="auto"/>
            <w:left w:val="none" w:sz="0" w:space="0" w:color="auto"/>
            <w:bottom w:val="none" w:sz="0" w:space="0" w:color="auto"/>
            <w:right w:val="none" w:sz="0" w:space="0" w:color="auto"/>
          </w:divBdr>
          <w:divsChild>
            <w:div w:id="1892300992">
              <w:marLeft w:val="0"/>
              <w:marRight w:val="0"/>
              <w:marTop w:val="0"/>
              <w:marBottom w:val="0"/>
              <w:divBdr>
                <w:top w:val="single" w:sz="18" w:space="0" w:color="000000"/>
                <w:left w:val="none" w:sz="0" w:space="0" w:color="auto"/>
                <w:bottom w:val="single" w:sz="8" w:space="0" w:color="000000"/>
                <w:right w:val="none" w:sz="0" w:space="0" w:color="auto"/>
              </w:divBdr>
            </w:div>
          </w:divsChild>
        </w:div>
        <w:div w:id="1984772410">
          <w:marLeft w:val="0"/>
          <w:marRight w:val="0"/>
          <w:marTop w:val="0"/>
          <w:marBottom w:val="0"/>
          <w:divBdr>
            <w:top w:val="none" w:sz="0" w:space="0" w:color="auto"/>
            <w:left w:val="none" w:sz="0" w:space="0" w:color="auto"/>
            <w:bottom w:val="none" w:sz="0" w:space="0" w:color="auto"/>
            <w:right w:val="none" w:sz="0" w:space="0" w:color="auto"/>
          </w:divBdr>
          <w:divsChild>
            <w:div w:id="1001928798">
              <w:marLeft w:val="0"/>
              <w:marRight w:val="0"/>
              <w:marTop w:val="0"/>
              <w:marBottom w:val="0"/>
              <w:divBdr>
                <w:top w:val="single" w:sz="12" w:space="0" w:color="000000"/>
                <w:left w:val="none" w:sz="0" w:space="0" w:color="auto"/>
                <w:bottom w:val="none" w:sz="0" w:space="0" w:color="auto"/>
                <w:right w:val="none" w:sz="0" w:space="0" w:color="auto"/>
              </w:divBdr>
            </w:div>
          </w:divsChild>
        </w:div>
        <w:div w:id="176313874">
          <w:marLeft w:val="0"/>
          <w:marRight w:val="0"/>
          <w:marTop w:val="0"/>
          <w:marBottom w:val="0"/>
          <w:divBdr>
            <w:top w:val="none" w:sz="0" w:space="0" w:color="auto"/>
            <w:left w:val="none" w:sz="0" w:space="0" w:color="auto"/>
            <w:bottom w:val="none" w:sz="0" w:space="0" w:color="auto"/>
            <w:right w:val="none" w:sz="0" w:space="0" w:color="auto"/>
          </w:divBdr>
          <w:divsChild>
            <w:div w:id="1869947289">
              <w:marLeft w:val="0"/>
              <w:marRight w:val="0"/>
              <w:marTop w:val="0"/>
              <w:marBottom w:val="0"/>
              <w:divBdr>
                <w:top w:val="single" w:sz="12" w:space="0" w:color="000000"/>
                <w:left w:val="none" w:sz="0" w:space="0" w:color="auto"/>
                <w:bottom w:val="none" w:sz="0" w:space="0" w:color="auto"/>
                <w:right w:val="none" w:sz="0" w:space="0" w:color="auto"/>
              </w:divBdr>
            </w:div>
          </w:divsChild>
        </w:div>
        <w:div w:id="1245913166">
          <w:marLeft w:val="0"/>
          <w:marRight w:val="0"/>
          <w:marTop w:val="0"/>
          <w:marBottom w:val="0"/>
          <w:divBdr>
            <w:top w:val="none" w:sz="0" w:space="0" w:color="auto"/>
            <w:left w:val="none" w:sz="0" w:space="0" w:color="auto"/>
            <w:bottom w:val="none" w:sz="0" w:space="0" w:color="auto"/>
            <w:right w:val="none" w:sz="0" w:space="0" w:color="auto"/>
          </w:divBdr>
          <w:divsChild>
            <w:div w:id="342632486">
              <w:marLeft w:val="0"/>
              <w:marRight w:val="0"/>
              <w:marTop w:val="0"/>
              <w:marBottom w:val="0"/>
              <w:divBdr>
                <w:top w:val="single" w:sz="12" w:space="0" w:color="000000"/>
                <w:left w:val="none" w:sz="0" w:space="0" w:color="auto"/>
                <w:bottom w:val="none" w:sz="0" w:space="0" w:color="auto"/>
                <w:right w:val="none" w:sz="0" w:space="0" w:color="auto"/>
              </w:divBdr>
            </w:div>
          </w:divsChild>
        </w:div>
        <w:div w:id="336008896">
          <w:marLeft w:val="0"/>
          <w:marRight w:val="0"/>
          <w:marTop w:val="0"/>
          <w:marBottom w:val="0"/>
          <w:divBdr>
            <w:top w:val="none" w:sz="0" w:space="0" w:color="auto"/>
            <w:left w:val="none" w:sz="0" w:space="0" w:color="auto"/>
            <w:bottom w:val="none" w:sz="0" w:space="0" w:color="auto"/>
            <w:right w:val="none" w:sz="0" w:space="0" w:color="auto"/>
          </w:divBdr>
          <w:divsChild>
            <w:div w:id="696200976">
              <w:marLeft w:val="0"/>
              <w:marRight w:val="0"/>
              <w:marTop w:val="0"/>
              <w:marBottom w:val="0"/>
              <w:divBdr>
                <w:top w:val="single" w:sz="12" w:space="0" w:color="000000"/>
                <w:left w:val="none" w:sz="0" w:space="0" w:color="auto"/>
                <w:bottom w:val="none" w:sz="0" w:space="0" w:color="auto"/>
                <w:right w:val="none" w:sz="0" w:space="0" w:color="auto"/>
              </w:divBdr>
            </w:div>
          </w:divsChild>
        </w:div>
        <w:div w:id="209804068">
          <w:marLeft w:val="0"/>
          <w:marRight w:val="0"/>
          <w:marTop w:val="0"/>
          <w:marBottom w:val="0"/>
          <w:divBdr>
            <w:top w:val="none" w:sz="0" w:space="0" w:color="auto"/>
            <w:left w:val="none" w:sz="0" w:space="0" w:color="auto"/>
            <w:bottom w:val="none" w:sz="0" w:space="0" w:color="auto"/>
            <w:right w:val="none" w:sz="0" w:space="0" w:color="auto"/>
          </w:divBdr>
          <w:divsChild>
            <w:div w:id="744376315">
              <w:marLeft w:val="0"/>
              <w:marRight w:val="0"/>
              <w:marTop w:val="0"/>
              <w:marBottom w:val="0"/>
              <w:divBdr>
                <w:top w:val="single" w:sz="12" w:space="0" w:color="000000"/>
                <w:left w:val="none" w:sz="0" w:space="0" w:color="auto"/>
                <w:bottom w:val="none" w:sz="0" w:space="0" w:color="auto"/>
                <w:right w:val="none" w:sz="0" w:space="0" w:color="auto"/>
              </w:divBdr>
            </w:div>
          </w:divsChild>
        </w:div>
        <w:div w:id="676619798">
          <w:marLeft w:val="0"/>
          <w:marRight w:val="0"/>
          <w:marTop w:val="0"/>
          <w:marBottom w:val="0"/>
          <w:divBdr>
            <w:top w:val="none" w:sz="0" w:space="0" w:color="auto"/>
            <w:left w:val="none" w:sz="0" w:space="0" w:color="auto"/>
            <w:bottom w:val="none" w:sz="0" w:space="0" w:color="auto"/>
            <w:right w:val="none" w:sz="0" w:space="0" w:color="auto"/>
          </w:divBdr>
          <w:divsChild>
            <w:div w:id="183634539">
              <w:marLeft w:val="0"/>
              <w:marRight w:val="0"/>
              <w:marTop w:val="0"/>
              <w:marBottom w:val="0"/>
              <w:divBdr>
                <w:top w:val="single" w:sz="8" w:space="0" w:color="000000"/>
                <w:left w:val="none" w:sz="0" w:space="0" w:color="auto"/>
                <w:bottom w:val="single" w:sz="18" w:space="0" w:color="000000"/>
                <w:right w:val="none" w:sz="0" w:space="0" w:color="auto"/>
              </w:divBdr>
            </w:div>
          </w:divsChild>
        </w:div>
        <w:div w:id="1963878328">
          <w:marLeft w:val="0"/>
          <w:marRight w:val="0"/>
          <w:marTop w:val="240"/>
          <w:marBottom w:val="120"/>
          <w:divBdr>
            <w:top w:val="none" w:sz="0" w:space="0" w:color="auto"/>
            <w:left w:val="none" w:sz="0" w:space="0" w:color="auto"/>
            <w:bottom w:val="single" w:sz="12" w:space="0" w:color="000000"/>
            <w:right w:val="none" w:sz="0" w:space="0" w:color="auto"/>
          </w:divBdr>
        </w:div>
        <w:div w:id="520052732">
          <w:marLeft w:val="0"/>
          <w:marRight w:val="0"/>
          <w:marTop w:val="120"/>
          <w:marBottom w:val="240"/>
          <w:divBdr>
            <w:top w:val="none" w:sz="0" w:space="0" w:color="auto"/>
            <w:left w:val="none" w:sz="0" w:space="0" w:color="auto"/>
            <w:bottom w:val="none" w:sz="0" w:space="0" w:color="auto"/>
            <w:right w:val="none" w:sz="0" w:space="0" w:color="auto"/>
          </w:divBdr>
        </w:div>
        <w:div w:id="1019045902">
          <w:marLeft w:val="0"/>
          <w:marRight w:val="0"/>
          <w:marTop w:val="240"/>
          <w:marBottom w:val="120"/>
          <w:divBdr>
            <w:top w:val="none" w:sz="0" w:space="0" w:color="auto"/>
            <w:left w:val="none" w:sz="0" w:space="0" w:color="auto"/>
            <w:bottom w:val="single" w:sz="12" w:space="0" w:color="000000"/>
            <w:right w:val="none" w:sz="0" w:space="0" w:color="auto"/>
          </w:divBdr>
        </w:div>
        <w:div w:id="128862217">
          <w:marLeft w:val="0"/>
          <w:marRight w:val="0"/>
          <w:marTop w:val="240"/>
          <w:marBottom w:val="120"/>
          <w:divBdr>
            <w:top w:val="none" w:sz="0" w:space="0" w:color="auto"/>
            <w:left w:val="none" w:sz="0" w:space="0" w:color="auto"/>
            <w:bottom w:val="single" w:sz="12" w:space="0" w:color="000000"/>
            <w:right w:val="none" w:sz="0" w:space="0" w:color="auto"/>
          </w:divBdr>
        </w:div>
        <w:div w:id="318773206">
          <w:marLeft w:val="0"/>
          <w:marRight w:val="0"/>
          <w:marTop w:val="240"/>
          <w:marBottom w:val="120"/>
          <w:divBdr>
            <w:top w:val="none" w:sz="0" w:space="0" w:color="auto"/>
            <w:left w:val="none" w:sz="0" w:space="0" w:color="auto"/>
            <w:bottom w:val="single" w:sz="12" w:space="0" w:color="000000"/>
            <w:right w:val="none" w:sz="0" w:space="0" w:color="auto"/>
          </w:divBdr>
        </w:div>
        <w:div w:id="1241332090">
          <w:marLeft w:val="0"/>
          <w:marRight w:val="0"/>
          <w:marTop w:val="240"/>
          <w:marBottom w:val="120"/>
          <w:divBdr>
            <w:top w:val="none" w:sz="0" w:space="0" w:color="auto"/>
            <w:left w:val="none" w:sz="0" w:space="0" w:color="auto"/>
            <w:bottom w:val="single" w:sz="12" w:space="0" w:color="000000"/>
            <w:right w:val="none" w:sz="0" w:space="0" w:color="auto"/>
          </w:divBdr>
        </w:div>
        <w:div w:id="895898127">
          <w:marLeft w:val="0"/>
          <w:marRight w:val="0"/>
          <w:marTop w:val="240"/>
          <w:marBottom w:val="120"/>
          <w:divBdr>
            <w:top w:val="none" w:sz="0" w:space="0" w:color="auto"/>
            <w:left w:val="none" w:sz="0" w:space="0" w:color="auto"/>
            <w:bottom w:val="single" w:sz="12" w:space="0" w:color="000000"/>
            <w:right w:val="none" w:sz="0" w:space="0" w:color="auto"/>
          </w:divBdr>
        </w:div>
        <w:div w:id="1435901653">
          <w:marLeft w:val="0"/>
          <w:marRight w:val="0"/>
          <w:marTop w:val="240"/>
          <w:marBottom w:val="120"/>
          <w:divBdr>
            <w:top w:val="none" w:sz="0" w:space="0" w:color="auto"/>
            <w:left w:val="none" w:sz="0" w:space="0" w:color="auto"/>
            <w:bottom w:val="single" w:sz="12" w:space="0" w:color="000000"/>
            <w:right w:val="none" w:sz="0" w:space="0" w:color="auto"/>
          </w:divBdr>
        </w:div>
        <w:div w:id="2067870410">
          <w:marLeft w:val="0"/>
          <w:marRight w:val="0"/>
          <w:marTop w:val="240"/>
          <w:marBottom w:val="120"/>
          <w:divBdr>
            <w:top w:val="none" w:sz="0" w:space="0" w:color="auto"/>
            <w:left w:val="none" w:sz="0" w:space="0" w:color="auto"/>
            <w:bottom w:val="single" w:sz="12" w:space="0" w:color="000000"/>
            <w:right w:val="none" w:sz="0" w:space="0" w:color="auto"/>
          </w:divBdr>
        </w:div>
        <w:div w:id="411047095">
          <w:marLeft w:val="0"/>
          <w:marRight w:val="0"/>
          <w:marTop w:val="240"/>
          <w:marBottom w:val="120"/>
          <w:divBdr>
            <w:top w:val="none" w:sz="0" w:space="0" w:color="auto"/>
            <w:left w:val="none" w:sz="0" w:space="0" w:color="auto"/>
            <w:bottom w:val="single" w:sz="12" w:space="0" w:color="000000"/>
            <w:right w:val="none" w:sz="0" w:space="0" w:color="auto"/>
          </w:divBdr>
        </w:div>
        <w:div w:id="745570301">
          <w:marLeft w:val="0"/>
          <w:marRight w:val="0"/>
          <w:marTop w:val="240"/>
          <w:marBottom w:val="120"/>
          <w:divBdr>
            <w:top w:val="none" w:sz="0" w:space="0" w:color="auto"/>
            <w:left w:val="none" w:sz="0" w:space="0" w:color="auto"/>
            <w:bottom w:val="single" w:sz="12" w:space="0" w:color="000000"/>
            <w:right w:val="none" w:sz="0" w:space="0" w:color="auto"/>
          </w:divBdr>
        </w:div>
        <w:div w:id="1821193671">
          <w:marLeft w:val="0"/>
          <w:marRight w:val="0"/>
          <w:marTop w:val="240"/>
          <w:marBottom w:val="120"/>
          <w:divBdr>
            <w:top w:val="none" w:sz="0" w:space="0" w:color="auto"/>
            <w:left w:val="none" w:sz="0" w:space="0" w:color="auto"/>
            <w:bottom w:val="single" w:sz="12" w:space="0" w:color="000000"/>
            <w:right w:val="none" w:sz="0" w:space="0" w:color="auto"/>
          </w:divBdr>
        </w:div>
        <w:div w:id="1994018869">
          <w:marLeft w:val="0"/>
          <w:marRight w:val="0"/>
          <w:marTop w:val="240"/>
          <w:marBottom w:val="120"/>
          <w:divBdr>
            <w:top w:val="none" w:sz="0" w:space="0" w:color="auto"/>
            <w:left w:val="none" w:sz="0" w:space="0" w:color="auto"/>
            <w:bottom w:val="single" w:sz="12" w:space="0" w:color="000000"/>
            <w:right w:val="none" w:sz="0" w:space="0" w:color="auto"/>
          </w:divBdr>
        </w:div>
        <w:div w:id="1198080400">
          <w:marLeft w:val="0"/>
          <w:marRight w:val="0"/>
          <w:marTop w:val="240"/>
          <w:marBottom w:val="120"/>
          <w:divBdr>
            <w:top w:val="none" w:sz="0" w:space="0" w:color="auto"/>
            <w:left w:val="none" w:sz="0" w:space="0" w:color="auto"/>
            <w:bottom w:val="single" w:sz="12" w:space="0" w:color="000000"/>
            <w:right w:val="none" w:sz="0" w:space="0" w:color="auto"/>
          </w:divBdr>
        </w:div>
        <w:div w:id="1372727736">
          <w:marLeft w:val="0"/>
          <w:marRight w:val="0"/>
          <w:marTop w:val="240"/>
          <w:marBottom w:val="120"/>
          <w:divBdr>
            <w:top w:val="none" w:sz="0" w:space="0" w:color="auto"/>
            <w:left w:val="none" w:sz="0" w:space="0" w:color="auto"/>
            <w:bottom w:val="single" w:sz="12" w:space="0" w:color="000000"/>
            <w:right w:val="none" w:sz="0" w:space="0" w:color="auto"/>
          </w:divBdr>
        </w:div>
        <w:div w:id="2061664061">
          <w:marLeft w:val="0"/>
          <w:marRight w:val="0"/>
          <w:marTop w:val="240"/>
          <w:marBottom w:val="120"/>
          <w:divBdr>
            <w:top w:val="none" w:sz="0" w:space="0" w:color="auto"/>
            <w:left w:val="none" w:sz="0" w:space="0" w:color="auto"/>
            <w:bottom w:val="single" w:sz="12" w:space="0" w:color="000000"/>
            <w:right w:val="none" w:sz="0" w:space="0" w:color="auto"/>
          </w:divBdr>
        </w:div>
        <w:div w:id="745106837">
          <w:marLeft w:val="0"/>
          <w:marRight w:val="0"/>
          <w:marTop w:val="240"/>
          <w:marBottom w:val="120"/>
          <w:divBdr>
            <w:top w:val="none" w:sz="0" w:space="0" w:color="auto"/>
            <w:left w:val="none" w:sz="0" w:space="0" w:color="auto"/>
            <w:bottom w:val="single" w:sz="12" w:space="0" w:color="000000"/>
            <w:right w:val="none" w:sz="0" w:space="0" w:color="auto"/>
          </w:divBdr>
        </w:div>
        <w:div w:id="290791949">
          <w:marLeft w:val="0"/>
          <w:marRight w:val="0"/>
          <w:marTop w:val="240"/>
          <w:marBottom w:val="120"/>
          <w:divBdr>
            <w:top w:val="none" w:sz="0" w:space="0" w:color="auto"/>
            <w:left w:val="none" w:sz="0" w:space="0" w:color="auto"/>
            <w:bottom w:val="single" w:sz="12" w:space="0" w:color="000000"/>
            <w:right w:val="none" w:sz="0" w:space="0" w:color="auto"/>
          </w:divBdr>
        </w:div>
        <w:div w:id="1490248271">
          <w:marLeft w:val="0"/>
          <w:marRight w:val="0"/>
          <w:marTop w:val="240"/>
          <w:marBottom w:val="120"/>
          <w:divBdr>
            <w:top w:val="none" w:sz="0" w:space="0" w:color="auto"/>
            <w:left w:val="none" w:sz="0" w:space="0" w:color="auto"/>
            <w:bottom w:val="single" w:sz="12" w:space="0" w:color="000000"/>
            <w:right w:val="none" w:sz="0" w:space="0" w:color="auto"/>
          </w:divBdr>
        </w:div>
        <w:div w:id="123936941">
          <w:marLeft w:val="0"/>
          <w:marRight w:val="0"/>
          <w:marTop w:val="240"/>
          <w:marBottom w:val="120"/>
          <w:divBdr>
            <w:top w:val="none" w:sz="0" w:space="0" w:color="auto"/>
            <w:left w:val="none" w:sz="0" w:space="0" w:color="auto"/>
            <w:bottom w:val="single" w:sz="12" w:space="0" w:color="000000"/>
            <w:right w:val="none" w:sz="0" w:space="0" w:color="auto"/>
          </w:divBdr>
        </w:div>
      </w:divsChild>
    </w:div>
    <w:div w:id="415980837">
      <w:marLeft w:val="0"/>
      <w:marRight w:val="0"/>
      <w:marTop w:val="0"/>
      <w:marBottom w:val="0"/>
      <w:divBdr>
        <w:top w:val="none" w:sz="0" w:space="0" w:color="auto"/>
        <w:left w:val="none" w:sz="0" w:space="0" w:color="auto"/>
        <w:bottom w:val="none" w:sz="0" w:space="0" w:color="auto"/>
        <w:right w:val="none" w:sz="0" w:space="0" w:color="auto"/>
      </w:divBdr>
      <w:divsChild>
        <w:div w:id="759452389">
          <w:marLeft w:val="0"/>
          <w:marRight w:val="0"/>
          <w:marTop w:val="240"/>
          <w:marBottom w:val="120"/>
          <w:divBdr>
            <w:top w:val="none" w:sz="0" w:space="0" w:color="auto"/>
            <w:left w:val="none" w:sz="0" w:space="0" w:color="auto"/>
            <w:bottom w:val="single" w:sz="12" w:space="0" w:color="000000"/>
            <w:right w:val="none" w:sz="0" w:space="0" w:color="auto"/>
          </w:divBdr>
        </w:div>
        <w:div w:id="1216353154">
          <w:marLeft w:val="0"/>
          <w:marRight w:val="0"/>
          <w:marTop w:val="240"/>
          <w:marBottom w:val="120"/>
          <w:divBdr>
            <w:top w:val="none" w:sz="0" w:space="0" w:color="auto"/>
            <w:left w:val="none" w:sz="0" w:space="0" w:color="auto"/>
            <w:bottom w:val="single" w:sz="12" w:space="0" w:color="000000"/>
            <w:right w:val="none" w:sz="0" w:space="0" w:color="auto"/>
          </w:divBdr>
        </w:div>
        <w:div w:id="1775436196">
          <w:marLeft w:val="0"/>
          <w:marRight w:val="0"/>
          <w:marTop w:val="240"/>
          <w:marBottom w:val="120"/>
          <w:divBdr>
            <w:top w:val="none" w:sz="0" w:space="0" w:color="auto"/>
            <w:left w:val="none" w:sz="0" w:space="0" w:color="auto"/>
            <w:bottom w:val="single" w:sz="12" w:space="0" w:color="000000"/>
            <w:right w:val="none" w:sz="0" w:space="0" w:color="auto"/>
          </w:divBdr>
        </w:div>
        <w:div w:id="2099710646">
          <w:marLeft w:val="0"/>
          <w:marRight w:val="0"/>
          <w:marTop w:val="240"/>
          <w:marBottom w:val="120"/>
          <w:divBdr>
            <w:top w:val="none" w:sz="0" w:space="0" w:color="auto"/>
            <w:left w:val="none" w:sz="0" w:space="0" w:color="auto"/>
            <w:bottom w:val="single" w:sz="12" w:space="0" w:color="000000"/>
            <w:right w:val="none" w:sz="0" w:space="0" w:color="auto"/>
          </w:divBdr>
        </w:div>
        <w:div w:id="11156018">
          <w:marLeft w:val="0"/>
          <w:marRight w:val="0"/>
          <w:marTop w:val="240"/>
          <w:marBottom w:val="120"/>
          <w:divBdr>
            <w:top w:val="none" w:sz="0" w:space="0" w:color="auto"/>
            <w:left w:val="none" w:sz="0" w:space="0" w:color="auto"/>
            <w:bottom w:val="single" w:sz="12" w:space="0" w:color="000000"/>
            <w:right w:val="none" w:sz="0" w:space="0" w:color="auto"/>
          </w:divBdr>
        </w:div>
        <w:div w:id="1577400713">
          <w:marLeft w:val="0"/>
          <w:marRight w:val="0"/>
          <w:marTop w:val="240"/>
          <w:marBottom w:val="120"/>
          <w:divBdr>
            <w:top w:val="none" w:sz="0" w:space="0" w:color="auto"/>
            <w:left w:val="none" w:sz="0" w:space="0" w:color="auto"/>
            <w:bottom w:val="single" w:sz="12" w:space="0" w:color="000000"/>
            <w:right w:val="none" w:sz="0" w:space="0" w:color="auto"/>
          </w:divBdr>
        </w:div>
        <w:div w:id="326053549">
          <w:marLeft w:val="0"/>
          <w:marRight w:val="0"/>
          <w:marTop w:val="240"/>
          <w:marBottom w:val="120"/>
          <w:divBdr>
            <w:top w:val="none" w:sz="0" w:space="0" w:color="auto"/>
            <w:left w:val="none" w:sz="0" w:space="0" w:color="auto"/>
            <w:bottom w:val="single" w:sz="12" w:space="0" w:color="000000"/>
            <w:right w:val="none" w:sz="0" w:space="0" w:color="auto"/>
          </w:divBdr>
        </w:div>
        <w:div w:id="1105228793">
          <w:marLeft w:val="0"/>
          <w:marRight w:val="0"/>
          <w:marTop w:val="240"/>
          <w:marBottom w:val="120"/>
          <w:divBdr>
            <w:top w:val="none" w:sz="0" w:space="0" w:color="auto"/>
            <w:left w:val="none" w:sz="0" w:space="0" w:color="auto"/>
            <w:bottom w:val="single" w:sz="12" w:space="0" w:color="000000"/>
            <w:right w:val="none" w:sz="0" w:space="0" w:color="auto"/>
          </w:divBdr>
        </w:div>
        <w:div w:id="1837458734">
          <w:marLeft w:val="0"/>
          <w:marRight w:val="0"/>
          <w:marTop w:val="240"/>
          <w:marBottom w:val="120"/>
          <w:divBdr>
            <w:top w:val="none" w:sz="0" w:space="0" w:color="auto"/>
            <w:left w:val="none" w:sz="0" w:space="0" w:color="auto"/>
            <w:bottom w:val="single" w:sz="12" w:space="0" w:color="000000"/>
            <w:right w:val="none" w:sz="0" w:space="0" w:color="auto"/>
          </w:divBdr>
        </w:div>
        <w:div w:id="1296566926">
          <w:marLeft w:val="0"/>
          <w:marRight w:val="0"/>
          <w:marTop w:val="240"/>
          <w:marBottom w:val="120"/>
          <w:divBdr>
            <w:top w:val="none" w:sz="0" w:space="0" w:color="auto"/>
            <w:left w:val="none" w:sz="0" w:space="0" w:color="auto"/>
            <w:bottom w:val="single" w:sz="12" w:space="0" w:color="000000"/>
            <w:right w:val="none" w:sz="0" w:space="0" w:color="auto"/>
          </w:divBdr>
        </w:div>
        <w:div w:id="1279024335">
          <w:marLeft w:val="0"/>
          <w:marRight w:val="0"/>
          <w:marTop w:val="240"/>
          <w:marBottom w:val="120"/>
          <w:divBdr>
            <w:top w:val="none" w:sz="0" w:space="0" w:color="auto"/>
            <w:left w:val="none" w:sz="0" w:space="0" w:color="auto"/>
            <w:bottom w:val="single" w:sz="12" w:space="0" w:color="000000"/>
            <w:right w:val="none" w:sz="0" w:space="0" w:color="auto"/>
          </w:divBdr>
        </w:div>
        <w:div w:id="266738029">
          <w:marLeft w:val="0"/>
          <w:marRight w:val="0"/>
          <w:marTop w:val="240"/>
          <w:marBottom w:val="120"/>
          <w:divBdr>
            <w:top w:val="none" w:sz="0" w:space="0" w:color="auto"/>
            <w:left w:val="none" w:sz="0" w:space="0" w:color="auto"/>
            <w:bottom w:val="single" w:sz="12" w:space="0" w:color="000000"/>
            <w:right w:val="none" w:sz="0" w:space="0" w:color="auto"/>
          </w:divBdr>
        </w:div>
        <w:div w:id="1770194242">
          <w:marLeft w:val="0"/>
          <w:marRight w:val="0"/>
          <w:marTop w:val="120"/>
          <w:marBottom w:val="240"/>
          <w:divBdr>
            <w:top w:val="none" w:sz="0" w:space="0" w:color="auto"/>
            <w:left w:val="none" w:sz="0" w:space="0" w:color="auto"/>
            <w:bottom w:val="none" w:sz="0" w:space="0" w:color="auto"/>
            <w:right w:val="none" w:sz="0" w:space="0" w:color="auto"/>
          </w:divBdr>
        </w:div>
        <w:div w:id="1168670126">
          <w:marLeft w:val="0"/>
          <w:marRight w:val="0"/>
          <w:marTop w:val="240"/>
          <w:marBottom w:val="120"/>
          <w:divBdr>
            <w:top w:val="none" w:sz="0" w:space="0" w:color="auto"/>
            <w:left w:val="none" w:sz="0" w:space="0" w:color="auto"/>
            <w:bottom w:val="single" w:sz="12" w:space="0" w:color="000000"/>
            <w:right w:val="none" w:sz="0" w:space="0" w:color="auto"/>
          </w:divBdr>
        </w:div>
        <w:div w:id="782073085">
          <w:marLeft w:val="0"/>
          <w:marRight w:val="0"/>
          <w:marTop w:val="120"/>
          <w:marBottom w:val="240"/>
          <w:divBdr>
            <w:top w:val="none" w:sz="0" w:space="0" w:color="auto"/>
            <w:left w:val="none" w:sz="0" w:space="0" w:color="auto"/>
            <w:bottom w:val="none" w:sz="0" w:space="0" w:color="auto"/>
            <w:right w:val="none" w:sz="0" w:space="0" w:color="auto"/>
          </w:divBdr>
        </w:div>
        <w:div w:id="1648586600">
          <w:marLeft w:val="0"/>
          <w:marRight w:val="0"/>
          <w:marTop w:val="240"/>
          <w:marBottom w:val="120"/>
          <w:divBdr>
            <w:top w:val="none" w:sz="0" w:space="0" w:color="auto"/>
            <w:left w:val="none" w:sz="0" w:space="0" w:color="auto"/>
            <w:bottom w:val="single" w:sz="12" w:space="0" w:color="000000"/>
            <w:right w:val="none" w:sz="0" w:space="0" w:color="auto"/>
          </w:divBdr>
        </w:div>
        <w:div w:id="148136718">
          <w:marLeft w:val="0"/>
          <w:marRight w:val="0"/>
          <w:marTop w:val="120"/>
          <w:marBottom w:val="240"/>
          <w:divBdr>
            <w:top w:val="none" w:sz="0" w:space="0" w:color="auto"/>
            <w:left w:val="none" w:sz="0" w:space="0" w:color="auto"/>
            <w:bottom w:val="none" w:sz="0" w:space="0" w:color="auto"/>
            <w:right w:val="none" w:sz="0" w:space="0" w:color="auto"/>
          </w:divBdr>
        </w:div>
        <w:div w:id="1190610113">
          <w:marLeft w:val="0"/>
          <w:marRight w:val="0"/>
          <w:marTop w:val="240"/>
          <w:marBottom w:val="120"/>
          <w:divBdr>
            <w:top w:val="none" w:sz="0" w:space="0" w:color="auto"/>
            <w:left w:val="none" w:sz="0" w:space="0" w:color="auto"/>
            <w:bottom w:val="single" w:sz="12" w:space="0" w:color="000000"/>
            <w:right w:val="none" w:sz="0" w:space="0" w:color="auto"/>
          </w:divBdr>
        </w:div>
        <w:div w:id="818156107">
          <w:marLeft w:val="0"/>
          <w:marRight w:val="0"/>
          <w:marTop w:val="120"/>
          <w:marBottom w:val="240"/>
          <w:divBdr>
            <w:top w:val="none" w:sz="0" w:space="0" w:color="auto"/>
            <w:left w:val="none" w:sz="0" w:space="0" w:color="auto"/>
            <w:bottom w:val="none" w:sz="0" w:space="0" w:color="auto"/>
            <w:right w:val="none" w:sz="0" w:space="0" w:color="auto"/>
          </w:divBdr>
        </w:div>
        <w:div w:id="1511407760">
          <w:marLeft w:val="0"/>
          <w:marRight w:val="0"/>
          <w:marTop w:val="240"/>
          <w:marBottom w:val="120"/>
          <w:divBdr>
            <w:top w:val="none" w:sz="0" w:space="0" w:color="auto"/>
            <w:left w:val="none" w:sz="0" w:space="0" w:color="auto"/>
            <w:bottom w:val="single" w:sz="12" w:space="0" w:color="000000"/>
            <w:right w:val="none" w:sz="0" w:space="0" w:color="auto"/>
          </w:divBdr>
        </w:div>
        <w:div w:id="1869634496">
          <w:marLeft w:val="0"/>
          <w:marRight w:val="0"/>
          <w:marTop w:val="120"/>
          <w:marBottom w:val="240"/>
          <w:divBdr>
            <w:top w:val="none" w:sz="0" w:space="0" w:color="auto"/>
            <w:left w:val="none" w:sz="0" w:space="0" w:color="auto"/>
            <w:bottom w:val="none" w:sz="0" w:space="0" w:color="auto"/>
            <w:right w:val="none" w:sz="0" w:space="0" w:color="auto"/>
          </w:divBdr>
        </w:div>
        <w:div w:id="1894123020">
          <w:marLeft w:val="0"/>
          <w:marRight w:val="0"/>
          <w:marTop w:val="240"/>
          <w:marBottom w:val="120"/>
          <w:divBdr>
            <w:top w:val="none" w:sz="0" w:space="0" w:color="auto"/>
            <w:left w:val="none" w:sz="0" w:space="0" w:color="auto"/>
            <w:bottom w:val="single" w:sz="12" w:space="0" w:color="000000"/>
            <w:right w:val="none" w:sz="0" w:space="0" w:color="auto"/>
          </w:divBdr>
        </w:div>
        <w:div w:id="1910723566">
          <w:marLeft w:val="0"/>
          <w:marRight w:val="0"/>
          <w:marTop w:val="120"/>
          <w:marBottom w:val="240"/>
          <w:divBdr>
            <w:top w:val="none" w:sz="0" w:space="0" w:color="auto"/>
            <w:left w:val="none" w:sz="0" w:space="0" w:color="auto"/>
            <w:bottom w:val="none" w:sz="0" w:space="0" w:color="auto"/>
            <w:right w:val="none" w:sz="0" w:space="0" w:color="auto"/>
          </w:divBdr>
        </w:div>
        <w:div w:id="483933269">
          <w:marLeft w:val="0"/>
          <w:marRight w:val="0"/>
          <w:marTop w:val="240"/>
          <w:marBottom w:val="120"/>
          <w:divBdr>
            <w:top w:val="none" w:sz="0" w:space="0" w:color="auto"/>
            <w:left w:val="none" w:sz="0" w:space="0" w:color="auto"/>
            <w:bottom w:val="single" w:sz="12" w:space="0" w:color="000000"/>
            <w:right w:val="none" w:sz="0" w:space="0" w:color="auto"/>
          </w:divBdr>
        </w:div>
        <w:div w:id="323289443">
          <w:marLeft w:val="0"/>
          <w:marRight w:val="0"/>
          <w:marTop w:val="120"/>
          <w:marBottom w:val="240"/>
          <w:divBdr>
            <w:top w:val="none" w:sz="0" w:space="0" w:color="auto"/>
            <w:left w:val="none" w:sz="0" w:space="0" w:color="auto"/>
            <w:bottom w:val="none" w:sz="0" w:space="0" w:color="auto"/>
            <w:right w:val="none" w:sz="0" w:space="0" w:color="auto"/>
          </w:divBdr>
        </w:div>
        <w:div w:id="1976255785">
          <w:marLeft w:val="0"/>
          <w:marRight w:val="0"/>
          <w:marTop w:val="240"/>
          <w:marBottom w:val="120"/>
          <w:divBdr>
            <w:top w:val="none" w:sz="0" w:space="0" w:color="auto"/>
            <w:left w:val="none" w:sz="0" w:space="0" w:color="auto"/>
            <w:bottom w:val="single" w:sz="12" w:space="0" w:color="000000"/>
            <w:right w:val="none" w:sz="0" w:space="0" w:color="auto"/>
          </w:divBdr>
        </w:div>
        <w:div w:id="1649936463">
          <w:marLeft w:val="0"/>
          <w:marRight w:val="0"/>
          <w:marTop w:val="120"/>
          <w:marBottom w:val="240"/>
          <w:divBdr>
            <w:top w:val="none" w:sz="0" w:space="0" w:color="auto"/>
            <w:left w:val="none" w:sz="0" w:space="0" w:color="auto"/>
            <w:bottom w:val="none" w:sz="0" w:space="0" w:color="auto"/>
            <w:right w:val="none" w:sz="0" w:space="0" w:color="auto"/>
          </w:divBdr>
        </w:div>
        <w:div w:id="1884899746">
          <w:marLeft w:val="0"/>
          <w:marRight w:val="0"/>
          <w:marTop w:val="240"/>
          <w:marBottom w:val="120"/>
          <w:divBdr>
            <w:top w:val="none" w:sz="0" w:space="0" w:color="auto"/>
            <w:left w:val="none" w:sz="0" w:space="0" w:color="auto"/>
            <w:bottom w:val="single" w:sz="12" w:space="0" w:color="000000"/>
            <w:right w:val="none" w:sz="0" w:space="0" w:color="auto"/>
          </w:divBdr>
        </w:div>
        <w:div w:id="1619870303">
          <w:marLeft w:val="0"/>
          <w:marRight w:val="0"/>
          <w:marTop w:val="120"/>
          <w:marBottom w:val="240"/>
          <w:divBdr>
            <w:top w:val="none" w:sz="0" w:space="0" w:color="auto"/>
            <w:left w:val="none" w:sz="0" w:space="0" w:color="auto"/>
            <w:bottom w:val="none" w:sz="0" w:space="0" w:color="auto"/>
            <w:right w:val="none" w:sz="0" w:space="0" w:color="auto"/>
          </w:divBdr>
        </w:div>
        <w:div w:id="1122001046">
          <w:marLeft w:val="0"/>
          <w:marRight w:val="0"/>
          <w:marTop w:val="240"/>
          <w:marBottom w:val="120"/>
          <w:divBdr>
            <w:top w:val="none" w:sz="0" w:space="0" w:color="auto"/>
            <w:left w:val="none" w:sz="0" w:space="0" w:color="auto"/>
            <w:bottom w:val="single" w:sz="12" w:space="0" w:color="000000"/>
            <w:right w:val="none" w:sz="0" w:space="0" w:color="auto"/>
          </w:divBdr>
        </w:div>
        <w:div w:id="299846351">
          <w:marLeft w:val="0"/>
          <w:marRight w:val="0"/>
          <w:marTop w:val="120"/>
          <w:marBottom w:val="240"/>
          <w:divBdr>
            <w:top w:val="none" w:sz="0" w:space="0" w:color="auto"/>
            <w:left w:val="none" w:sz="0" w:space="0" w:color="auto"/>
            <w:bottom w:val="none" w:sz="0" w:space="0" w:color="auto"/>
            <w:right w:val="none" w:sz="0" w:space="0" w:color="auto"/>
          </w:divBdr>
        </w:div>
        <w:div w:id="588000035">
          <w:marLeft w:val="0"/>
          <w:marRight w:val="0"/>
          <w:marTop w:val="240"/>
          <w:marBottom w:val="120"/>
          <w:divBdr>
            <w:top w:val="none" w:sz="0" w:space="0" w:color="auto"/>
            <w:left w:val="none" w:sz="0" w:space="0" w:color="auto"/>
            <w:bottom w:val="single" w:sz="12" w:space="0" w:color="000000"/>
            <w:right w:val="none" w:sz="0" w:space="0" w:color="auto"/>
          </w:divBdr>
        </w:div>
        <w:div w:id="2035959798">
          <w:marLeft w:val="0"/>
          <w:marRight w:val="0"/>
          <w:marTop w:val="120"/>
          <w:marBottom w:val="240"/>
          <w:divBdr>
            <w:top w:val="none" w:sz="0" w:space="0" w:color="auto"/>
            <w:left w:val="none" w:sz="0" w:space="0" w:color="auto"/>
            <w:bottom w:val="none" w:sz="0" w:space="0" w:color="auto"/>
            <w:right w:val="none" w:sz="0" w:space="0" w:color="auto"/>
          </w:divBdr>
        </w:div>
        <w:div w:id="356547044">
          <w:marLeft w:val="0"/>
          <w:marRight w:val="0"/>
          <w:marTop w:val="240"/>
          <w:marBottom w:val="120"/>
          <w:divBdr>
            <w:top w:val="none" w:sz="0" w:space="0" w:color="auto"/>
            <w:left w:val="none" w:sz="0" w:space="0" w:color="auto"/>
            <w:bottom w:val="single" w:sz="12" w:space="0" w:color="000000"/>
            <w:right w:val="none" w:sz="0" w:space="0" w:color="auto"/>
          </w:divBdr>
        </w:div>
        <w:div w:id="1365667216">
          <w:marLeft w:val="0"/>
          <w:marRight w:val="0"/>
          <w:marTop w:val="120"/>
          <w:marBottom w:val="240"/>
          <w:divBdr>
            <w:top w:val="none" w:sz="0" w:space="0" w:color="auto"/>
            <w:left w:val="none" w:sz="0" w:space="0" w:color="auto"/>
            <w:bottom w:val="none" w:sz="0" w:space="0" w:color="auto"/>
            <w:right w:val="none" w:sz="0" w:space="0" w:color="auto"/>
          </w:divBdr>
        </w:div>
        <w:div w:id="1407724319">
          <w:marLeft w:val="0"/>
          <w:marRight w:val="0"/>
          <w:marTop w:val="240"/>
          <w:marBottom w:val="120"/>
          <w:divBdr>
            <w:top w:val="none" w:sz="0" w:space="0" w:color="auto"/>
            <w:left w:val="none" w:sz="0" w:space="0" w:color="auto"/>
            <w:bottom w:val="single" w:sz="12" w:space="0" w:color="000000"/>
            <w:right w:val="none" w:sz="0" w:space="0" w:color="auto"/>
          </w:divBdr>
        </w:div>
        <w:div w:id="1807501339">
          <w:marLeft w:val="0"/>
          <w:marRight w:val="0"/>
          <w:marTop w:val="120"/>
          <w:marBottom w:val="240"/>
          <w:divBdr>
            <w:top w:val="none" w:sz="0" w:space="0" w:color="auto"/>
            <w:left w:val="none" w:sz="0" w:space="0" w:color="auto"/>
            <w:bottom w:val="none" w:sz="0" w:space="0" w:color="auto"/>
            <w:right w:val="none" w:sz="0" w:space="0" w:color="auto"/>
          </w:divBdr>
        </w:div>
        <w:div w:id="1069884741">
          <w:marLeft w:val="0"/>
          <w:marRight w:val="0"/>
          <w:marTop w:val="240"/>
          <w:marBottom w:val="120"/>
          <w:divBdr>
            <w:top w:val="none" w:sz="0" w:space="0" w:color="auto"/>
            <w:left w:val="none" w:sz="0" w:space="0" w:color="auto"/>
            <w:bottom w:val="single" w:sz="12" w:space="0" w:color="000000"/>
            <w:right w:val="none" w:sz="0" w:space="0" w:color="auto"/>
          </w:divBdr>
        </w:div>
        <w:div w:id="1237210295">
          <w:marLeft w:val="0"/>
          <w:marRight w:val="0"/>
          <w:marTop w:val="120"/>
          <w:marBottom w:val="240"/>
          <w:divBdr>
            <w:top w:val="none" w:sz="0" w:space="0" w:color="auto"/>
            <w:left w:val="none" w:sz="0" w:space="0" w:color="auto"/>
            <w:bottom w:val="none" w:sz="0" w:space="0" w:color="auto"/>
            <w:right w:val="none" w:sz="0" w:space="0" w:color="auto"/>
          </w:divBdr>
        </w:div>
        <w:div w:id="103812992">
          <w:marLeft w:val="0"/>
          <w:marRight w:val="0"/>
          <w:marTop w:val="240"/>
          <w:marBottom w:val="120"/>
          <w:divBdr>
            <w:top w:val="none" w:sz="0" w:space="0" w:color="auto"/>
            <w:left w:val="none" w:sz="0" w:space="0" w:color="auto"/>
            <w:bottom w:val="single" w:sz="12" w:space="0" w:color="000000"/>
            <w:right w:val="none" w:sz="0" w:space="0" w:color="auto"/>
          </w:divBdr>
        </w:div>
        <w:div w:id="453983317">
          <w:marLeft w:val="0"/>
          <w:marRight w:val="0"/>
          <w:marTop w:val="120"/>
          <w:marBottom w:val="240"/>
          <w:divBdr>
            <w:top w:val="none" w:sz="0" w:space="0" w:color="auto"/>
            <w:left w:val="none" w:sz="0" w:space="0" w:color="auto"/>
            <w:bottom w:val="none" w:sz="0" w:space="0" w:color="auto"/>
            <w:right w:val="none" w:sz="0" w:space="0" w:color="auto"/>
          </w:divBdr>
        </w:div>
        <w:div w:id="328946271">
          <w:marLeft w:val="0"/>
          <w:marRight w:val="0"/>
          <w:marTop w:val="240"/>
          <w:marBottom w:val="120"/>
          <w:divBdr>
            <w:top w:val="none" w:sz="0" w:space="0" w:color="auto"/>
            <w:left w:val="none" w:sz="0" w:space="0" w:color="auto"/>
            <w:bottom w:val="single" w:sz="12" w:space="0" w:color="000000"/>
            <w:right w:val="none" w:sz="0" w:space="0" w:color="auto"/>
          </w:divBdr>
        </w:div>
        <w:div w:id="841046258">
          <w:marLeft w:val="0"/>
          <w:marRight w:val="0"/>
          <w:marTop w:val="120"/>
          <w:marBottom w:val="240"/>
          <w:divBdr>
            <w:top w:val="none" w:sz="0" w:space="0" w:color="auto"/>
            <w:left w:val="none" w:sz="0" w:space="0" w:color="auto"/>
            <w:bottom w:val="none" w:sz="0" w:space="0" w:color="auto"/>
            <w:right w:val="none" w:sz="0" w:space="0" w:color="auto"/>
          </w:divBdr>
        </w:div>
        <w:div w:id="1308587499">
          <w:marLeft w:val="0"/>
          <w:marRight w:val="0"/>
          <w:marTop w:val="240"/>
          <w:marBottom w:val="120"/>
          <w:divBdr>
            <w:top w:val="none" w:sz="0" w:space="0" w:color="auto"/>
            <w:left w:val="none" w:sz="0" w:space="0" w:color="auto"/>
            <w:bottom w:val="single" w:sz="12" w:space="0" w:color="000000"/>
            <w:right w:val="none" w:sz="0" w:space="0" w:color="auto"/>
          </w:divBdr>
        </w:div>
        <w:div w:id="1353334174">
          <w:marLeft w:val="0"/>
          <w:marRight w:val="0"/>
          <w:marTop w:val="120"/>
          <w:marBottom w:val="240"/>
          <w:divBdr>
            <w:top w:val="none" w:sz="0" w:space="0" w:color="auto"/>
            <w:left w:val="none" w:sz="0" w:space="0" w:color="auto"/>
            <w:bottom w:val="none" w:sz="0" w:space="0" w:color="auto"/>
            <w:right w:val="none" w:sz="0" w:space="0" w:color="auto"/>
          </w:divBdr>
        </w:div>
        <w:div w:id="2015914928">
          <w:marLeft w:val="0"/>
          <w:marRight w:val="0"/>
          <w:marTop w:val="240"/>
          <w:marBottom w:val="120"/>
          <w:divBdr>
            <w:top w:val="none" w:sz="0" w:space="0" w:color="auto"/>
            <w:left w:val="none" w:sz="0" w:space="0" w:color="auto"/>
            <w:bottom w:val="single" w:sz="12" w:space="0" w:color="000000"/>
            <w:right w:val="none" w:sz="0" w:space="0" w:color="auto"/>
          </w:divBdr>
        </w:div>
        <w:div w:id="1567449366">
          <w:marLeft w:val="0"/>
          <w:marRight w:val="0"/>
          <w:marTop w:val="120"/>
          <w:marBottom w:val="240"/>
          <w:divBdr>
            <w:top w:val="none" w:sz="0" w:space="0" w:color="auto"/>
            <w:left w:val="none" w:sz="0" w:space="0" w:color="auto"/>
            <w:bottom w:val="none" w:sz="0" w:space="0" w:color="auto"/>
            <w:right w:val="none" w:sz="0" w:space="0" w:color="auto"/>
          </w:divBdr>
        </w:div>
        <w:div w:id="741751799">
          <w:marLeft w:val="0"/>
          <w:marRight w:val="0"/>
          <w:marTop w:val="240"/>
          <w:marBottom w:val="120"/>
          <w:divBdr>
            <w:top w:val="none" w:sz="0" w:space="0" w:color="auto"/>
            <w:left w:val="none" w:sz="0" w:space="0" w:color="auto"/>
            <w:bottom w:val="single" w:sz="12" w:space="0" w:color="000000"/>
            <w:right w:val="none" w:sz="0" w:space="0" w:color="auto"/>
          </w:divBdr>
        </w:div>
        <w:div w:id="445806504">
          <w:marLeft w:val="0"/>
          <w:marRight w:val="0"/>
          <w:marTop w:val="120"/>
          <w:marBottom w:val="240"/>
          <w:divBdr>
            <w:top w:val="none" w:sz="0" w:space="0" w:color="auto"/>
            <w:left w:val="none" w:sz="0" w:space="0" w:color="auto"/>
            <w:bottom w:val="none" w:sz="0" w:space="0" w:color="auto"/>
            <w:right w:val="none" w:sz="0" w:space="0" w:color="auto"/>
          </w:divBdr>
        </w:div>
        <w:div w:id="308360813">
          <w:marLeft w:val="0"/>
          <w:marRight w:val="0"/>
          <w:marTop w:val="240"/>
          <w:marBottom w:val="120"/>
          <w:divBdr>
            <w:top w:val="none" w:sz="0" w:space="0" w:color="auto"/>
            <w:left w:val="none" w:sz="0" w:space="0" w:color="auto"/>
            <w:bottom w:val="single" w:sz="12" w:space="0" w:color="000000"/>
            <w:right w:val="none" w:sz="0" w:space="0" w:color="auto"/>
          </w:divBdr>
        </w:div>
        <w:div w:id="325600247">
          <w:marLeft w:val="0"/>
          <w:marRight w:val="0"/>
          <w:marTop w:val="120"/>
          <w:marBottom w:val="240"/>
          <w:divBdr>
            <w:top w:val="none" w:sz="0" w:space="0" w:color="auto"/>
            <w:left w:val="none" w:sz="0" w:space="0" w:color="auto"/>
            <w:bottom w:val="none" w:sz="0" w:space="0" w:color="auto"/>
            <w:right w:val="none" w:sz="0" w:space="0" w:color="auto"/>
          </w:divBdr>
        </w:div>
        <w:div w:id="1969580126">
          <w:marLeft w:val="0"/>
          <w:marRight w:val="0"/>
          <w:marTop w:val="240"/>
          <w:marBottom w:val="120"/>
          <w:divBdr>
            <w:top w:val="none" w:sz="0" w:space="0" w:color="auto"/>
            <w:left w:val="none" w:sz="0" w:space="0" w:color="auto"/>
            <w:bottom w:val="single" w:sz="12" w:space="0" w:color="000000"/>
            <w:right w:val="none" w:sz="0" w:space="0" w:color="auto"/>
          </w:divBdr>
        </w:div>
        <w:div w:id="2025983857">
          <w:marLeft w:val="0"/>
          <w:marRight w:val="0"/>
          <w:marTop w:val="120"/>
          <w:marBottom w:val="240"/>
          <w:divBdr>
            <w:top w:val="none" w:sz="0" w:space="0" w:color="auto"/>
            <w:left w:val="none" w:sz="0" w:space="0" w:color="auto"/>
            <w:bottom w:val="none" w:sz="0" w:space="0" w:color="auto"/>
            <w:right w:val="none" w:sz="0" w:space="0" w:color="auto"/>
          </w:divBdr>
        </w:div>
        <w:div w:id="1664354282">
          <w:marLeft w:val="0"/>
          <w:marRight w:val="0"/>
          <w:marTop w:val="240"/>
          <w:marBottom w:val="120"/>
          <w:divBdr>
            <w:top w:val="none" w:sz="0" w:space="0" w:color="auto"/>
            <w:left w:val="none" w:sz="0" w:space="0" w:color="auto"/>
            <w:bottom w:val="single" w:sz="12" w:space="0" w:color="000000"/>
            <w:right w:val="none" w:sz="0" w:space="0" w:color="auto"/>
          </w:divBdr>
        </w:div>
        <w:div w:id="620264139">
          <w:marLeft w:val="0"/>
          <w:marRight w:val="0"/>
          <w:marTop w:val="120"/>
          <w:marBottom w:val="240"/>
          <w:divBdr>
            <w:top w:val="none" w:sz="0" w:space="0" w:color="auto"/>
            <w:left w:val="none" w:sz="0" w:space="0" w:color="auto"/>
            <w:bottom w:val="none" w:sz="0" w:space="0" w:color="auto"/>
            <w:right w:val="none" w:sz="0" w:space="0" w:color="auto"/>
          </w:divBdr>
        </w:div>
        <w:div w:id="1768573325">
          <w:marLeft w:val="0"/>
          <w:marRight w:val="0"/>
          <w:marTop w:val="240"/>
          <w:marBottom w:val="120"/>
          <w:divBdr>
            <w:top w:val="none" w:sz="0" w:space="0" w:color="auto"/>
            <w:left w:val="none" w:sz="0" w:space="0" w:color="auto"/>
            <w:bottom w:val="single" w:sz="12" w:space="0" w:color="000000"/>
            <w:right w:val="none" w:sz="0" w:space="0" w:color="auto"/>
          </w:divBdr>
        </w:div>
        <w:div w:id="1400596162">
          <w:marLeft w:val="0"/>
          <w:marRight w:val="0"/>
          <w:marTop w:val="120"/>
          <w:marBottom w:val="240"/>
          <w:divBdr>
            <w:top w:val="none" w:sz="0" w:space="0" w:color="auto"/>
            <w:left w:val="none" w:sz="0" w:space="0" w:color="auto"/>
            <w:bottom w:val="none" w:sz="0" w:space="0" w:color="auto"/>
            <w:right w:val="none" w:sz="0" w:space="0" w:color="auto"/>
          </w:divBdr>
        </w:div>
        <w:div w:id="1283809815">
          <w:marLeft w:val="0"/>
          <w:marRight w:val="0"/>
          <w:marTop w:val="240"/>
          <w:marBottom w:val="120"/>
          <w:divBdr>
            <w:top w:val="none" w:sz="0" w:space="0" w:color="auto"/>
            <w:left w:val="none" w:sz="0" w:space="0" w:color="auto"/>
            <w:bottom w:val="single" w:sz="12" w:space="0" w:color="000000"/>
            <w:right w:val="none" w:sz="0" w:space="0" w:color="auto"/>
          </w:divBdr>
        </w:div>
        <w:div w:id="1096288404">
          <w:marLeft w:val="0"/>
          <w:marRight w:val="0"/>
          <w:marTop w:val="120"/>
          <w:marBottom w:val="240"/>
          <w:divBdr>
            <w:top w:val="none" w:sz="0" w:space="0" w:color="auto"/>
            <w:left w:val="none" w:sz="0" w:space="0" w:color="auto"/>
            <w:bottom w:val="none" w:sz="0" w:space="0" w:color="auto"/>
            <w:right w:val="none" w:sz="0" w:space="0" w:color="auto"/>
          </w:divBdr>
        </w:div>
        <w:div w:id="281112447">
          <w:marLeft w:val="0"/>
          <w:marRight w:val="0"/>
          <w:marTop w:val="240"/>
          <w:marBottom w:val="120"/>
          <w:divBdr>
            <w:top w:val="none" w:sz="0" w:space="0" w:color="auto"/>
            <w:left w:val="none" w:sz="0" w:space="0" w:color="auto"/>
            <w:bottom w:val="single" w:sz="12" w:space="0" w:color="000000"/>
            <w:right w:val="none" w:sz="0" w:space="0" w:color="auto"/>
          </w:divBdr>
        </w:div>
        <w:div w:id="390539561">
          <w:marLeft w:val="0"/>
          <w:marRight w:val="0"/>
          <w:marTop w:val="120"/>
          <w:marBottom w:val="240"/>
          <w:divBdr>
            <w:top w:val="none" w:sz="0" w:space="0" w:color="auto"/>
            <w:left w:val="none" w:sz="0" w:space="0" w:color="auto"/>
            <w:bottom w:val="none" w:sz="0" w:space="0" w:color="auto"/>
            <w:right w:val="none" w:sz="0" w:space="0" w:color="auto"/>
          </w:divBdr>
        </w:div>
        <w:div w:id="711882070">
          <w:marLeft w:val="0"/>
          <w:marRight w:val="0"/>
          <w:marTop w:val="240"/>
          <w:marBottom w:val="120"/>
          <w:divBdr>
            <w:top w:val="none" w:sz="0" w:space="0" w:color="auto"/>
            <w:left w:val="none" w:sz="0" w:space="0" w:color="auto"/>
            <w:bottom w:val="single" w:sz="12" w:space="0" w:color="000000"/>
            <w:right w:val="none" w:sz="0" w:space="0" w:color="auto"/>
          </w:divBdr>
        </w:div>
        <w:div w:id="416756310">
          <w:marLeft w:val="0"/>
          <w:marRight w:val="0"/>
          <w:marTop w:val="120"/>
          <w:marBottom w:val="240"/>
          <w:divBdr>
            <w:top w:val="none" w:sz="0" w:space="0" w:color="auto"/>
            <w:left w:val="none" w:sz="0" w:space="0" w:color="auto"/>
            <w:bottom w:val="none" w:sz="0" w:space="0" w:color="auto"/>
            <w:right w:val="none" w:sz="0" w:space="0" w:color="auto"/>
          </w:divBdr>
        </w:div>
        <w:div w:id="814836832">
          <w:marLeft w:val="0"/>
          <w:marRight w:val="0"/>
          <w:marTop w:val="240"/>
          <w:marBottom w:val="120"/>
          <w:divBdr>
            <w:top w:val="none" w:sz="0" w:space="0" w:color="auto"/>
            <w:left w:val="none" w:sz="0" w:space="0" w:color="auto"/>
            <w:bottom w:val="single" w:sz="12" w:space="0" w:color="000000"/>
            <w:right w:val="none" w:sz="0" w:space="0" w:color="auto"/>
          </w:divBdr>
        </w:div>
        <w:div w:id="1191188233">
          <w:marLeft w:val="0"/>
          <w:marRight w:val="0"/>
          <w:marTop w:val="120"/>
          <w:marBottom w:val="240"/>
          <w:divBdr>
            <w:top w:val="none" w:sz="0" w:space="0" w:color="auto"/>
            <w:left w:val="none" w:sz="0" w:space="0" w:color="auto"/>
            <w:bottom w:val="none" w:sz="0" w:space="0" w:color="auto"/>
            <w:right w:val="none" w:sz="0" w:space="0" w:color="auto"/>
          </w:divBdr>
        </w:div>
        <w:div w:id="930311396">
          <w:marLeft w:val="0"/>
          <w:marRight w:val="0"/>
          <w:marTop w:val="240"/>
          <w:marBottom w:val="120"/>
          <w:divBdr>
            <w:top w:val="none" w:sz="0" w:space="0" w:color="auto"/>
            <w:left w:val="none" w:sz="0" w:space="0" w:color="auto"/>
            <w:bottom w:val="single" w:sz="12" w:space="0" w:color="000000"/>
            <w:right w:val="none" w:sz="0" w:space="0" w:color="auto"/>
          </w:divBdr>
        </w:div>
        <w:div w:id="403260938">
          <w:marLeft w:val="0"/>
          <w:marRight w:val="0"/>
          <w:marTop w:val="120"/>
          <w:marBottom w:val="240"/>
          <w:divBdr>
            <w:top w:val="none" w:sz="0" w:space="0" w:color="auto"/>
            <w:left w:val="none" w:sz="0" w:space="0" w:color="auto"/>
            <w:bottom w:val="none" w:sz="0" w:space="0" w:color="auto"/>
            <w:right w:val="none" w:sz="0" w:space="0" w:color="auto"/>
          </w:divBdr>
        </w:div>
        <w:div w:id="1869104276">
          <w:marLeft w:val="0"/>
          <w:marRight w:val="0"/>
          <w:marTop w:val="240"/>
          <w:marBottom w:val="120"/>
          <w:divBdr>
            <w:top w:val="none" w:sz="0" w:space="0" w:color="auto"/>
            <w:left w:val="none" w:sz="0" w:space="0" w:color="auto"/>
            <w:bottom w:val="single" w:sz="12" w:space="0" w:color="000000"/>
            <w:right w:val="none" w:sz="0" w:space="0" w:color="auto"/>
          </w:divBdr>
        </w:div>
        <w:div w:id="282201391">
          <w:marLeft w:val="0"/>
          <w:marRight w:val="0"/>
          <w:marTop w:val="120"/>
          <w:marBottom w:val="240"/>
          <w:divBdr>
            <w:top w:val="none" w:sz="0" w:space="0" w:color="auto"/>
            <w:left w:val="none" w:sz="0" w:space="0" w:color="auto"/>
            <w:bottom w:val="none" w:sz="0" w:space="0" w:color="auto"/>
            <w:right w:val="none" w:sz="0" w:space="0" w:color="auto"/>
          </w:divBdr>
        </w:div>
        <w:div w:id="1941257010">
          <w:marLeft w:val="0"/>
          <w:marRight w:val="0"/>
          <w:marTop w:val="240"/>
          <w:marBottom w:val="120"/>
          <w:divBdr>
            <w:top w:val="none" w:sz="0" w:space="0" w:color="auto"/>
            <w:left w:val="none" w:sz="0" w:space="0" w:color="auto"/>
            <w:bottom w:val="single" w:sz="12" w:space="0" w:color="000000"/>
            <w:right w:val="none" w:sz="0" w:space="0" w:color="auto"/>
          </w:divBdr>
        </w:div>
        <w:div w:id="315914971">
          <w:marLeft w:val="0"/>
          <w:marRight w:val="0"/>
          <w:marTop w:val="120"/>
          <w:marBottom w:val="240"/>
          <w:divBdr>
            <w:top w:val="none" w:sz="0" w:space="0" w:color="auto"/>
            <w:left w:val="none" w:sz="0" w:space="0" w:color="auto"/>
            <w:bottom w:val="none" w:sz="0" w:space="0" w:color="auto"/>
            <w:right w:val="none" w:sz="0" w:space="0" w:color="auto"/>
          </w:divBdr>
        </w:div>
        <w:div w:id="1516185311">
          <w:marLeft w:val="0"/>
          <w:marRight w:val="0"/>
          <w:marTop w:val="240"/>
          <w:marBottom w:val="120"/>
          <w:divBdr>
            <w:top w:val="none" w:sz="0" w:space="0" w:color="auto"/>
            <w:left w:val="none" w:sz="0" w:space="0" w:color="auto"/>
            <w:bottom w:val="single" w:sz="12" w:space="0" w:color="000000"/>
            <w:right w:val="none" w:sz="0" w:space="0" w:color="auto"/>
          </w:divBdr>
        </w:div>
        <w:div w:id="1259026845">
          <w:marLeft w:val="0"/>
          <w:marRight w:val="0"/>
          <w:marTop w:val="120"/>
          <w:marBottom w:val="240"/>
          <w:divBdr>
            <w:top w:val="none" w:sz="0" w:space="0" w:color="auto"/>
            <w:left w:val="none" w:sz="0" w:space="0" w:color="auto"/>
            <w:bottom w:val="none" w:sz="0" w:space="0" w:color="auto"/>
            <w:right w:val="none" w:sz="0" w:space="0" w:color="auto"/>
          </w:divBdr>
        </w:div>
        <w:div w:id="1270311969">
          <w:marLeft w:val="0"/>
          <w:marRight w:val="0"/>
          <w:marTop w:val="240"/>
          <w:marBottom w:val="120"/>
          <w:divBdr>
            <w:top w:val="none" w:sz="0" w:space="0" w:color="auto"/>
            <w:left w:val="none" w:sz="0" w:space="0" w:color="auto"/>
            <w:bottom w:val="single" w:sz="12" w:space="0" w:color="000000"/>
            <w:right w:val="none" w:sz="0" w:space="0" w:color="auto"/>
          </w:divBdr>
        </w:div>
        <w:div w:id="1493065564">
          <w:marLeft w:val="0"/>
          <w:marRight w:val="0"/>
          <w:marTop w:val="120"/>
          <w:marBottom w:val="240"/>
          <w:divBdr>
            <w:top w:val="none" w:sz="0" w:space="0" w:color="auto"/>
            <w:left w:val="none" w:sz="0" w:space="0" w:color="auto"/>
            <w:bottom w:val="none" w:sz="0" w:space="0" w:color="auto"/>
            <w:right w:val="none" w:sz="0" w:space="0" w:color="auto"/>
          </w:divBdr>
        </w:div>
        <w:div w:id="2029595258">
          <w:marLeft w:val="0"/>
          <w:marRight w:val="0"/>
          <w:marTop w:val="240"/>
          <w:marBottom w:val="120"/>
          <w:divBdr>
            <w:top w:val="none" w:sz="0" w:space="0" w:color="auto"/>
            <w:left w:val="none" w:sz="0" w:space="0" w:color="auto"/>
            <w:bottom w:val="single" w:sz="12" w:space="0" w:color="000000"/>
            <w:right w:val="none" w:sz="0" w:space="0" w:color="auto"/>
          </w:divBdr>
        </w:div>
        <w:div w:id="759647170">
          <w:marLeft w:val="0"/>
          <w:marRight w:val="0"/>
          <w:marTop w:val="120"/>
          <w:marBottom w:val="240"/>
          <w:divBdr>
            <w:top w:val="none" w:sz="0" w:space="0" w:color="auto"/>
            <w:left w:val="none" w:sz="0" w:space="0" w:color="auto"/>
            <w:bottom w:val="none" w:sz="0" w:space="0" w:color="auto"/>
            <w:right w:val="none" w:sz="0" w:space="0" w:color="auto"/>
          </w:divBdr>
        </w:div>
        <w:div w:id="102389104">
          <w:marLeft w:val="0"/>
          <w:marRight w:val="0"/>
          <w:marTop w:val="240"/>
          <w:marBottom w:val="120"/>
          <w:divBdr>
            <w:top w:val="none" w:sz="0" w:space="0" w:color="auto"/>
            <w:left w:val="none" w:sz="0" w:space="0" w:color="auto"/>
            <w:bottom w:val="single" w:sz="12" w:space="0" w:color="000000"/>
            <w:right w:val="none" w:sz="0" w:space="0" w:color="auto"/>
          </w:divBdr>
        </w:div>
        <w:div w:id="1385985858">
          <w:marLeft w:val="0"/>
          <w:marRight w:val="0"/>
          <w:marTop w:val="120"/>
          <w:marBottom w:val="240"/>
          <w:divBdr>
            <w:top w:val="none" w:sz="0" w:space="0" w:color="auto"/>
            <w:left w:val="none" w:sz="0" w:space="0" w:color="auto"/>
            <w:bottom w:val="none" w:sz="0" w:space="0" w:color="auto"/>
            <w:right w:val="none" w:sz="0" w:space="0" w:color="auto"/>
          </w:divBdr>
        </w:div>
        <w:div w:id="1456025741">
          <w:marLeft w:val="0"/>
          <w:marRight w:val="0"/>
          <w:marTop w:val="240"/>
          <w:marBottom w:val="120"/>
          <w:divBdr>
            <w:top w:val="none" w:sz="0" w:space="0" w:color="auto"/>
            <w:left w:val="none" w:sz="0" w:space="0" w:color="auto"/>
            <w:bottom w:val="single" w:sz="12" w:space="0" w:color="000000"/>
            <w:right w:val="none" w:sz="0" w:space="0" w:color="auto"/>
          </w:divBdr>
        </w:div>
        <w:div w:id="369453579">
          <w:marLeft w:val="0"/>
          <w:marRight w:val="0"/>
          <w:marTop w:val="120"/>
          <w:marBottom w:val="240"/>
          <w:divBdr>
            <w:top w:val="none" w:sz="0" w:space="0" w:color="auto"/>
            <w:left w:val="none" w:sz="0" w:space="0" w:color="auto"/>
            <w:bottom w:val="none" w:sz="0" w:space="0" w:color="auto"/>
            <w:right w:val="none" w:sz="0" w:space="0" w:color="auto"/>
          </w:divBdr>
        </w:div>
        <w:div w:id="1251814724">
          <w:marLeft w:val="0"/>
          <w:marRight w:val="0"/>
          <w:marTop w:val="240"/>
          <w:marBottom w:val="120"/>
          <w:divBdr>
            <w:top w:val="none" w:sz="0" w:space="0" w:color="auto"/>
            <w:left w:val="none" w:sz="0" w:space="0" w:color="auto"/>
            <w:bottom w:val="single" w:sz="12" w:space="0" w:color="000000"/>
            <w:right w:val="none" w:sz="0" w:space="0" w:color="auto"/>
          </w:divBdr>
        </w:div>
        <w:div w:id="510267853">
          <w:marLeft w:val="0"/>
          <w:marRight w:val="0"/>
          <w:marTop w:val="120"/>
          <w:marBottom w:val="240"/>
          <w:divBdr>
            <w:top w:val="none" w:sz="0" w:space="0" w:color="auto"/>
            <w:left w:val="none" w:sz="0" w:space="0" w:color="auto"/>
            <w:bottom w:val="none" w:sz="0" w:space="0" w:color="auto"/>
            <w:right w:val="none" w:sz="0" w:space="0" w:color="auto"/>
          </w:divBdr>
        </w:div>
        <w:div w:id="1701583532">
          <w:marLeft w:val="0"/>
          <w:marRight w:val="0"/>
          <w:marTop w:val="240"/>
          <w:marBottom w:val="120"/>
          <w:divBdr>
            <w:top w:val="none" w:sz="0" w:space="0" w:color="auto"/>
            <w:left w:val="none" w:sz="0" w:space="0" w:color="auto"/>
            <w:bottom w:val="single" w:sz="12" w:space="0" w:color="000000"/>
            <w:right w:val="none" w:sz="0" w:space="0" w:color="auto"/>
          </w:divBdr>
        </w:div>
        <w:div w:id="1511794753">
          <w:marLeft w:val="0"/>
          <w:marRight w:val="0"/>
          <w:marTop w:val="120"/>
          <w:marBottom w:val="240"/>
          <w:divBdr>
            <w:top w:val="none" w:sz="0" w:space="0" w:color="auto"/>
            <w:left w:val="none" w:sz="0" w:space="0" w:color="auto"/>
            <w:bottom w:val="none" w:sz="0" w:space="0" w:color="auto"/>
            <w:right w:val="none" w:sz="0" w:space="0" w:color="auto"/>
          </w:divBdr>
        </w:div>
        <w:div w:id="599145527">
          <w:marLeft w:val="0"/>
          <w:marRight w:val="0"/>
          <w:marTop w:val="240"/>
          <w:marBottom w:val="120"/>
          <w:divBdr>
            <w:top w:val="none" w:sz="0" w:space="0" w:color="auto"/>
            <w:left w:val="none" w:sz="0" w:space="0" w:color="auto"/>
            <w:bottom w:val="single" w:sz="12" w:space="0" w:color="000000"/>
            <w:right w:val="none" w:sz="0" w:space="0" w:color="auto"/>
          </w:divBdr>
        </w:div>
        <w:div w:id="501968028">
          <w:marLeft w:val="0"/>
          <w:marRight w:val="0"/>
          <w:marTop w:val="120"/>
          <w:marBottom w:val="240"/>
          <w:divBdr>
            <w:top w:val="none" w:sz="0" w:space="0" w:color="auto"/>
            <w:left w:val="none" w:sz="0" w:space="0" w:color="auto"/>
            <w:bottom w:val="none" w:sz="0" w:space="0" w:color="auto"/>
            <w:right w:val="none" w:sz="0" w:space="0" w:color="auto"/>
          </w:divBdr>
        </w:div>
        <w:div w:id="1257905850">
          <w:marLeft w:val="0"/>
          <w:marRight w:val="0"/>
          <w:marTop w:val="240"/>
          <w:marBottom w:val="120"/>
          <w:divBdr>
            <w:top w:val="none" w:sz="0" w:space="0" w:color="auto"/>
            <w:left w:val="none" w:sz="0" w:space="0" w:color="auto"/>
            <w:bottom w:val="single" w:sz="12" w:space="0" w:color="000000"/>
            <w:right w:val="none" w:sz="0" w:space="0" w:color="auto"/>
          </w:divBdr>
        </w:div>
        <w:div w:id="1382167961">
          <w:marLeft w:val="0"/>
          <w:marRight w:val="0"/>
          <w:marTop w:val="120"/>
          <w:marBottom w:val="240"/>
          <w:divBdr>
            <w:top w:val="none" w:sz="0" w:space="0" w:color="auto"/>
            <w:left w:val="none" w:sz="0" w:space="0" w:color="auto"/>
            <w:bottom w:val="none" w:sz="0" w:space="0" w:color="auto"/>
            <w:right w:val="none" w:sz="0" w:space="0" w:color="auto"/>
          </w:divBdr>
        </w:div>
        <w:div w:id="1855418219">
          <w:marLeft w:val="0"/>
          <w:marRight w:val="0"/>
          <w:marTop w:val="0"/>
          <w:marBottom w:val="0"/>
          <w:divBdr>
            <w:top w:val="none" w:sz="0" w:space="0" w:color="auto"/>
            <w:left w:val="none" w:sz="0" w:space="0" w:color="auto"/>
            <w:bottom w:val="none" w:sz="0" w:space="0" w:color="auto"/>
            <w:right w:val="none" w:sz="0" w:space="0" w:color="auto"/>
          </w:divBdr>
          <w:divsChild>
            <w:div w:id="1232422266">
              <w:marLeft w:val="0"/>
              <w:marRight w:val="0"/>
              <w:marTop w:val="0"/>
              <w:marBottom w:val="0"/>
              <w:divBdr>
                <w:top w:val="single" w:sz="12" w:space="0" w:color="000000"/>
                <w:left w:val="none" w:sz="0" w:space="0" w:color="auto"/>
                <w:bottom w:val="none" w:sz="0" w:space="0" w:color="auto"/>
                <w:right w:val="none" w:sz="0" w:space="0" w:color="auto"/>
              </w:divBdr>
            </w:div>
          </w:divsChild>
        </w:div>
        <w:div w:id="794761421">
          <w:marLeft w:val="0"/>
          <w:marRight w:val="0"/>
          <w:marTop w:val="240"/>
          <w:marBottom w:val="120"/>
          <w:divBdr>
            <w:top w:val="none" w:sz="0" w:space="0" w:color="auto"/>
            <w:left w:val="none" w:sz="0" w:space="0" w:color="auto"/>
            <w:bottom w:val="single" w:sz="12" w:space="0" w:color="000000"/>
            <w:right w:val="none" w:sz="0" w:space="0" w:color="auto"/>
          </w:divBdr>
        </w:div>
        <w:div w:id="315647447">
          <w:marLeft w:val="0"/>
          <w:marRight w:val="0"/>
          <w:marTop w:val="120"/>
          <w:marBottom w:val="240"/>
          <w:divBdr>
            <w:top w:val="none" w:sz="0" w:space="0" w:color="auto"/>
            <w:left w:val="none" w:sz="0" w:space="0" w:color="auto"/>
            <w:bottom w:val="none" w:sz="0" w:space="0" w:color="auto"/>
            <w:right w:val="none" w:sz="0" w:space="0" w:color="auto"/>
          </w:divBdr>
        </w:div>
        <w:div w:id="427972766">
          <w:marLeft w:val="0"/>
          <w:marRight w:val="0"/>
          <w:marTop w:val="240"/>
          <w:marBottom w:val="120"/>
          <w:divBdr>
            <w:top w:val="none" w:sz="0" w:space="0" w:color="auto"/>
            <w:left w:val="none" w:sz="0" w:space="0" w:color="auto"/>
            <w:bottom w:val="single" w:sz="12" w:space="0" w:color="000000"/>
            <w:right w:val="none" w:sz="0" w:space="0" w:color="auto"/>
          </w:divBdr>
        </w:div>
        <w:div w:id="1400053657">
          <w:marLeft w:val="0"/>
          <w:marRight w:val="0"/>
          <w:marTop w:val="120"/>
          <w:marBottom w:val="240"/>
          <w:divBdr>
            <w:top w:val="none" w:sz="0" w:space="0" w:color="auto"/>
            <w:left w:val="none" w:sz="0" w:space="0" w:color="auto"/>
            <w:bottom w:val="none" w:sz="0" w:space="0" w:color="auto"/>
            <w:right w:val="none" w:sz="0" w:space="0" w:color="auto"/>
          </w:divBdr>
        </w:div>
        <w:div w:id="957302397">
          <w:marLeft w:val="0"/>
          <w:marRight w:val="0"/>
          <w:marTop w:val="240"/>
          <w:marBottom w:val="120"/>
          <w:divBdr>
            <w:top w:val="none" w:sz="0" w:space="0" w:color="auto"/>
            <w:left w:val="none" w:sz="0" w:space="0" w:color="auto"/>
            <w:bottom w:val="single" w:sz="12" w:space="0" w:color="000000"/>
            <w:right w:val="none" w:sz="0" w:space="0" w:color="auto"/>
          </w:divBdr>
        </w:div>
        <w:div w:id="944074385">
          <w:marLeft w:val="0"/>
          <w:marRight w:val="0"/>
          <w:marTop w:val="120"/>
          <w:marBottom w:val="240"/>
          <w:divBdr>
            <w:top w:val="none" w:sz="0" w:space="0" w:color="auto"/>
            <w:left w:val="none" w:sz="0" w:space="0" w:color="auto"/>
            <w:bottom w:val="none" w:sz="0" w:space="0" w:color="auto"/>
            <w:right w:val="none" w:sz="0" w:space="0" w:color="auto"/>
          </w:divBdr>
        </w:div>
        <w:div w:id="601574058">
          <w:marLeft w:val="0"/>
          <w:marRight w:val="0"/>
          <w:marTop w:val="240"/>
          <w:marBottom w:val="120"/>
          <w:divBdr>
            <w:top w:val="none" w:sz="0" w:space="0" w:color="auto"/>
            <w:left w:val="none" w:sz="0" w:space="0" w:color="auto"/>
            <w:bottom w:val="single" w:sz="12" w:space="0" w:color="000000"/>
            <w:right w:val="none" w:sz="0" w:space="0" w:color="auto"/>
          </w:divBdr>
        </w:div>
        <w:div w:id="193423965">
          <w:marLeft w:val="0"/>
          <w:marRight w:val="0"/>
          <w:marTop w:val="120"/>
          <w:marBottom w:val="240"/>
          <w:divBdr>
            <w:top w:val="none" w:sz="0" w:space="0" w:color="auto"/>
            <w:left w:val="none" w:sz="0" w:space="0" w:color="auto"/>
            <w:bottom w:val="none" w:sz="0" w:space="0" w:color="auto"/>
            <w:right w:val="none" w:sz="0" w:space="0" w:color="auto"/>
          </w:divBdr>
        </w:div>
        <w:div w:id="522134710">
          <w:marLeft w:val="0"/>
          <w:marRight w:val="0"/>
          <w:marTop w:val="240"/>
          <w:marBottom w:val="120"/>
          <w:divBdr>
            <w:top w:val="none" w:sz="0" w:space="0" w:color="auto"/>
            <w:left w:val="none" w:sz="0" w:space="0" w:color="auto"/>
            <w:bottom w:val="single" w:sz="12" w:space="0" w:color="000000"/>
            <w:right w:val="none" w:sz="0" w:space="0" w:color="auto"/>
          </w:divBdr>
        </w:div>
        <w:div w:id="1950353148">
          <w:marLeft w:val="0"/>
          <w:marRight w:val="0"/>
          <w:marTop w:val="120"/>
          <w:marBottom w:val="240"/>
          <w:divBdr>
            <w:top w:val="none" w:sz="0" w:space="0" w:color="auto"/>
            <w:left w:val="none" w:sz="0" w:space="0" w:color="auto"/>
            <w:bottom w:val="none" w:sz="0" w:space="0" w:color="auto"/>
            <w:right w:val="none" w:sz="0" w:space="0" w:color="auto"/>
          </w:divBdr>
        </w:div>
        <w:div w:id="16854100">
          <w:marLeft w:val="0"/>
          <w:marRight w:val="0"/>
          <w:marTop w:val="240"/>
          <w:marBottom w:val="120"/>
          <w:divBdr>
            <w:top w:val="none" w:sz="0" w:space="0" w:color="auto"/>
            <w:left w:val="none" w:sz="0" w:space="0" w:color="auto"/>
            <w:bottom w:val="single" w:sz="12" w:space="0" w:color="000000"/>
            <w:right w:val="none" w:sz="0" w:space="0" w:color="auto"/>
          </w:divBdr>
        </w:div>
        <w:div w:id="890725043">
          <w:marLeft w:val="0"/>
          <w:marRight w:val="0"/>
          <w:marTop w:val="120"/>
          <w:marBottom w:val="240"/>
          <w:divBdr>
            <w:top w:val="none" w:sz="0" w:space="0" w:color="auto"/>
            <w:left w:val="none" w:sz="0" w:space="0" w:color="auto"/>
            <w:bottom w:val="none" w:sz="0" w:space="0" w:color="auto"/>
            <w:right w:val="none" w:sz="0" w:space="0" w:color="auto"/>
          </w:divBdr>
        </w:div>
        <w:div w:id="233972101">
          <w:marLeft w:val="0"/>
          <w:marRight w:val="0"/>
          <w:marTop w:val="240"/>
          <w:marBottom w:val="120"/>
          <w:divBdr>
            <w:top w:val="none" w:sz="0" w:space="0" w:color="auto"/>
            <w:left w:val="none" w:sz="0" w:space="0" w:color="auto"/>
            <w:bottom w:val="single" w:sz="12" w:space="0" w:color="000000"/>
            <w:right w:val="none" w:sz="0" w:space="0" w:color="auto"/>
          </w:divBdr>
        </w:div>
        <w:div w:id="1854145836">
          <w:marLeft w:val="0"/>
          <w:marRight w:val="0"/>
          <w:marTop w:val="120"/>
          <w:marBottom w:val="240"/>
          <w:divBdr>
            <w:top w:val="none" w:sz="0" w:space="0" w:color="auto"/>
            <w:left w:val="none" w:sz="0" w:space="0" w:color="auto"/>
            <w:bottom w:val="none" w:sz="0" w:space="0" w:color="auto"/>
            <w:right w:val="none" w:sz="0" w:space="0" w:color="auto"/>
          </w:divBdr>
        </w:div>
        <w:div w:id="828986659">
          <w:marLeft w:val="0"/>
          <w:marRight w:val="0"/>
          <w:marTop w:val="0"/>
          <w:marBottom w:val="0"/>
          <w:divBdr>
            <w:top w:val="none" w:sz="0" w:space="0" w:color="auto"/>
            <w:left w:val="none" w:sz="0" w:space="0" w:color="auto"/>
            <w:bottom w:val="none" w:sz="0" w:space="0" w:color="auto"/>
            <w:right w:val="none" w:sz="0" w:space="0" w:color="auto"/>
          </w:divBdr>
          <w:divsChild>
            <w:div w:id="1185555673">
              <w:marLeft w:val="0"/>
              <w:marRight w:val="0"/>
              <w:marTop w:val="0"/>
              <w:marBottom w:val="0"/>
              <w:divBdr>
                <w:top w:val="single" w:sz="12" w:space="0" w:color="000000"/>
                <w:left w:val="none" w:sz="0" w:space="0" w:color="auto"/>
                <w:bottom w:val="none" w:sz="0" w:space="0" w:color="auto"/>
                <w:right w:val="none" w:sz="0" w:space="0" w:color="auto"/>
              </w:divBdr>
            </w:div>
          </w:divsChild>
        </w:div>
        <w:div w:id="963971706">
          <w:marLeft w:val="0"/>
          <w:marRight w:val="0"/>
          <w:marTop w:val="240"/>
          <w:marBottom w:val="120"/>
          <w:divBdr>
            <w:top w:val="none" w:sz="0" w:space="0" w:color="auto"/>
            <w:left w:val="none" w:sz="0" w:space="0" w:color="auto"/>
            <w:bottom w:val="single" w:sz="12" w:space="0" w:color="000000"/>
            <w:right w:val="none" w:sz="0" w:space="0" w:color="auto"/>
          </w:divBdr>
        </w:div>
        <w:div w:id="1803376952">
          <w:marLeft w:val="0"/>
          <w:marRight w:val="0"/>
          <w:marTop w:val="120"/>
          <w:marBottom w:val="240"/>
          <w:divBdr>
            <w:top w:val="none" w:sz="0" w:space="0" w:color="auto"/>
            <w:left w:val="none" w:sz="0" w:space="0" w:color="auto"/>
            <w:bottom w:val="none" w:sz="0" w:space="0" w:color="auto"/>
            <w:right w:val="none" w:sz="0" w:space="0" w:color="auto"/>
          </w:divBdr>
        </w:div>
        <w:div w:id="1668755">
          <w:marLeft w:val="0"/>
          <w:marRight w:val="0"/>
          <w:marTop w:val="240"/>
          <w:marBottom w:val="120"/>
          <w:divBdr>
            <w:top w:val="none" w:sz="0" w:space="0" w:color="auto"/>
            <w:left w:val="none" w:sz="0" w:space="0" w:color="auto"/>
            <w:bottom w:val="single" w:sz="12" w:space="0" w:color="000000"/>
            <w:right w:val="none" w:sz="0" w:space="0" w:color="auto"/>
          </w:divBdr>
        </w:div>
        <w:div w:id="2133278575">
          <w:marLeft w:val="0"/>
          <w:marRight w:val="0"/>
          <w:marTop w:val="120"/>
          <w:marBottom w:val="240"/>
          <w:divBdr>
            <w:top w:val="none" w:sz="0" w:space="0" w:color="auto"/>
            <w:left w:val="none" w:sz="0" w:space="0" w:color="auto"/>
            <w:bottom w:val="none" w:sz="0" w:space="0" w:color="auto"/>
            <w:right w:val="none" w:sz="0" w:space="0" w:color="auto"/>
          </w:divBdr>
        </w:div>
        <w:div w:id="470294657">
          <w:marLeft w:val="0"/>
          <w:marRight w:val="0"/>
          <w:marTop w:val="240"/>
          <w:marBottom w:val="120"/>
          <w:divBdr>
            <w:top w:val="none" w:sz="0" w:space="0" w:color="auto"/>
            <w:left w:val="none" w:sz="0" w:space="0" w:color="auto"/>
            <w:bottom w:val="single" w:sz="12" w:space="0" w:color="000000"/>
            <w:right w:val="none" w:sz="0" w:space="0" w:color="auto"/>
          </w:divBdr>
        </w:div>
        <w:div w:id="77142377">
          <w:marLeft w:val="0"/>
          <w:marRight w:val="0"/>
          <w:marTop w:val="120"/>
          <w:marBottom w:val="240"/>
          <w:divBdr>
            <w:top w:val="none" w:sz="0" w:space="0" w:color="auto"/>
            <w:left w:val="none" w:sz="0" w:space="0" w:color="auto"/>
            <w:bottom w:val="none" w:sz="0" w:space="0" w:color="auto"/>
            <w:right w:val="none" w:sz="0" w:space="0" w:color="auto"/>
          </w:divBdr>
        </w:div>
        <w:div w:id="1183588340">
          <w:marLeft w:val="0"/>
          <w:marRight w:val="0"/>
          <w:marTop w:val="240"/>
          <w:marBottom w:val="120"/>
          <w:divBdr>
            <w:top w:val="none" w:sz="0" w:space="0" w:color="auto"/>
            <w:left w:val="none" w:sz="0" w:space="0" w:color="auto"/>
            <w:bottom w:val="single" w:sz="12" w:space="0" w:color="000000"/>
            <w:right w:val="none" w:sz="0" w:space="0" w:color="auto"/>
          </w:divBdr>
        </w:div>
        <w:div w:id="1710766012">
          <w:marLeft w:val="0"/>
          <w:marRight w:val="0"/>
          <w:marTop w:val="120"/>
          <w:marBottom w:val="240"/>
          <w:divBdr>
            <w:top w:val="none" w:sz="0" w:space="0" w:color="auto"/>
            <w:left w:val="none" w:sz="0" w:space="0" w:color="auto"/>
            <w:bottom w:val="none" w:sz="0" w:space="0" w:color="auto"/>
            <w:right w:val="none" w:sz="0" w:space="0" w:color="auto"/>
          </w:divBdr>
        </w:div>
        <w:div w:id="829634903">
          <w:marLeft w:val="0"/>
          <w:marRight w:val="0"/>
          <w:marTop w:val="240"/>
          <w:marBottom w:val="120"/>
          <w:divBdr>
            <w:top w:val="none" w:sz="0" w:space="0" w:color="auto"/>
            <w:left w:val="none" w:sz="0" w:space="0" w:color="auto"/>
            <w:bottom w:val="single" w:sz="12" w:space="0" w:color="000000"/>
            <w:right w:val="none" w:sz="0" w:space="0" w:color="auto"/>
          </w:divBdr>
        </w:div>
        <w:div w:id="1375960954">
          <w:marLeft w:val="0"/>
          <w:marRight w:val="0"/>
          <w:marTop w:val="120"/>
          <w:marBottom w:val="240"/>
          <w:divBdr>
            <w:top w:val="none" w:sz="0" w:space="0" w:color="auto"/>
            <w:left w:val="none" w:sz="0" w:space="0" w:color="auto"/>
            <w:bottom w:val="none" w:sz="0" w:space="0" w:color="auto"/>
            <w:right w:val="none" w:sz="0" w:space="0" w:color="auto"/>
          </w:divBdr>
        </w:div>
        <w:div w:id="632294647">
          <w:marLeft w:val="0"/>
          <w:marRight w:val="0"/>
          <w:marTop w:val="240"/>
          <w:marBottom w:val="120"/>
          <w:divBdr>
            <w:top w:val="none" w:sz="0" w:space="0" w:color="auto"/>
            <w:left w:val="none" w:sz="0" w:space="0" w:color="auto"/>
            <w:bottom w:val="single" w:sz="12" w:space="0" w:color="000000"/>
            <w:right w:val="none" w:sz="0" w:space="0" w:color="auto"/>
          </w:divBdr>
        </w:div>
        <w:div w:id="1806005470">
          <w:marLeft w:val="0"/>
          <w:marRight w:val="0"/>
          <w:marTop w:val="120"/>
          <w:marBottom w:val="240"/>
          <w:divBdr>
            <w:top w:val="none" w:sz="0" w:space="0" w:color="auto"/>
            <w:left w:val="none" w:sz="0" w:space="0" w:color="auto"/>
            <w:bottom w:val="none" w:sz="0" w:space="0" w:color="auto"/>
            <w:right w:val="none" w:sz="0" w:space="0" w:color="auto"/>
          </w:divBdr>
        </w:div>
        <w:div w:id="319582437">
          <w:marLeft w:val="0"/>
          <w:marRight w:val="0"/>
          <w:marTop w:val="0"/>
          <w:marBottom w:val="0"/>
          <w:divBdr>
            <w:top w:val="none" w:sz="0" w:space="0" w:color="auto"/>
            <w:left w:val="none" w:sz="0" w:space="0" w:color="auto"/>
            <w:bottom w:val="none" w:sz="0" w:space="0" w:color="auto"/>
            <w:right w:val="none" w:sz="0" w:space="0" w:color="auto"/>
          </w:divBdr>
          <w:divsChild>
            <w:div w:id="1348748824">
              <w:marLeft w:val="0"/>
              <w:marRight w:val="0"/>
              <w:marTop w:val="0"/>
              <w:marBottom w:val="0"/>
              <w:divBdr>
                <w:top w:val="single" w:sz="12" w:space="0" w:color="000000"/>
                <w:left w:val="none" w:sz="0" w:space="0" w:color="auto"/>
                <w:bottom w:val="none" w:sz="0" w:space="0" w:color="auto"/>
                <w:right w:val="none" w:sz="0" w:space="0" w:color="auto"/>
              </w:divBdr>
            </w:div>
          </w:divsChild>
        </w:div>
        <w:div w:id="851997418">
          <w:marLeft w:val="0"/>
          <w:marRight w:val="0"/>
          <w:marTop w:val="240"/>
          <w:marBottom w:val="120"/>
          <w:divBdr>
            <w:top w:val="none" w:sz="0" w:space="0" w:color="auto"/>
            <w:left w:val="none" w:sz="0" w:space="0" w:color="auto"/>
            <w:bottom w:val="single" w:sz="12" w:space="0" w:color="000000"/>
            <w:right w:val="none" w:sz="0" w:space="0" w:color="auto"/>
          </w:divBdr>
        </w:div>
        <w:div w:id="515733446">
          <w:marLeft w:val="0"/>
          <w:marRight w:val="0"/>
          <w:marTop w:val="120"/>
          <w:marBottom w:val="240"/>
          <w:divBdr>
            <w:top w:val="none" w:sz="0" w:space="0" w:color="auto"/>
            <w:left w:val="none" w:sz="0" w:space="0" w:color="auto"/>
            <w:bottom w:val="none" w:sz="0" w:space="0" w:color="auto"/>
            <w:right w:val="none" w:sz="0" w:space="0" w:color="auto"/>
          </w:divBdr>
        </w:div>
        <w:div w:id="1019045467">
          <w:marLeft w:val="0"/>
          <w:marRight w:val="0"/>
          <w:marTop w:val="240"/>
          <w:marBottom w:val="120"/>
          <w:divBdr>
            <w:top w:val="none" w:sz="0" w:space="0" w:color="auto"/>
            <w:left w:val="none" w:sz="0" w:space="0" w:color="auto"/>
            <w:bottom w:val="single" w:sz="12" w:space="0" w:color="000000"/>
            <w:right w:val="none" w:sz="0" w:space="0" w:color="auto"/>
          </w:divBdr>
        </w:div>
        <w:div w:id="1567760903">
          <w:marLeft w:val="0"/>
          <w:marRight w:val="0"/>
          <w:marTop w:val="120"/>
          <w:marBottom w:val="240"/>
          <w:divBdr>
            <w:top w:val="none" w:sz="0" w:space="0" w:color="auto"/>
            <w:left w:val="none" w:sz="0" w:space="0" w:color="auto"/>
            <w:bottom w:val="none" w:sz="0" w:space="0" w:color="auto"/>
            <w:right w:val="none" w:sz="0" w:space="0" w:color="auto"/>
          </w:divBdr>
        </w:div>
        <w:div w:id="243146288">
          <w:marLeft w:val="0"/>
          <w:marRight w:val="0"/>
          <w:marTop w:val="240"/>
          <w:marBottom w:val="120"/>
          <w:divBdr>
            <w:top w:val="none" w:sz="0" w:space="0" w:color="auto"/>
            <w:left w:val="none" w:sz="0" w:space="0" w:color="auto"/>
            <w:bottom w:val="single" w:sz="12" w:space="0" w:color="000000"/>
            <w:right w:val="none" w:sz="0" w:space="0" w:color="auto"/>
          </w:divBdr>
        </w:div>
        <w:div w:id="435029884">
          <w:marLeft w:val="0"/>
          <w:marRight w:val="0"/>
          <w:marTop w:val="120"/>
          <w:marBottom w:val="240"/>
          <w:divBdr>
            <w:top w:val="none" w:sz="0" w:space="0" w:color="auto"/>
            <w:left w:val="none" w:sz="0" w:space="0" w:color="auto"/>
            <w:bottom w:val="none" w:sz="0" w:space="0" w:color="auto"/>
            <w:right w:val="none" w:sz="0" w:space="0" w:color="auto"/>
          </w:divBdr>
        </w:div>
        <w:div w:id="619603707">
          <w:marLeft w:val="0"/>
          <w:marRight w:val="0"/>
          <w:marTop w:val="240"/>
          <w:marBottom w:val="120"/>
          <w:divBdr>
            <w:top w:val="none" w:sz="0" w:space="0" w:color="auto"/>
            <w:left w:val="none" w:sz="0" w:space="0" w:color="auto"/>
            <w:bottom w:val="single" w:sz="12" w:space="0" w:color="000000"/>
            <w:right w:val="none" w:sz="0" w:space="0" w:color="auto"/>
          </w:divBdr>
        </w:div>
        <w:div w:id="1358695482">
          <w:marLeft w:val="0"/>
          <w:marRight w:val="0"/>
          <w:marTop w:val="120"/>
          <w:marBottom w:val="240"/>
          <w:divBdr>
            <w:top w:val="none" w:sz="0" w:space="0" w:color="auto"/>
            <w:left w:val="none" w:sz="0" w:space="0" w:color="auto"/>
            <w:bottom w:val="none" w:sz="0" w:space="0" w:color="auto"/>
            <w:right w:val="none" w:sz="0" w:space="0" w:color="auto"/>
          </w:divBdr>
        </w:div>
        <w:div w:id="35088511">
          <w:marLeft w:val="0"/>
          <w:marRight w:val="0"/>
          <w:marTop w:val="240"/>
          <w:marBottom w:val="120"/>
          <w:divBdr>
            <w:top w:val="none" w:sz="0" w:space="0" w:color="auto"/>
            <w:left w:val="none" w:sz="0" w:space="0" w:color="auto"/>
            <w:bottom w:val="single" w:sz="12" w:space="0" w:color="000000"/>
            <w:right w:val="none" w:sz="0" w:space="0" w:color="auto"/>
          </w:divBdr>
        </w:div>
        <w:div w:id="1736053105">
          <w:marLeft w:val="0"/>
          <w:marRight w:val="0"/>
          <w:marTop w:val="120"/>
          <w:marBottom w:val="240"/>
          <w:divBdr>
            <w:top w:val="none" w:sz="0" w:space="0" w:color="auto"/>
            <w:left w:val="none" w:sz="0" w:space="0" w:color="auto"/>
            <w:bottom w:val="none" w:sz="0" w:space="0" w:color="auto"/>
            <w:right w:val="none" w:sz="0" w:space="0" w:color="auto"/>
          </w:divBdr>
        </w:div>
        <w:div w:id="525945623">
          <w:marLeft w:val="0"/>
          <w:marRight w:val="0"/>
          <w:marTop w:val="240"/>
          <w:marBottom w:val="120"/>
          <w:divBdr>
            <w:top w:val="none" w:sz="0" w:space="0" w:color="auto"/>
            <w:left w:val="none" w:sz="0" w:space="0" w:color="auto"/>
            <w:bottom w:val="single" w:sz="12" w:space="0" w:color="000000"/>
            <w:right w:val="none" w:sz="0" w:space="0" w:color="auto"/>
          </w:divBdr>
        </w:div>
        <w:div w:id="1438715345">
          <w:marLeft w:val="0"/>
          <w:marRight w:val="0"/>
          <w:marTop w:val="120"/>
          <w:marBottom w:val="240"/>
          <w:divBdr>
            <w:top w:val="none" w:sz="0" w:space="0" w:color="auto"/>
            <w:left w:val="none" w:sz="0" w:space="0" w:color="auto"/>
            <w:bottom w:val="none" w:sz="0" w:space="0" w:color="auto"/>
            <w:right w:val="none" w:sz="0" w:space="0" w:color="auto"/>
          </w:divBdr>
        </w:div>
        <w:div w:id="146171971">
          <w:marLeft w:val="0"/>
          <w:marRight w:val="0"/>
          <w:marTop w:val="240"/>
          <w:marBottom w:val="120"/>
          <w:divBdr>
            <w:top w:val="none" w:sz="0" w:space="0" w:color="auto"/>
            <w:left w:val="none" w:sz="0" w:space="0" w:color="auto"/>
            <w:bottom w:val="single" w:sz="12" w:space="0" w:color="000000"/>
            <w:right w:val="none" w:sz="0" w:space="0" w:color="auto"/>
          </w:divBdr>
        </w:div>
        <w:div w:id="167721301">
          <w:marLeft w:val="0"/>
          <w:marRight w:val="0"/>
          <w:marTop w:val="120"/>
          <w:marBottom w:val="240"/>
          <w:divBdr>
            <w:top w:val="none" w:sz="0" w:space="0" w:color="auto"/>
            <w:left w:val="none" w:sz="0" w:space="0" w:color="auto"/>
            <w:bottom w:val="none" w:sz="0" w:space="0" w:color="auto"/>
            <w:right w:val="none" w:sz="0" w:space="0" w:color="auto"/>
          </w:divBdr>
        </w:div>
        <w:div w:id="776603267">
          <w:marLeft w:val="0"/>
          <w:marRight w:val="0"/>
          <w:marTop w:val="240"/>
          <w:marBottom w:val="120"/>
          <w:divBdr>
            <w:top w:val="none" w:sz="0" w:space="0" w:color="auto"/>
            <w:left w:val="none" w:sz="0" w:space="0" w:color="auto"/>
            <w:bottom w:val="single" w:sz="12" w:space="0" w:color="000000"/>
            <w:right w:val="none" w:sz="0" w:space="0" w:color="auto"/>
          </w:divBdr>
        </w:div>
        <w:div w:id="1179855441">
          <w:marLeft w:val="0"/>
          <w:marRight w:val="0"/>
          <w:marTop w:val="120"/>
          <w:marBottom w:val="240"/>
          <w:divBdr>
            <w:top w:val="none" w:sz="0" w:space="0" w:color="auto"/>
            <w:left w:val="none" w:sz="0" w:space="0" w:color="auto"/>
            <w:bottom w:val="none" w:sz="0" w:space="0" w:color="auto"/>
            <w:right w:val="none" w:sz="0" w:space="0" w:color="auto"/>
          </w:divBdr>
        </w:div>
        <w:div w:id="732702905">
          <w:marLeft w:val="0"/>
          <w:marRight w:val="0"/>
          <w:marTop w:val="240"/>
          <w:marBottom w:val="120"/>
          <w:divBdr>
            <w:top w:val="none" w:sz="0" w:space="0" w:color="auto"/>
            <w:left w:val="none" w:sz="0" w:space="0" w:color="auto"/>
            <w:bottom w:val="single" w:sz="12" w:space="0" w:color="000000"/>
            <w:right w:val="none" w:sz="0" w:space="0" w:color="auto"/>
          </w:divBdr>
        </w:div>
        <w:div w:id="1503355311">
          <w:marLeft w:val="0"/>
          <w:marRight w:val="0"/>
          <w:marTop w:val="120"/>
          <w:marBottom w:val="240"/>
          <w:divBdr>
            <w:top w:val="none" w:sz="0" w:space="0" w:color="auto"/>
            <w:left w:val="none" w:sz="0" w:space="0" w:color="auto"/>
            <w:bottom w:val="none" w:sz="0" w:space="0" w:color="auto"/>
            <w:right w:val="none" w:sz="0" w:space="0" w:color="auto"/>
          </w:divBdr>
        </w:div>
        <w:div w:id="413866566">
          <w:marLeft w:val="0"/>
          <w:marRight w:val="0"/>
          <w:marTop w:val="240"/>
          <w:marBottom w:val="120"/>
          <w:divBdr>
            <w:top w:val="none" w:sz="0" w:space="0" w:color="auto"/>
            <w:left w:val="none" w:sz="0" w:space="0" w:color="auto"/>
            <w:bottom w:val="single" w:sz="12" w:space="0" w:color="000000"/>
            <w:right w:val="none" w:sz="0" w:space="0" w:color="auto"/>
          </w:divBdr>
        </w:div>
        <w:div w:id="2040348348">
          <w:marLeft w:val="0"/>
          <w:marRight w:val="0"/>
          <w:marTop w:val="120"/>
          <w:marBottom w:val="240"/>
          <w:divBdr>
            <w:top w:val="none" w:sz="0" w:space="0" w:color="auto"/>
            <w:left w:val="none" w:sz="0" w:space="0" w:color="auto"/>
            <w:bottom w:val="none" w:sz="0" w:space="0" w:color="auto"/>
            <w:right w:val="none" w:sz="0" w:space="0" w:color="auto"/>
          </w:divBdr>
        </w:div>
        <w:div w:id="1089694087">
          <w:marLeft w:val="0"/>
          <w:marRight w:val="0"/>
          <w:marTop w:val="240"/>
          <w:marBottom w:val="120"/>
          <w:divBdr>
            <w:top w:val="none" w:sz="0" w:space="0" w:color="auto"/>
            <w:left w:val="none" w:sz="0" w:space="0" w:color="auto"/>
            <w:bottom w:val="single" w:sz="12" w:space="0" w:color="000000"/>
            <w:right w:val="none" w:sz="0" w:space="0" w:color="auto"/>
          </w:divBdr>
        </w:div>
        <w:div w:id="428235418">
          <w:marLeft w:val="0"/>
          <w:marRight w:val="0"/>
          <w:marTop w:val="120"/>
          <w:marBottom w:val="240"/>
          <w:divBdr>
            <w:top w:val="none" w:sz="0" w:space="0" w:color="auto"/>
            <w:left w:val="none" w:sz="0" w:space="0" w:color="auto"/>
            <w:bottom w:val="none" w:sz="0" w:space="0" w:color="auto"/>
            <w:right w:val="none" w:sz="0" w:space="0" w:color="auto"/>
          </w:divBdr>
        </w:div>
        <w:div w:id="1868828787">
          <w:marLeft w:val="0"/>
          <w:marRight w:val="0"/>
          <w:marTop w:val="240"/>
          <w:marBottom w:val="120"/>
          <w:divBdr>
            <w:top w:val="none" w:sz="0" w:space="0" w:color="auto"/>
            <w:left w:val="none" w:sz="0" w:space="0" w:color="auto"/>
            <w:bottom w:val="single" w:sz="12" w:space="0" w:color="000000"/>
            <w:right w:val="none" w:sz="0" w:space="0" w:color="auto"/>
          </w:divBdr>
        </w:div>
        <w:div w:id="398746441">
          <w:marLeft w:val="0"/>
          <w:marRight w:val="0"/>
          <w:marTop w:val="120"/>
          <w:marBottom w:val="240"/>
          <w:divBdr>
            <w:top w:val="none" w:sz="0" w:space="0" w:color="auto"/>
            <w:left w:val="none" w:sz="0" w:space="0" w:color="auto"/>
            <w:bottom w:val="none" w:sz="0" w:space="0" w:color="auto"/>
            <w:right w:val="none" w:sz="0" w:space="0" w:color="auto"/>
          </w:divBdr>
        </w:div>
        <w:div w:id="2138789630">
          <w:marLeft w:val="0"/>
          <w:marRight w:val="0"/>
          <w:marTop w:val="240"/>
          <w:marBottom w:val="120"/>
          <w:divBdr>
            <w:top w:val="none" w:sz="0" w:space="0" w:color="auto"/>
            <w:left w:val="none" w:sz="0" w:space="0" w:color="auto"/>
            <w:bottom w:val="single" w:sz="12" w:space="0" w:color="000000"/>
            <w:right w:val="none" w:sz="0" w:space="0" w:color="auto"/>
          </w:divBdr>
        </w:div>
        <w:div w:id="1911112693">
          <w:marLeft w:val="0"/>
          <w:marRight w:val="0"/>
          <w:marTop w:val="120"/>
          <w:marBottom w:val="240"/>
          <w:divBdr>
            <w:top w:val="none" w:sz="0" w:space="0" w:color="auto"/>
            <w:left w:val="none" w:sz="0" w:space="0" w:color="auto"/>
            <w:bottom w:val="none" w:sz="0" w:space="0" w:color="auto"/>
            <w:right w:val="none" w:sz="0" w:space="0" w:color="auto"/>
          </w:divBdr>
        </w:div>
        <w:div w:id="1909729760">
          <w:marLeft w:val="0"/>
          <w:marRight w:val="0"/>
          <w:marTop w:val="240"/>
          <w:marBottom w:val="120"/>
          <w:divBdr>
            <w:top w:val="none" w:sz="0" w:space="0" w:color="auto"/>
            <w:left w:val="none" w:sz="0" w:space="0" w:color="auto"/>
            <w:bottom w:val="single" w:sz="12" w:space="0" w:color="000000"/>
            <w:right w:val="none" w:sz="0" w:space="0" w:color="auto"/>
          </w:divBdr>
        </w:div>
        <w:div w:id="82143535">
          <w:marLeft w:val="0"/>
          <w:marRight w:val="0"/>
          <w:marTop w:val="120"/>
          <w:marBottom w:val="240"/>
          <w:divBdr>
            <w:top w:val="none" w:sz="0" w:space="0" w:color="auto"/>
            <w:left w:val="none" w:sz="0" w:space="0" w:color="auto"/>
            <w:bottom w:val="none" w:sz="0" w:space="0" w:color="auto"/>
            <w:right w:val="none" w:sz="0" w:space="0" w:color="auto"/>
          </w:divBdr>
        </w:div>
        <w:div w:id="1713075932">
          <w:marLeft w:val="0"/>
          <w:marRight w:val="0"/>
          <w:marTop w:val="240"/>
          <w:marBottom w:val="120"/>
          <w:divBdr>
            <w:top w:val="none" w:sz="0" w:space="0" w:color="auto"/>
            <w:left w:val="none" w:sz="0" w:space="0" w:color="auto"/>
            <w:bottom w:val="single" w:sz="12" w:space="0" w:color="000000"/>
            <w:right w:val="none" w:sz="0" w:space="0" w:color="auto"/>
          </w:divBdr>
        </w:div>
        <w:div w:id="33503844">
          <w:marLeft w:val="0"/>
          <w:marRight w:val="0"/>
          <w:marTop w:val="120"/>
          <w:marBottom w:val="240"/>
          <w:divBdr>
            <w:top w:val="none" w:sz="0" w:space="0" w:color="auto"/>
            <w:left w:val="none" w:sz="0" w:space="0" w:color="auto"/>
            <w:bottom w:val="none" w:sz="0" w:space="0" w:color="auto"/>
            <w:right w:val="none" w:sz="0" w:space="0" w:color="auto"/>
          </w:divBdr>
        </w:div>
        <w:div w:id="1437678347">
          <w:marLeft w:val="0"/>
          <w:marRight w:val="0"/>
          <w:marTop w:val="240"/>
          <w:marBottom w:val="120"/>
          <w:divBdr>
            <w:top w:val="none" w:sz="0" w:space="0" w:color="auto"/>
            <w:left w:val="none" w:sz="0" w:space="0" w:color="auto"/>
            <w:bottom w:val="single" w:sz="12" w:space="0" w:color="000000"/>
            <w:right w:val="none" w:sz="0" w:space="0" w:color="auto"/>
          </w:divBdr>
        </w:div>
        <w:div w:id="693574081">
          <w:marLeft w:val="0"/>
          <w:marRight w:val="0"/>
          <w:marTop w:val="120"/>
          <w:marBottom w:val="240"/>
          <w:divBdr>
            <w:top w:val="none" w:sz="0" w:space="0" w:color="auto"/>
            <w:left w:val="none" w:sz="0" w:space="0" w:color="auto"/>
            <w:bottom w:val="none" w:sz="0" w:space="0" w:color="auto"/>
            <w:right w:val="none" w:sz="0" w:space="0" w:color="auto"/>
          </w:divBdr>
        </w:div>
        <w:div w:id="780145883">
          <w:marLeft w:val="0"/>
          <w:marRight w:val="0"/>
          <w:marTop w:val="240"/>
          <w:marBottom w:val="120"/>
          <w:divBdr>
            <w:top w:val="none" w:sz="0" w:space="0" w:color="auto"/>
            <w:left w:val="none" w:sz="0" w:space="0" w:color="auto"/>
            <w:bottom w:val="single" w:sz="12" w:space="0" w:color="000000"/>
            <w:right w:val="none" w:sz="0" w:space="0" w:color="auto"/>
          </w:divBdr>
        </w:div>
        <w:div w:id="453326969">
          <w:marLeft w:val="0"/>
          <w:marRight w:val="0"/>
          <w:marTop w:val="120"/>
          <w:marBottom w:val="240"/>
          <w:divBdr>
            <w:top w:val="none" w:sz="0" w:space="0" w:color="auto"/>
            <w:left w:val="none" w:sz="0" w:space="0" w:color="auto"/>
            <w:bottom w:val="none" w:sz="0" w:space="0" w:color="auto"/>
            <w:right w:val="none" w:sz="0" w:space="0" w:color="auto"/>
          </w:divBdr>
        </w:div>
        <w:div w:id="372996002">
          <w:marLeft w:val="0"/>
          <w:marRight w:val="0"/>
          <w:marTop w:val="240"/>
          <w:marBottom w:val="120"/>
          <w:divBdr>
            <w:top w:val="none" w:sz="0" w:space="0" w:color="auto"/>
            <w:left w:val="none" w:sz="0" w:space="0" w:color="auto"/>
            <w:bottom w:val="single" w:sz="12" w:space="0" w:color="000000"/>
            <w:right w:val="none" w:sz="0" w:space="0" w:color="auto"/>
          </w:divBdr>
        </w:div>
        <w:div w:id="681005796">
          <w:marLeft w:val="0"/>
          <w:marRight w:val="0"/>
          <w:marTop w:val="120"/>
          <w:marBottom w:val="240"/>
          <w:divBdr>
            <w:top w:val="none" w:sz="0" w:space="0" w:color="auto"/>
            <w:left w:val="none" w:sz="0" w:space="0" w:color="auto"/>
            <w:bottom w:val="none" w:sz="0" w:space="0" w:color="auto"/>
            <w:right w:val="none" w:sz="0" w:space="0" w:color="auto"/>
          </w:divBdr>
        </w:div>
        <w:div w:id="112600695">
          <w:marLeft w:val="0"/>
          <w:marRight w:val="0"/>
          <w:marTop w:val="240"/>
          <w:marBottom w:val="120"/>
          <w:divBdr>
            <w:top w:val="none" w:sz="0" w:space="0" w:color="auto"/>
            <w:left w:val="none" w:sz="0" w:space="0" w:color="auto"/>
            <w:bottom w:val="single" w:sz="12" w:space="0" w:color="000000"/>
            <w:right w:val="none" w:sz="0" w:space="0" w:color="auto"/>
          </w:divBdr>
        </w:div>
        <w:div w:id="787968062">
          <w:marLeft w:val="0"/>
          <w:marRight w:val="0"/>
          <w:marTop w:val="120"/>
          <w:marBottom w:val="240"/>
          <w:divBdr>
            <w:top w:val="none" w:sz="0" w:space="0" w:color="auto"/>
            <w:left w:val="none" w:sz="0" w:space="0" w:color="auto"/>
            <w:bottom w:val="none" w:sz="0" w:space="0" w:color="auto"/>
            <w:right w:val="none" w:sz="0" w:space="0" w:color="auto"/>
          </w:divBdr>
        </w:div>
        <w:div w:id="1539587898">
          <w:marLeft w:val="0"/>
          <w:marRight w:val="0"/>
          <w:marTop w:val="240"/>
          <w:marBottom w:val="120"/>
          <w:divBdr>
            <w:top w:val="none" w:sz="0" w:space="0" w:color="auto"/>
            <w:left w:val="none" w:sz="0" w:space="0" w:color="auto"/>
            <w:bottom w:val="single" w:sz="12" w:space="0" w:color="000000"/>
            <w:right w:val="none" w:sz="0" w:space="0" w:color="auto"/>
          </w:divBdr>
        </w:div>
        <w:div w:id="1029333783">
          <w:marLeft w:val="0"/>
          <w:marRight w:val="0"/>
          <w:marTop w:val="120"/>
          <w:marBottom w:val="240"/>
          <w:divBdr>
            <w:top w:val="none" w:sz="0" w:space="0" w:color="auto"/>
            <w:left w:val="none" w:sz="0" w:space="0" w:color="auto"/>
            <w:bottom w:val="none" w:sz="0" w:space="0" w:color="auto"/>
            <w:right w:val="none" w:sz="0" w:space="0" w:color="auto"/>
          </w:divBdr>
        </w:div>
        <w:div w:id="4288418">
          <w:marLeft w:val="0"/>
          <w:marRight w:val="0"/>
          <w:marTop w:val="240"/>
          <w:marBottom w:val="120"/>
          <w:divBdr>
            <w:top w:val="none" w:sz="0" w:space="0" w:color="auto"/>
            <w:left w:val="none" w:sz="0" w:space="0" w:color="auto"/>
            <w:bottom w:val="single" w:sz="12" w:space="0" w:color="000000"/>
            <w:right w:val="none" w:sz="0" w:space="0" w:color="auto"/>
          </w:divBdr>
        </w:div>
        <w:div w:id="1329942097">
          <w:marLeft w:val="0"/>
          <w:marRight w:val="0"/>
          <w:marTop w:val="120"/>
          <w:marBottom w:val="240"/>
          <w:divBdr>
            <w:top w:val="none" w:sz="0" w:space="0" w:color="auto"/>
            <w:left w:val="none" w:sz="0" w:space="0" w:color="auto"/>
            <w:bottom w:val="none" w:sz="0" w:space="0" w:color="auto"/>
            <w:right w:val="none" w:sz="0" w:space="0" w:color="auto"/>
          </w:divBdr>
        </w:div>
        <w:div w:id="647324315">
          <w:marLeft w:val="0"/>
          <w:marRight w:val="0"/>
          <w:marTop w:val="240"/>
          <w:marBottom w:val="120"/>
          <w:divBdr>
            <w:top w:val="none" w:sz="0" w:space="0" w:color="auto"/>
            <w:left w:val="none" w:sz="0" w:space="0" w:color="auto"/>
            <w:bottom w:val="single" w:sz="12" w:space="0" w:color="000000"/>
            <w:right w:val="none" w:sz="0" w:space="0" w:color="auto"/>
          </w:divBdr>
        </w:div>
        <w:div w:id="1749690062">
          <w:marLeft w:val="0"/>
          <w:marRight w:val="0"/>
          <w:marTop w:val="120"/>
          <w:marBottom w:val="240"/>
          <w:divBdr>
            <w:top w:val="none" w:sz="0" w:space="0" w:color="auto"/>
            <w:left w:val="none" w:sz="0" w:space="0" w:color="auto"/>
            <w:bottom w:val="none" w:sz="0" w:space="0" w:color="auto"/>
            <w:right w:val="none" w:sz="0" w:space="0" w:color="auto"/>
          </w:divBdr>
        </w:div>
        <w:div w:id="1850634982">
          <w:marLeft w:val="0"/>
          <w:marRight w:val="0"/>
          <w:marTop w:val="240"/>
          <w:marBottom w:val="120"/>
          <w:divBdr>
            <w:top w:val="none" w:sz="0" w:space="0" w:color="auto"/>
            <w:left w:val="none" w:sz="0" w:space="0" w:color="auto"/>
            <w:bottom w:val="single" w:sz="12" w:space="0" w:color="000000"/>
            <w:right w:val="none" w:sz="0" w:space="0" w:color="auto"/>
          </w:divBdr>
        </w:div>
        <w:div w:id="312874854">
          <w:marLeft w:val="0"/>
          <w:marRight w:val="0"/>
          <w:marTop w:val="120"/>
          <w:marBottom w:val="240"/>
          <w:divBdr>
            <w:top w:val="none" w:sz="0" w:space="0" w:color="auto"/>
            <w:left w:val="none" w:sz="0" w:space="0" w:color="auto"/>
            <w:bottom w:val="none" w:sz="0" w:space="0" w:color="auto"/>
            <w:right w:val="none" w:sz="0" w:space="0" w:color="auto"/>
          </w:divBdr>
        </w:div>
        <w:div w:id="1558589528">
          <w:marLeft w:val="0"/>
          <w:marRight w:val="0"/>
          <w:marTop w:val="240"/>
          <w:marBottom w:val="120"/>
          <w:divBdr>
            <w:top w:val="none" w:sz="0" w:space="0" w:color="auto"/>
            <w:left w:val="none" w:sz="0" w:space="0" w:color="auto"/>
            <w:bottom w:val="single" w:sz="12" w:space="0" w:color="000000"/>
            <w:right w:val="none" w:sz="0" w:space="0" w:color="auto"/>
          </w:divBdr>
        </w:div>
        <w:div w:id="1179734803">
          <w:marLeft w:val="0"/>
          <w:marRight w:val="0"/>
          <w:marTop w:val="120"/>
          <w:marBottom w:val="240"/>
          <w:divBdr>
            <w:top w:val="none" w:sz="0" w:space="0" w:color="auto"/>
            <w:left w:val="none" w:sz="0" w:space="0" w:color="auto"/>
            <w:bottom w:val="none" w:sz="0" w:space="0" w:color="auto"/>
            <w:right w:val="none" w:sz="0" w:space="0" w:color="auto"/>
          </w:divBdr>
        </w:div>
        <w:div w:id="402532926">
          <w:marLeft w:val="0"/>
          <w:marRight w:val="0"/>
          <w:marTop w:val="240"/>
          <w:marBottom w:val="120"/>
          <w:divBdr>
            <w:top w:val="none" w:sz="0" w:space="0" w:color="auto"/>
            <w:left w:val="none" w:sz="0" w:space="0" w:color="auto"/>
            <w:bottom w:val="single" w:sz="12" w:space="0" w:color="000000"/>
            <w:right w:val="none" w:sz="0" w:space="0" w:color="auto"/>
          </w:divBdr>
        </w:div>
        <w:div w:id="455611517">
          <w:marLeft w:val="0"/>
          <w:marRight w:val="0"/>
          <w:marTop w:val="120"/>
          <w:marBottom w:val="240"/>
          <w:divBdr>
            <w:top w:val="none" w:sz="0" w:space="0" w:color="auto"/>
            <w:left w:val="none" w:sz="0" w:space="0" w:color="auto"/>
            <w:bottom w:val="none" w:sz="0" w:space="0" w:color="auto"/>
            <w:right w:val="none" w:sz="0" w:space="0" w:color="auto"/>
          </w:divBdr>
        </w:div>
        <w:div w:id="1916278615">
          <w:marLeft w:val="0"/>
          <w:marRight w:val="0"/>
          <w:marTop w:val="240"/>
          <w:marBottom w:val="120"/>
          <w:divBdr>
            <w:top w:val="none" w:sz="0" w:space="0" w:color="auto"/>
            <w:left w:val="none" w:sz="0" w:space="0" w:color="auto"/>
            <w:bottom w:val="single" w:sz="12" w:space="0" w:color="000000"/>
            <w:right w:val="none" w:sz="0" w:space="0" w:color="auto"/>
          </w:divBdr>
        </w:div>
        <w:div w:id="1962761022">
          <w:marLeft w:val="0"/>
          <w:marRight w:val="0"/>
          <w:marTop w:val="120"/>
          <w:marBottom w:val="240"/>
          <w:divBdr>
            <w:top w:val="none" w:sz="0" w:space="0" w:color="auto"/>
            <w:left w:val="none" w:sz="0" w:space="0" w:color="auto"/>
            <w:bottom w:val="none" w:sz="0" w:space="0" w:color="auto"/>
            <w:right w:val="none" w:sz="0" w:space="0" w:color="auto"/>
          </w:divBdr>
        </w:div>
        <w:div w:id="158277789">
          <w:marLeft w:val="0"/>
          <w:marRight w:val="0"/>
          <w:marTop w:val="240"/>
          <w:marBottom w:val="120"/>
          <w:divBdr>
            <w:top w:val="none" w:sz="0" w:space="0" w:color="auto"/>
            <w:left w:val="none" w:sz="0" w:space="0" w:color="auto"/>
            <w:bottom w:val="single" w:sz="12" w:space="0" w:color="000000"/>
            <w:right w:val="none" w:sz="0" w:space="0" w:color="auto"/>
          </w:divBdr>
        </w:div>
        <w:div w:id="746659067">
          <w:marLeft w:val="0"/>
          <w:marRight w:val="0"/>
          <w:marTop w:val="120"/>
          <w:marBottom w:val="240"/>
          <w:divBdr>
            <w:top w:val="none" w:sz="0" w:space="0" w:color="auto"/>
            <w:left w:val="none" w:sz="0" w:space="0" w:color="auto"/>
            <w:bottom w:val="none" w:sz="0" w:space="0" w:color="auto"/>
            <w:right w:val="none" w:sz="0" w:space="0" w:color="auto"/>
          </w:divBdr>
        </w:div>
        <w:div w:id="2084837439">
          <w:marLeft w:val="0"/>
          <w:marRight w:val="0"/>
          <w:marTop w:val="240"/>
          <w:marBottom w:val="120"/>
          <w:divBdr>
            <w:top w:val="none" w:sz="0" w:space="0" w:color="auto"/>
            <w:left w:val="none" w:sz="0" w:space="0" w:color="auto"/>
            <w:bottom w:val="single" w:sz="12" w:space="0" w:color="000000"/>
            <w:right w:val="none" w:sz="0" w:space="0" w:color="auto"/>
          </w:divBdr>
        </w:div>
        <w:div w:id="629437096">
          <w:marLeft w:val="0"/>
          <w:marRight w:val="0"/>
          <w:marTop w:val="120"/>
          <w:marBottom w:val="240"/>
          <w:divBdr>
            <w:top w:val="none" w:sz="0" w:space="0" w:color="auto"/>
            <w:left w:val="none" w:sz="0" w:space="0" w:color="auto"/>
            <w:bottom w:val="none" w:sz="0" w:space="0" w:color="auto"/>
            <w:right w:val="none" w:sz="0" w:space="0" w:color="auto"/>
          </w:divBdr>
        </w:div>
        <w:div w:id="1345521926">
          <w:marLeft w:val="0"/>
          <w:marRight w:val="0"/>
          <w:marTop w:val="240"/>
          <w:marBottom w:val="120"/>
          <w:divBdr>
            <w:top w:val="none" w:sz="0" w:space="0" w:color="auto"/>
            <w:left w:val="none" w:sz="0" w:space="0" w:color="auto"/>
            <w:bottom w:val="single" w:sz="12" w:space="0" w:color="000000"/>
            <w:right w:val="none" w:sz="0" w:space="0" w:color="auto"/>
          </w:divBdr>
        </w:div>
        <w:div w:id="1084765003">
          <w:marLeft w:val="0"/>
          <w:marRight w:val="0"/>
          <w:marTop w:val="120"/>
          <w:marBottom w:val="240"/>
          <w:divBdr>
            <w:top w:val="none" w:sz="0" w:space="0" w:color="auto"/>
            <w:left w:val="none" w:sz="0" w:space="0" w:color="auto"/>
            <w:bottom w:val="none" w:sz="0" w:space="0" w:color="auto"/>
            <w:right w:val="none" w:sz="0" w:space="0" w:color="auto"/>
          </w:divBdr>
        </w:div>
        <w:div w:id="1623920750">
          <w:marLeft w:val="0"/>
          <w:marRight w:val="0"/>
          <w:marTop w:val="240"/>
          <w:marBottom w:val="120"/>
          <w:divBdr>
            <w:top w:val="none" w:sz="0" w:space="0" w:color="auto"/>
            <w:left w:val="none" w:sz="0" w:space="0" w:color="auto"/>
            <w:bottom w:val="single" w:sz="12" w:space="0" w:color="000000"/>
            <w:right w:val="none" w:sz="0" w:space="0" w:color="auto"/>
          </w:divBdr>
        </w:div>
        <w:div w:id="1604997811">
          <w:marLeft w:val="0"/>
          <w:marRight w:val="0"/>
          <w:marTop w:val="120"/>
          <w:marBottom w:val="240"/>
          <w:divBdr>
            <w:top w:val="none" w:sz="0" w:space="0" w:color="auto"/>
            <w:left w:val="none" w:sz="0" w:space="0" w:color="auto"/>
            <w:bottom w:val="none" w:sz="0" w:space="0" w:color="auto"/>
            <w:right w:val="none" w:sz="0" w:space="0" w:color="auto"/>
          </w:divBdr>
        </w:div>
        <w:div w:id="1221089460">
          <w:marLeft w:val="0"/>
          <w:marRight w:val="0"/>
          <w:marTop w:val="240"/>
          <w:marBottom w:val="120"/>
          <w:divBdr>
            <w:top w:val="none" w:sz="0" w:space="0" w:color="auto"/>
            <w:left w:val="none" w:sz="0" w:space="0" w:color="auto"/>
            <w:bottom w:val="single" w:sz="12" w:space="0" w:color="000000"/>
            <w:right w:val="none" w:sz="0" w:space="0" w:color="auto"/>
          </w:divBdr>
        </w:div>
        <w:div w:id="580287277">
          <w:marLeft w:val="0"/>
          <w:marRight w:val="0"/>
          <w:marTop w:val="120"/>
          <w:marBottom w:val="240"/>
          <w:divBdr>
            <w:top w:val="none" w:sz="0" w:space="0" w:color="auto"/>
            <w:left w:val="none" w:sz="0" w:space="0" w:color="auto"/>
            <w:bottom w:val="none" w:sz="0" w:space="0" w:color="auto"/>
            <w:right w:val="none" w:sz="0" w:space="0" w:color="auto"/>
          </w:divBdr>
        </w:div>
        <w:div w:id="478377979">
          <w:marLeft w:val="0"/>
          <w:marRight w:val="0"/>
          <w:marTop w:val="240"/>
          <w:marBottom w:val="120"/>
          <w:divBdr>
            <w:top w:val="none" w:sz="0" w:space="0" w:color="auto"/>
            <w:left w:val="none" w:sz="0" w:space="0" w:color="auto"/>
            <w:bottom w:val="single" w:sz="12" w:space="0" w:color="000000"/>
            <w:right w:val="none" w:sz="0" w:space="0" w:color="auto"/>
          </w:divBdr>
        </w:div>
        <w:div w:id="160894780">
          <w:marLeft w:val="0"/>
          <w:marRight w:val="0"/>
          <w:marTop w:val="120"/>
          <w:marBottom w:val="240"/>
          <w:divBdr>
            <w:top w:val="none" w:sz="0" w:space="0" w:color="auto"/>
            <w:left w:val="none" w:sz="0" w:space="0" w:color="auto"/>
            <w:bottom w:val="none" w:sz="0" w:space="0" w:color="auto"/>
            <w:right w:val="none" w:sz="0" w:space="0" w:color="auto"/>
          </w:divBdr>
        </w:div>
        <w:div w:id="704864032">
          <w:marLeft w:val="0"/>
          <w:marRight w:val="0"/>
          <w:marTop w:val="240"/>
          <w:marBottom w:val="120"/>
          <w:divBdr>
            <w:top w:val="none" w:sz="0" w:space="0" w:color="auto"/>
            <w:left w:val="none" w:sz="0" w:space="0" w:color="auto"/>
            <w:bottom w:val="single" w:sz="12" w:space="0" w:color="000000"/>
            <w:right w:val="none" w:sz="0" w:space="0" w:color="auto"/>
          </w:divBdr>
        </w:div>
        <w:div w:id="20054081">
          <w:marLeft w:val="0"/>
          <w:marRight w:val="0"/>
          <w:marTop w:val="120"/>
          <w:marBottom w:val="240"/>
          <w:divBdr>
            <w:top w:val="none" w:sz="0" w:space="0" w:color="auto"/>
            <w:left w:val="none" w:sz="0" w:space="0" w:color="auto"/>
            <w:bottom w:val="none" w:sz="0" w:space="0" w:color="auto"/>
            <w:right w:val="none" w:sz="0" w:space="0" w:color="auto"/>
          </w:divBdr>
        </w:div>
        <w:div w:id="23022680">
          <w:marLeft w:val="0"/>
          <w:marRight w:val="0"/>
          <w:marTop w:val="240"/>
          <w:marBottom w:val="120"/>
          <w:divBdr>
            <w:top w:val="none" w:sz="0" w:space="0" w:color="auto"/>
            <w:left w:val="none" w:sz="0" w:space="0" w:color="auto"/>
            <w:bottom w:val="single" w:sz="12" w:space="0" w:color="000000"/>
            <w:right w:val="none" w:sz="0" w:space="0" w:color="auto"/>
          </w:divBdr>
        </w:div>
        <w:div w:id="1767649464">
          <w:marLeft w:val="0"/>
          <w:marRight w:val="0"/>
          <w:marTop w:val="120"/>
          <w:marBottom w:val="240"/>
          <w:divBdr>
            <w:top w:val="none" w:sz="0" w:space="0" w:color="auto"/>
            <w:left w:val="none" w:sz="0" w:space="0" w:color="auto"/>
            <w:bottom w:val="none" w:sz="0" w:space="0" w:color="auto"/>
            <w:right w:val="none" w:sz="0" w:space="0" w:color="auto"/>
          </w:divBdr>
        </w:div>
        <w:div w:id="2084137176">
          <w:marLeft w:val="0"/>
          <w:marRight w:val="0"/>
          <w:marTop w:val="240"/>
          <w:marBottom w:val="120"/>
          <w:divBdr>
            <w:top w:val="none" w:sz="0" w:space="0" w:color="auto"/>
            <w:left w:val="none" w:sz="0" w:space="0" w:color="auto"/>
            <w:bottom w:val="single" w:sz="12" w:space="0" w:color="000000"/>
            <w:right w:val="none" w:sz="0" w:space="0" w:color="auto"/>
          </w:divBdr>
        </w:div>
        <w:div w:id="1517306147">
          <w:marLeft w:val="0"/>
          <w:marRight w:val="0"/>
          <w:marTop w:val="120"/>
          <w:marBottom w:val="240"/>
          <w:divBdr>
            <w:top w:val="none" w:sz="0" w:space="0" w:color="auto"/>
            <w:left w:val="none" w:sz="0" w:space="0" w:color="auto"/>
            <w:bottom w:val="none" w:sz="0" w:space="0" w:color="auto"/>
            <w:right w:val="none" w:sz="0" w:space="0" w:color="auto"/>
          </w:divBdr>
        </w:div>
        <w:div w:id="347492749">
          <w:marLeft w:val="0"/>
          <w:marRight w:val="0"/>
          <w:marTop w:val="240"/>
          <w:marBottom w:val="120"/>
          <w:divBdr>
            <w:top w:val="none" w:sz="0" w:space="0" w:color="auto"/>
            <w:left w:val="none" w:sz="0" w:space="0" w:color="auto"/>
            <w:bottom w:val="single" w:sz="12" w:space="0" w:color="000000"/>
            <w:right w:val="none" w:sz="0" w:space="0" w:color="auto"/>
          </w:divBdr>
        </w:div>
        <w:div w:id="815145798">
          <w:marLeft w:val="0"/>
          <w:marRight w:val="0"/>
          <w:marTop w:val="120"/>
          <w:marBottom w:val="240"/>
          <w:divBdr>
            <w:top w:val="none" w:sz="0" w:space="0" w:color="auto"/>
            <w:left w:val="none" w:sz="0" w:space="0" w:color="auto"/>
            <w:bottom w:val="none" w:sz="0" w:space="0" w:color="auto"/>
            <w:right w:val="none" w:sz="0" w:space="0" w:color="auto"/>
          </w:divBdr>
        </w:div>
        <w:div w:id="1509448180">
          <w:marLeft w:val="0"/>
          <w:marRight w:val="0"/>
          <w:marTop w:val="240"/>
          <w:marBottom w:val="120"/>
          <w:divBdr>
            <w:top w:val="none" w:sz="0" w:space="0" w:color="auto"/>
            <w:left w:val="none" w:sz="0" w:space="0" w:color="auto"/>
            <w:bottom w:val="single" w:sz="12" w:space="0" w:color="000000"/>
            <w:right w:val="none" w:sz="0" w:space="0" w:color="auto"/>
          </w:divBdr>
        </w:div>
        <w:div w:id="28342026">
          <w:marLeft w:val="0"/>
          <w:marRight w:val="0"/>
          <w:marTop w:val="120"/>
          <w:marBottom w:val="240"/>
          <w:divBdr>
            <w:top w:val="none" w:sz="0" w:space="0" w:color="auto"/>
            <w:left w:val="none" w:sz="0" w:space="0" w:color="auto"/>
            <w:bottom w:val="none" w:sz="0" w:space="0" w:color="auto"/>
            <w:right w:val="none" w:sz="0" w:space="0" w:color="auto"/>
          </w:divBdr>
        </w:div>
        <w:div w:id="2057075847">
          <w:marLeft w:val="0"/>
          <w:marRight w:val="0"/>
          <w:marTop w:val="240"/>
          <w:marBottom w:val="120"/>
          <w:divBdr>
            <w:top w:val="none" w:sz="0" w:space="0" w:color="auto"/>
            <w:left w:val="none" w:sz="0" w:space="0" w:color="auto"/>
            <w:bottom w:val="single" w:sz="12" w:space="0" w:color="000000"/>
            <w:right w:val="none" w:sz="0" w:space="0" w:color="auto"/>
          </w:divBdr>
        </w:div>
        <w:div w:id="1909072732">
          <w:marLeft w:val="0"/>
          <w:marRight w:val="0"/>
          <w:marTop w:val="120"/>
          <w:marBottom w:val="240"/>
          <w:divBdr>
            <w:top w:val="none" w:sz="0" w:space="0" w:color="auto"/>
            <w:left w:val="none" w:sz="0" w:space="0" w:color="auto"/>
            <w:bottom w:val="none" w:sz="0" w:space="0" w:color="auto"/>
            <w:right w:val="none" w:sz="0" w:space="0" w:color="auto"/>
          </w:divBdr>
        </w:div>
        <w:div w:id="227812173">
          <w:marLeft w:val="0"/>
          <w:marRight w:val="0"/>
          <w:marTop w:val="240"/>
          <w:marBottom w:val="120"/>
          <w:divBdr>
            <w:top w:val="none" w:sz="0" w:space="0" w:color="auto"/>
            <w:left w:val="none" w:sz="0" w:space="0" w:color="auto"/>
            <w:bottom w:val="single" w:sz="12" w:space="0" w:color="000000"/>
            <w:right w:val="none" w:sz="0" w:space="0" w:color="auto"/>
          </w:divBdr>
        </w:div>
        <w:div w:id="1525635462">
          <w:marLeft w:val="0"/>
          <w:marRight w:val="0"/>
          <w:marTop w:val="120"/>
          <w:marBottom w:val="240"/>
          <w:divBdr>
            <w:top w:val="none" w:sz="0" w:space="0" w:color="auto"/>
            <w:left w:val="none" w:sz="0" w:space="0" w:color="auto"/>
            <w:bottom w:val="none" w:sz="0" w:space="0" w:color="auto"/>
            <w:right w:val="none" w:sz="0" w:space="0" w:color="auto"/>
          </w:divBdr>
        </w:div>
        <w:div w:id="2054301928">
          <w:marLeft w:val="0"/>
          <w:marRight w:val="0"/>
          <w:marTop w:val="240"/>
          <w:marBottom w:val="120"/>
          <w:divBdr>
            <w:top w:val="none" w:sz="0" w:space="0" w:color="auto"/>
            <w:left w:val="none" w:sz="0" w:space="0" w:color="auto"/>
            <w:bottom w:val="single" w:sz="12" w:space="0" w:color="000000"/>
            <w:right w:val="none" w:sz="0" w:space="0" w:color="auto"/>
          </w:divBdr>
        </w:div>
        <w:div w:id="1366171396">
          <w:marLeft w:val="0"/>
          <w:marRight w:val="0"/>
          <w:marTop w:val="120"/>
          <w:marBottom w:val="240"/>
          <w:divBdr>
            <w:top w:val="none" w:sz="0" w:space="0" w:color="auto"/>
            <w:left w:val="none" w:sz="0" w:space="0" w:color="auto"/>
            <w:bottom w:val="none" w:sz="0" w:space="0" w:color="auto"/>
            <w:right w:val="none" w:sz="0" w:space="0" w:color="auto"/>
          </w:divBdr>
        </w:div>
        <w:div w:id="11959856">
          <w:marLeft w:val="0"/>
          <w:marRight w:val="0"/>
          <w:marTop w:val="240"/>
          <w:marBottom w:val="120"/>
          <w:divBdr>
            <w:top w:val="none" w:sz="0" w:space="0" w:color="auto"/>
            <w:left w:val="none" w:sz="0" w:space="0" w:color="auto"/>
            <w:bottom w:val="single" w:sz="12" w:space="0" w:color="000000"/>
            <w:right w:val="none" w:sz="0" w:space="0" w:color="auto"/>
          </w:divBdr>
        </w:div>
        <w:div w:id="404650704">
          <w:marLeft w:val="0"/>
          <w:marRight w:val="0"/>
          <w:marTop w:val="120"/>
          <w:marBottom w:val="240"/>
          <w:divBdr>
            <w:top w:val="none" w:sz="0" w:space="0" w:color="auto"/>
            <w:left w:val="none" w:sz="0" w:space="0" w:color="auto"/>
            <w:bottom w:val="none" w:sz="0" w:space="0" w:color="auto"/>
            <w:right w:val="none" w:sz="0" w:space="0" w:color="auto"/>
          </w:divBdr>
        </w:div>
        <w:div w:id="1006978777">
          <w:marLeft w:val="0"/>
          <w:marRight w:val="0"/>
          <w:marTop w:val="240"/>
          <w:marBottom w:val="120"/>
          <w:divBdr>
            <w:top w:val="none" w:sz="0" w:space="0" w:color="auto"/>
            <w:left w:val="none" w:sz="0" w:space="0" w:color="auto"/>
            <w:bottom w:val="single" w:sz="12" w:space="0" w:color="000000"/>
            <w:right w:val="none" w:sz="0" w:space="0" w:color="auto"/>
          </w:divBdr>
        </w:div>
        <w:div w:id="284045917">
          <w:marLeft w:val="0"/>
          <w:marRight w:val="0"/>
          <w:marTop w:val="120"/>
          <w:marBottom w:val="240"/>
          <w:divBdr>
            <w:top w:val="none" w:sz="0" w:space="0" w:color="auto"/>
            <w:left w:val="none" w:sz="0" w:space="0" w:color="auto"/>
            <w:bottom w:val="none" w:sz="0" w:space="0" w:color="auto"/>
            <w:right w:val="none" w:sz="0" w:space="0" w:color="auto"/>
          </w:divBdr>
        </w:div>
        <w:div w:id="78453283">
          <w:marLeft w:val="0"/>
          <w:marRight w:val="0"/>
          <w:marTop w:val="240"/>
          <w:marBottom w:val="120"/>
          <w:divBdr>
            <w:top w:val="none" w:sz="0" w:space="0" w:color="auto"/>
            <w:left w:val="none" w:sz="0" w:space="0" w:color="auto"/>
            <w:bottom w:val="single" w:sz="12" w:space="0" w:color="000000"/>
            <w:right w:val="none" w:sz="0" w:space="0" w:color="auto"/>
          </w:divBdr>
        </w:div>
        <w:div w:id="781922695">
          <w:marLeft w:val="0"/>
          <w:marRight w:val="0"/>
          <w:marTop w:val="120"/>
          <w:marBottom w:val="240"/>
          <w:divBdr>
            <w:top w:val="none" w:sz="0" w:space="0" w:color="auto"/>
            <w:left w:val="none" w:sz="0" w:space="0" w:color="auto"/>
            <w:bottom w:val="none" w:sz="0" w:space="0" w:color="auto"/>
            <w:right w:val="none" w:sz="0" w:space="0" w:color="auto"/>
          </w:divBdr>
        </w:div>
        <w:div w:id="637490968">
          <w:marLeft w:val="0"/>
          <w:marRight w:val="0"/>
          <w:marTop w:val="240"/>
          <w:marBottom w:val="120"/>
          <w:divBdr>
            <w:top w:val="none" w:sz="0" w:space="0" w:color="auto"/>
            <w:left w:val="none" w:sz="0" w:space="0" w:color="auto"/>
            <w:bottom w:val="single" w:sz="12" w:space="0" w:color="000000"/>
            <w:right w:val="none" w:sz="0" w:space="0" w:color="auto"/>
          </w:divBdr>
        </w:div>
        <w:div w:id="1743139493">
          <w:marLeft w:val="0"/>
          <w:marRight w:val="0"/>
          <w:marTop w:val="120"/>
          <w:marBottom w:val="240"/>
          <w:divBdr>
            <w:top w:val="none" w:sz="0" w:space="0" w:color="auto"/>
            <w:left w:val="none" w:sz="0" w:space="0" w:color="auto"/>
            <w:bottom w:val="none" w:sz="0" w:space="0" w:color="auto"/>
            <w:right w:val="none" w:sz="0" w:space="0" w:color="auto"/>
          </w:divBdr>
        </w:div>
        <w:div w:id="2145805785">
          <w:marLeft w:val="0"/>
          <w:marRight w:val="0"/>
          <w:marTop w:val="240"/>
          <w:marBottom w:val="120"/>
          <w:divBdr>
            <w:top w:val="none" w:sz="0" w:space="0" w:color="auto"/>
            <w:left w:val="none" w:sz="0" w:space="0" w:color="auto"/>
            <w:bottom w:val="single" w:sz="12" w:space="0" w:color="000000"/>
            <w:right w:val="none" w:sz="0" w:space="0" w:color="auto"/>
          </w:divBdr>
        </w:div>
        <w:div w:id="1283919748">
          <w:marLeft w:val="0"/>
          <w:marRight w:val="0"/>
          <w:marTop w:val="120"/>
          <w:marBottom w:val="240"/>
          <w:divBdr>
            <w:top w:val="none" w:sz="0" w:space="0" w:color="auto"/>
            <w:left w:val="none" w:sz="0" w:space="0" w:color="auto"/>
            <w:bottom w:val="none" w:sz="0" w:space="0" w:color="auto"/>
            <w:right w:val="none" w:sz="0" w:space="0" w:color="auto"/>
          </w:divBdr>
        </w:div>
        <w:div w:id="1878931783">
          <w:marLeft w:val="0"/>
          <w:marRight w:val="0"/>
          <w:marTop w:val="240"/>
          <w:marBottom w:val="120"/>
          <w:divBdr>
            <w:top w:val="none" w:sz="0" w:space="0" w:color="auto"/>
            <w:left w:val="none" w:sz="0" w:space="0" w:color="auto"/>
            <w:bottom w:val="single" w:sz="12" w:space="0" w:color="000000"/>
            <w:right w:val="none" w:sz="0" w:space="0" w:color="auto"/>
          </w:divBdr>
        </w:div>
        <w:div w:id="1932614960">
          <w:marLeft w:val="0"/>
          <w:marRight w:val="0"/>
          <w:marTop w:val="120"/>
          <w:marBottom w:val="240"/>
          <w:divBdr>
            <w:top w:val="none" w:sz="0" w:space="0" w:color="auto"/>
            <w:left w:val="none" w:sz="0" w:space="0" w:color="auto"/>
            <w:bottom w:val="none" w:sz="0" w:space="0" w:color="auto"/>
            <w:right w:val="none" w:sz="0" w:space="0" w:color="auto"/>
          </w:divBdr>
        </w:div>
        <w:div w:id="718554517">
          <w:marLeft w:val="0"/>
          <w:marRight w:val="0"/>
          <w:marTop w:val="240"/>
          <w:marBottom w:val="120"/>
          <w:divBdr>
            <w:top w:val="none" w:sz="0" w:space="0" w:color="auto"/>
            <w:left w:val="none" w:sz="0" w:space="0" w:color="auto"/>
            <w:bottom w:val="single" w:sz="12" w:space="0" w:color="000000"/>
            <w:right w:val="none" w:sz="0" w:space="0" w:color="auto"/>
          </w:divBdr>
        </w:div>
        <w:div w:id="310869585">
          <w:marLeft w:val="0"/>
          <w:marRight w:val="0"/>
          <w:marTop w:val="120"/>
          <w:marBottom w:val="240"/>
          <w:divBdr>
            <w:top w:val="none" w:sz="0" w:space="0" w:color="auto"/>
            <w:left w:val="none" w:sz="0" w:space="0" w:color="auto"/>
            <w:bottom w:val="none" w:sz="0" w:space="0" w:color="auto"/>
            <w:right w:val="none" w:sz="0" w:space="0" w:color="auto"/>
          </w:divBdr>
        </w:div>
        <w:div w:id="71858115">
          <w:marLeft w:val="0"/>
          <w:marRight w:val="0"/>
          <w:marTop w:val="240"/>
          <w:marBottom w:val="120"/>
          <w:divBdr>
            <w:top w:val="none" w:sz="0" w:space="0" w:color="auto"/>
            <w:left w:val="none" w:sz="0" w:space="0" w:color="auto"/>
            <w:bottom w:val="single" w:sz="12" w:space="0" w:color="000000"/>
            <w:right w:val="none" w:sz="0" w:space="0" w:color="auto"/>
          </w:divBdr>
        </w:div>
        <w:div w:id="368259640">
          <w:marLeft w:val="0"/>
          <w:marRight w:val="0"/>
          <w:marTop w:val="120"/>
          <w:marBottom w:val="240"/>
          <w:divBdr>
            <w:top w:val="none" w:sz="0" w:space="0" w:color="auto"/>
            <w:left w:val="none" w:sz="0" w:space="0" w:color="auto"/>
            <w:bottom w:val="none" w:sz="0" w:space="0" w:color="auto"/>
            <w:right w:val="none" w:sz="0" w:space="0" w:color="auto"/>
          </w:divBdr>
        </w:div>
        <w:div w:id="648479194">
          <w:marLeft w:val="0"/>
          <w:marRight w:val="0"/>
          <w:marTop w:val="240"/>
          <w:marBottom w:val="120"/>
          <w:divBdr>
            <w:top w:val="none" w:sz="0" w:space="0" w:color="auto"/>
            <w:left w:val="none" w:sz="0" w:space="0" w:color="auto"/>
            <w:bottom w:val="single" w:sz="12" w:space="0" w:color="000000"/>
            <w:right w:val="none" w:sz="0" w:space="0" w:color="auto"/>
          </w:divBdr>
        </w:div>
        <w:div w:id="446586407">
          <w:marLeft w:val="0"/>
          <w:marRight w:val="0"/>
          <w:marTop w:val="120"/>
          <w:marBottom w:val="240"/>
          <w:divBdr>
            <w:top w:val="none" w:sz="0" w:space="0" w:color="auto"/>
            <w:left w:val="none" w:sz="0" w:space="0" w:color="auto"/>
            <w:bottom w:val="none" w:sz="0" w:space="0" w:color="auto"/>
            <w:right w:val="none" w:sz="0" w:space="0" w:color="auto"/>
          </w:divBdr>
        </w:div>
        <w:div w:id="1666857359">
          <w:marLeft w:val="0"/>
          <w:marRight w:val="0"/>
          <w:marTop w:val="240"/>
          <w:marBottom w:val="120"/>
          <w:divBdr>
            <w:top w:val="none" w:sz="0" w:space="0" w:color="auto"/>
            <w:left w:val="none" w:sz="0" w:space="0" w:color="auto"/>
            <w:bottom w:val="single" w:sz="12" w:space="0" w:color="000000"/>
            <w:right w:val="none" w:sz="0" w:space="0" w:color="auto"/>
          </w:divBdr>
        </w:div>
        <w:div w:id="1069307275">
          <w:marLeft w:val="0"/>
          <w:marRight w:val="0"/>
          <w:marTop w:val="120"/>
          <w:marBottom w:val="240"/>
          <w:divBdr>
            <w:top w:val="none" w:sz="0" w:space="0" w:color="auto"/>
            <w:left w:val="none" w:sz="0" w:space="0" w:color="auto"/>
            <w:bottom w:val="none" w:sz="0" w:space="0" w:color="auto"/>
            <w:right w:val="none" w:sz="0" w:space="0" w:color="auto"/>
          </w:divBdr>
        </w:div>
        <w:div w:id="1642536273">
          <w:marLeft w:val="0"/>
          <w:marRight w:val="0"/>
          <w:marTop w:val="240"/>
          <w:marBottom w:val="120"/>
          <w:divBdr>
            <w:top w:val="none" w:sz="0" w:space="0" w:color="auto"/>
            <w:left w:val="none" w:sz="0" w:space="0" w:color="auto"/>
            <w:bottom w:val="single" w:sz="12" w:space="0" w:color="000000"/>
            <w:right w:val="none" w:sz="0" w:space="0" w:color="auto"/>
          </w:divBdr>
        </w:div>
        <w:div w:id="1276600626">
          <w:marLeft w:val="0"/>
          <w:marRight w:val="0"/>
          <w:marTop w:val="120"/>
          <w:marBottom w:val="240"/>
          <w:divBdr>
            <w:top w:val="none" w:sz="0" w:space="0" w:color="auto"/>
            <w:left w:val="none" w:sz="0" w:space="0" w:color="auto"/>
            <w:bottom w:val="none" w:sz="0" w:space="0" w:color="auto"/>
            <w:right w:val="none" w:sz="0" w:space="0" w:color="auto"/>
          </w:divBdr>
        </w:div>
        <w:div w:id="1706833438">
          <w:marLeft w:val="0"/>
          <w:marRight w:val="0"/>
          <w:marTop w:val="240"/>
          <w:marBottom w:val="120"/>
          <w:divBdr>
            <w:top w:val="none" w:sz="0" w:space="0" w:color="auto"/>
            <w:left w:val="none" w:sz="0" w:space="0" w:color="auto"/>
            <w:bottom w:val="single" w:sz="12" w:space="0" w:color="000000"/>
            <w:right w:val="none" w:sz="0" w:space="0" w:color="auto"/>
          </w:divBdr>
        </w:div>
        <w:div w:id="1170950825">
          <w:marLeft w:val="0"/>
          <w:marRight w:val="0"/>
          <w:marTop w:val="120"/>
          <w:marBottom w:val="240"/>
          <w:divBdr>
            <w:top w:val="none" w:sz="0" w:space="0" w:color="auto"/>
            <w:left w:val="none" w:sz="0" w:space="0" w:color="auto"/>
            <w:bottom w:val="none" w:sz="0" w:space="0" w:color="auto"/>
            <w:right w:val="none" w:sz="0" w:space="0" w:color="auto"/>
          </w:divBdr>
        </w:div>
        <w:div w:id="335546652">
          <w:marLeft w:val="0"/>
          <w:marRight w:val="0"/>
          <w:marTop w:val="240"/>
          <w:marBottom w:val="120"/>
          <w:divBdr>
            <w:top w:val="none" w:sz="0" w:space="0" w:color="auto"/>
            <w:left w:val="none" w:sz="0" w:space="0" w:color="auto"/>
            <w:bottom w:val="single" w:sz="12" w:space="0" w:color="000000"/>
            <w:right w:val="none" w:sz="0" w:space="0" w:color="auto"/>
          </w:divBdr>
        </w:div>
        <w:div w:id="1968898572">
          <w:marLeft w:val="0"/>
          <w:marRight w:val="0"/>
          <w:marTop w:val="120"/>
          <w:marBottom w:val="240"/>
          <w:divBdr>
            <w:top w:val="none" w:sz="0" w:space="0" w:color="auto"/>
            <w:left w:val="none" w:sz="0" w:space="0" w:color="auto"/>
            <w:bottom w:val="none" w:sz="0" w:space="0" w:color="auto"/>
            <w:right w:val="none" w:sz="0" w:space="0" w:color="auto"/>
          </w:divBdr>
        </w:div>
        <w:div w:id="210920048">
          <w:marLeft w:val="0"/>
          <w:marRight w:val="0"/>
          <w:marTop w:val="240"/>
          <w:marBottom w:val="120"/>
          <w:divBdr>
            <w:top w:val="none" w:sz="0" w:space="0" w:color="auto"/>
            <w:left w:val="none" w:sz="0" w:space="0" w:color="auto"/>
            <w:bottom w:val="single" w:sz="12" w:space="0" w:color="000000"/>
            <w:right w:val="none" w:sz="0" w:space="0" w:color="auto"/>
          </w:divBdr>
        </w:div>
        <w:div w:id="2001611530">
          <w:marLeft w:val="0"/>
          <w:marRight w:val="0"/>
          <w:marTop w:val="120"/>
          <w:marBottom w:val="240"/>
          <w:divBdr>
            <w:top w:val="none" w:sz="0" w:space="0" w:color="auto"/>
            <w:left w:val="none" w:sz="0" w:space="0" w:color="auto"/>
            <w:bottom w:val="none" w:sz="0" w:space="0" w:color="auto"/>
            <w:right w:val="none" w:sz="0" w:space="0" w:color="auto"/>
          </w:divBdr>
        </w:div>
        <w:div w:id="1674380835">
          <w:marLeft w:val="0"/>
          <w:marRight w:val="0"/>
          <w:marTop w:val="240"/>
          <w:marBottom w:val="120"/>
          <w:divBdr>
            <w:top w:val="none" w:sz="0" w:space="0" w:color="auto"/>
            <w:left w:val="none" w:sz="0" w:space="0" w:color="auto"/>
            <w:bottom w:val="single" w:sz="12" w:space="0" w:color="000000"/>
            <w:right w:val="none" w:sz="0" w:space="0" w:color="auto"/>
          </w:divBdr>
        </w:div>
        <w:div w:id="1676565955">
          <w:marLeft w:val="0"/>
          <w:marRight w:val="0"/>
          <w:marTop w:val="120"/>
          <w:marBottom w:val="240"/>
          <w:divBdr>
            <w:top w:val="none" w:sz="0" w:space="0" w:color="auto"/>
            <w:left w:val="none" w:sz="0" w:space="0" w:color="auto"/>
            <w:bottom w:val="none" w:sz="0" w:space="0" w:color="auto"/>
            <w:right w:val="none" w:sz="0" w:space="0" w:color="auto"/>
          </w:divBdr>
        </w:div>
        <w:div w:id="499466904">
          <w:marLeft w:val="0"/>
          <w:marRight w:val="0"/>
          <w:marTop w:val="240"/>
          <w:marBottom w:val="120"/>
          <w:divBdr>
            <w:top w:val="none" w:sz="0" w:space="0" w:color="auto"/>
            <w:left w:val="none" w:sz="0" w:space="0" w:color="auto"/>
            <w:bottom w:val="single" w:sz="12" w:space="0" w:color="000000"/>
            <w:right w:val="none" w:sz="0" w:space="0" w:color="auto"/>
          </w:divBdr>
        </w:div>
        <w:div w:id="1879508481">
          <w:marLeft w:val="0"/>
          <w:marRight w:val="0"/>
          <w:marTop w:val="120"/>
          <w:marBottom w:val="240"/>
          <w:divBdr>
            <w:top w:val="none" w:sz="0" w:space="0" w:color="auto"/>
            <w:left w:val="none" w:sz="0" w:space="0" w:color="auto"/>
            <w:bottom w:val="none" w:sz="0" w:space="0" w:color="auto"/>
            <w:right w:val="none" w:sz="0" w:space="0" w:color="auto"/>
          </w:divBdr>
        </w:div>
        <w:div w:id="1589578036">
          <w:marLeft w:val="0"/>
          <w:marRight w:val="0"/>
          <w:marTop w:val="240"/>
          <w:marBottom w:val="120"/>
          <w:divBdr>
            <w:top w:val="none" w:sz="0" w:space="0" w:color="auto"/>
            <w:left w:val="none" w:sz="0" w:space="0" w:color="auto"/>
            <w:bottom w:val="single" w:sz="12" w:space="0" w:color="000000"/>
            <w:right w:val="none" w:sz="0" w:space="0" w:color="auto"/>
          </w:divBdr>
        </w:div>
        <w:div w:id="302660738">
          <w:marLeft w:val="0"/>
          <w:marRight w:val="0"/>
          <w:marTop w:val="120"/>
          <w:marBottom w:val="240"/>
          <w:divBdr>
            <w:top w:val="none" w:sz="0" w:space="0" w:color="auto"/>
            <w:left w:val="none" w:sz="0" w:space="0" w:color="auto"/>
            <w:bottom w:val="none" w:sz="0" w:space="0" w:color="auto"/>
            <w:right w:val="none" w:sz="0" w:space="0" w:color="auto"/>
          </w:divBdr>
        </w:div>
        <w:div w:id="1503275225">
          <w:marLeft w:val="0"/>
          <w:marRight w:val="0"/>
          <w:marTop w:val="240"/>
          <w:marBottom w:val="120"/>
          <w:divBdr>
            <w:top w:val="none" w:sz="0" w:space="0" w:color="auto"/>
            <w:left w:val="none" w:sz="0" w:space="0" w:color="auto"/>
            <w:bottom w:val="single" w:sz="12" w:space="0" w:color="000000"/>
            <w:right w:val="none" w:sz="0" w:space="0" w:color="auto"/>
          </w:divBdr>
        </w:div>
        <w:div w:id="683560279">
          <w:marLeft w:val="0"/>
          <w:marRight w:val="0"/>
          <w:marTop w:val="120"/>
          <w:marBottom w:val="240"/>
          <w:divBdr>
            <w:top w:val="none" w:sz="0" w:space="0" w:color="auto"/>
            <w:left w:val="none" w:sz="0" w:space="0" w:color="auto"/>
            <w:bottom w:val="none" w:sz="0" w:space="0" w:color="auto"/>
            <w:right w:val="none" w:sz="0" w:space="0" w:color="auto"/>
          </w:divBdr>
        </w:div>
        <w:div w:id="419378199">
          <w:marLeft w:val="0"/>
          <w:marRight w:val="0"/>
          <w:marTop w:val="240"/>
          <w:marBottom w:val="120"/>
          <w:divBdr>
            <w:top w:val="none" w:sz="0" w:space="0" w:color="auto"/>
            <w:left w:val="none" w:sz="0" w:space="0" w:color="auto"/>
            <w:bottom w:val="single" w:sz="12" w:space="0" w:color="000000"/>
            <w:right w:val="none" w:sz="0" w:space="0" w:color="auto"/>
          </w:divBdr>
        </w:div>
        <w:div w:id="1736970593">
          <w:marLeft w:val="0"/>
          <w:marRight w:val="0"/>
          <w:marTop w:val="120"/>
          <w:marBottom w:val="240"/>
          <w:divBdr>
            <w:top w:val="none" w:sz="0" w:space="0" w:color="auto"/>
            <w:left w:val="none" w:sz="0" w:space="0" w:color="auto"/>
            <w:bottom w:val="none" w:sz="0" w:space="0" w:color="auto"/>
            <w:right w:val="none" w:sz="0" w:space="0" w:color="auto"/>
          </w:divBdr>
        </w:div>
        <w:div w:id="874544610">
          <w:marLeft w:val="0"/>
          <w:marRight w:val="0"/>
          <w:marTop w:val="240"/>
          <w:marBottom w:val="120"/>
          <w:divBdr>
            <w:top w:val="none" w:sz="0" w:space="0" w:color="auto"/>
            <w:left w:val="none" w:sz="0" w:space="0" w:color="auto"/>
            <w:bottom w:val="single" w:sz="12" w:space="0" w:color="000000"/>
            <w:right w:val="none" w:sz="0" w:space="0" w:color="auto"/>
          </w:divBdr>
        </w:div>
        <w:div w:id="1998460673">
          <w:marLeft w:val="0"/>
          <w:marRight w:val="0"/>
          <w:marTop w:val="120"/>
          <w:marBottom w:val="240"/>
          <w:divBdr>
            <w:top w:val="none" w:sz="0" w:space="0" w:color="auto"/>
            <w:left w:val="none" w:sz="0" w:space="0" w:color="auto"/>
            <w:bottom w:val="none" w:sz="0" w:space="0" w:color="auto"/>
            <w:right w:val="none" w:sz="0" w:space="0" w:color="auto"/>
          </w:divBdr>
        </w:div>
        <w:div w:id="138500891">
          <w:marLeft w:val="0"/>
          <w:marRight w:val="0"/>
          <w:marTop w:val="240"/>
          <w:marBottom w:val="120"/>
          <w:divBdr>
            <w:top w:val="none" w:sz="0" w:space="0" w:color="auto"/>
            <w:left w:val="none" w:sz="0" w:space="0" w:color="auto"/>
            <w:bottom w:val="single" w:sz="12" w:space="0" w:color="000000"/>
            <w:right w:val="none" w:sz="0" w:space="0" w:color="auto"/>
          </w:divBdr>
        </w:div>
        <w:div w:id="1247885375">
          <w:marLeft w:val="0"/>
          <w:marRight w:val="0"/>
          <w:marTop w:val="120"/>
          <w:marBottom w:val="240"/>
          <w:divBdr>
            <w:top w:val="none" w:sz="0" w:space="0" w:color="auto"/>
            <w:left w:val="none" w:sz="0" w:space="0" w:color="auto"/>
            <w:bottom w:val="none" w:sz="0" w:space="0" w:color="auto"/>
            <w:right w:val="none" w:sz="0" w:space="0" w:color="auto"/>
          </w:divBdr>
        </w:div>
        <w:div w:id="1491211978">
          <w:marLeft w:val="0"/>
          <w:marRight w:val="0"/>
          <w:marTop w:val="240"/>
          <w:marBottom w:val="120"/>
          <w:divBdr>
            <w:top w:val="none" w:sz="0" w:space="0" w:color="auto"/>
            <w:left w:val="none" w:sz="0" w:space="0" w:color="auto"/>
            <w:bottom w:val="single" w:sz="12" w:space="0" w:color="000000"/>
            <w:right w:val="none" w:sz="0" w:space="0" w:color="auto"/>
          </w:divBdr>
        </w:div>
        <w:div w:id="1092823605">
          <w:marLeft w:val="0"/>
          <w:marRight w:val="0"/>
          <w:marTop w:val="120"/>
          <w:marBottom w:val="240"/>
          <w:divBdr>
            <w:top w:val="none" w:sz="0" w:space="0" w:color="auto"/>
            <w:left w:val="none" w:sz="0" w:space="0" w:color="auto"/>
            <w:bottom w:val="none" w:sz="0" w:space="0" w:color="auto"/>
            <w:right w:val="none" w:sz="0" w:space="0" w:color="auto"/>
          </w:divBdr>
        </w:div>
        <w:div w:id="1161392342">
          <w:marLeft w:val="0"/>
          <w:marRight w:val="0"/>
          <w:marTop w:val="240"/>
          <w:marBottom w:val="120"/>
          <w:divBdr>
            <w:top w:val="none" w:sz="0" w:space="0" w:color="auto"/>
            <w:left w:val="none" w:sz="0" w:space="0" w:color="auto"/>
            <w:bottom w:val="single" w:sz="12" w:space="0" w:color="000000"/>
            <w:right w:val="none" w:sz="0" w:space="0" w:color="auto"/>
          </w:divBdr>
        </w:div>
        <w:div w:id="1678382970">
          <w:marLeft w:val="0"/>
          <w:marRight w:val="0"/>
          <w:marTop w:val="120"/>
          <w:marBottom w:val="240"/>
          <w:divBdr>
            <w:top w:val="none" w:sz="0" w:space="0" w:color="auto"/>
            <w:left w:val="none" w:sz="0" w:space="0" w:color="auto"/>
            <w:bottom w:val="none" w:sz="0" w:space="0" w:color="auto"/>
            <w:right w:val="none" w:sz="0" w:space="0" w:color="auto"/>
          </w:divBdr>
        </w:div>
        <w:div w:id="1082726989">
          <w:marLeft w:val="0"/>
          <w:marRight w:val="0"/>
          <w:marTop w:val="240"/>
          <w:marBottom w:val="120"/>
          <w:divBdr>
            <w:top w:val="none" w:sz="0" w:space="0" w:color="auto"/>
            <w:left w:val="none" w:sz="0" w:space="0" w:color="auto"/>
            <w:bottom w:val="single" w:sz="12" w:space="0" w:color="000000"/>
            <w:right w:val="none" w:sz="0" w:space="0" w:color="auto"/>
          </w:divBdr>
        </w:div>
        <w:div w:id="412239506">
          <w:marLeft w:val="0"/>
          <w:marRight w:val="0"/>
          <w:marTop w:val="120"/>
          <w:marBottom w:val="240"/>
          <w:divBdr>
            <w:top w:val="none" w:sz="0" w:space="0" w:color="auto"/>
            <w:left w:val="none" w:sz="0" w:space="0" w:color="auto"/>
            <w:bottom w:val="none" w:sz="0" w:space="0" w:color="auto"/>
            <w:right w:val="none" w:sz="0" w:space="0" w:color="auto"/>
          </w:divBdr>
        </w:div>
        <w:div w:id="1884250370">
          <w:marLeft w:val="0"/>
          <w:marRight w:val="0"/>
          <w:marTop w:val="240"/>
          <w:marBottom w:val="120"/>
          <w:divBdr>
            <w:top w:val="none" w:sz="0" w:space="0" w:color="auto"/>
            <w:left w:val="none" w:sz="0" w:space="0" w:color="auto"/>
            <w:bottom w:val="single" w:sz="12" w:space="0" w:color="000000"/>
            <w:right w:val="none" w:sz="0" w:space="0" w:color="auto"/>
          </w:divBdr>
        </w:div>
        <w:div w:id="1007824531">
          <w:marLeft w:val="0"/>
          <w:marRight w:val="0"/>
          <w:marTop w:val="120"/>
          <w:marBottom w:val="240"/>
          <w:divBdr>
            <w:top w:val="none" w:sz="0" w:space="0" w:color="auto"/>
            <w:left w:val="none" w:sz="0" w:space="0" w:color="auto"/>
            <w:bottom w:val="none" w:sz="0" w:space="0" w:color="auto"/>
            <w:right w:val="none" w:sz="0" w:space="0" w:color="auto"/>
          </w:divBdr>
        </w:div>
        <w:div w:id="1360887339">
          <w:marLeft w:val="0"/>
          <w:marRight w:val="0"/>
          <w:marTop w:val="240"/>
          <w:marBottom w:val="120"/>
          <w:divBdr>
            <w:top w:val="none" w:sz="0" w:space="0" w:color="auto"/>
            <w:left w:val="none" w:sz="0" w:space="0" w:color="auto"/>
            <w:bottom w:val="single" w:sz="12" w:space="0" w:color="000000"/>
            <w:right w:val="none" w:sz="0" w:space="0" w:color="auto"/>
          </w:divBdr>
        </w:div>
        <w:div w:id="1661812681">
          <w:marLeft w:val="0"/>
          <w:marRight w:val="0"/>
          <w:marTop w:val="120"/>
          <w:marBottom w:val="240"/>
          <w:divBdr>
            <w:top w:val="none" w:sz="0" w:space="0" w:color="auto"/>
            <w:left w:val="none" w:sz="0" w:space="0" w:color="auto"/>
            <w:bottom w:val="none" w:sz="0" w:space="0" w:color="auto"/>
            <w:right w:val="none" w:sz="0" w:space="0" w:color="auto"/>
          </w:divBdr>
        </w:div>
        <w:div w:id="236599803">
          <w:marLeft w:val="0"/>
          <w:marRight w:val="0"/>
          <w:marTop w:val="240"/>
          <w:marBottom w:val="120"/>
          <w:divBdr>
            <w:top w:val="none" w:sz="0" w:space="0" w:color="auto"/>
            <w:left w:val="none" w:sz="0" w:space="0" w:color="auto"/>
            <w:bottom w:val="single" w:sz="12" w:space="0" w:color="000000"/>
            <w:right w:val="none" w:sz="0" w:space="0" w:color="auto"/>
          </w:divBdr>
        </w:div>
        <w:div w:id="1771772513">
          <w:marLeft w:val="0"/>
          <w:marRight w:val="0"/>
          <w:marTop w:val="120"/>
          <w:marBottom w:val="240"/>
          <w:divBdr>
            <w:top w:val="none" w:sz="0" w:space="0" w:color="auto"/>
            <w:left w:val="none" w:sz="0" w:space="0" w:color="auto"/>
            <w:bottom w:val="none" w:sz="0" w:space="0" w:color="auto"/>
            <w:right w:val="none" w:sz="0" w:space="0" w:color="auto"/>
          </w:divBdr>
        </w:div>
        <w:div w:id="2036734339">
          <w:marLeft w:val="0"/>
          <w:marRight w:val="0"/>
          <w:marTop w:val="240"/>
          <w:marBottom w:val="120"/>
          <w:divBdr>
            <w:top w:val="none" w:sz="0" w:space="0" w:color="auto"/>
            <w:left w:val="none" w:sz="0" w:space="0" w:color="auto"/>
            <w:bottom w:val="single" w:sz="12" w:space="0" w:color="000000"/>
            <w:right w:val="none" w:sz="0" w:space="0" w:color="auto"/>
          </w:divBdr>
        </w:div>
        <w:div w:id="1081097647">
          <w:marLeft w:val="0"/>
          <w:marRight w:val="0"/>
          <w:marTop w:val="120"/>
          <w:marBottom w:val="240"/>
          <w:divBdr>
            <w:top w:val="none" w:sz="0" w:space="0" w:color="auto"/>
            <w:left w:val="none" w:sz="0" w:space="0" w:color="auto"/>
            <w:bottom w:val="none" w:sz="0" w:space="0" w:color="auto"/>
            <w:right w:val="none" w:sz="0" w:space="0" w:color="auto"/>
          </w:divBdr>
        </w:div>
        <w:div w:id="1933126619">
          <w:marLeft w:val="0"/>
          <w:marRight w:val="0"/>
          <w:marTop w:val="240"/>
          <w:marBottom w:val="120"/>
          <w:divBdr>
            <w:top w:val="none" w:sz="0" w:space="0" w:color="auto"/>
            <w:left w:val="none" w:sz="0" w:space="0" w:color="auto"/>
            <w:bottom w:val="single" w:sz="12" w:space="0" w:color="000000"/>
            <w:right w:val="none" w:sz="0" w:space="0" w:color="auto"/>
          </w:divBdr>
        </w:div>
        <w:div w:id="97987983">
          <w:marLeft w:val="0"/>
          <w:marRight w:val="0"/>
          <w:marTop w:val="120"/>
          <w:marBottom w:val="240"/>
          <w:divBdr>
            <w:top w:val="none" w:sz="0" w:space="0" w:color="auto"/>
            <w:left w:val="none" w:sz="0" w:space="0" w:color="auto"/>
            <w:bottom w:val="none" w:sz="0" w:space="0" w:color="auto"/>
            <w:right w:val="none" w:sz="0" w:space="0" w:color="auto"/>
          </w:divBdr>
        </w:div>
        <w:div w:id="1634407048">
          <w:marLeft w:val="0"/>
          <w:marRight w:val="0"/>
          <w:marTop w:val="240"/>
          <w:marBottom w:val="120"/>
          <w:divBdr>
            <w:top w:val="none" w:sz="0" w:space="0" w:color="auto"/>
            <w:left w:val="none" w:sz="0" w:space="0" w:color="auto"/>
            <w:bottom w:val="single" w:sz="12" w:space="0" w:color="000000"/>
            <w:right w:val="none" w:sz="0" w:space="0" w:color="auto"/>
          </w:divBdr>
        </w:div>
        <w:div w:id="2129739585">
          <w:marLeft w:val="0"/>
          <w:marRight w:val="0"/>
          <w:marTop w:val="120"/>
          <w:marBottom w:val="240"/>
          <w:divBdr>
            <w:top w:val="none" w:sz="0" w:space="0" w:color="auto"/>
            <w:left w:val="none" w:sz="0" w:space="0" w:color="auto"/>
            <w:bottom w:val="none" w:sz="0" w:space="0" w:color="auto"/>
            <w:right w:val="none" w:sz="0" w:space="0" w:color="auto"/>
          </w:divBdr>
        </w:div>
        <w:div w:id="691497214">
          <w:marLeft w:val="0"/>
          <w:marRight w:val="0"/>
          <w:marTop w:val="240"/>
          <w:marBottom w:val="120"/>
          <w:divBdr>
            <w:top w:val="none" w:sz="0" w:space="0" w:color="auto"/>
            <w:left w:val="none" w:sz="0" w:space="0" w:color="auto"/>
            <w:bottom w:val="single" w:sz="12" w:space="0" w:color="000000"/>
            <w:right w:val="none" w:sz="0" w:space="0" w:color="auto"/>
          </w:divBdr>
        </w:div>
        <w:div w:id="1970740532">
          <w:marLeft w:val="0"/>
          <w:marRight w:val="0"/>
          <w:marTop w:val="120"/>
          <w:marBottom w:val="240"/>
          <w:divBdr>
            <w:top w:val="none" w:sz="0" w:space="0" w:color="auto"/>
            <w:left w:val="none" w:sz="0" w:space="0" w:color="auto"/>
            <w:bottom w:val="none" w:sz="0" w:space="0" w:color="auto"/>
            <w:right w:val="none" w:sz="0" w:space="0" w:color="auto"/>
          </w:divBdr>
        </w:div>
        <w:div w:id="1887834770">
          <w:marLeft w:val="0"/>
          <w:marRight w:val="0"/>
          <w:marTop w:val="240"/>
          <w:marBottom w:val="120"/>
          <w:divBdr>
            <w:top w:val="none" w:sz="0" w:space="0" w:color="auto"/>
            <w:left w:val="none" w:sz="0" w:space="0" w:color="auto"/>
            <w:bottom w:val="single" w:sz="12" w:space="0" w:color="000000"/>
            <w:right w:val="none" w:sz="0" w:space="0" w:color="auto"/>
          </w:divBdr>
        </w:div>
        <w:div w:id="1797486331">
          <w:marLeft w:val="0"/>
          <w:marRight w:val="0"/>
          <w:marTop w:val="120"/>
          <w:marBottom w:val="240"/>
          <w:divBdr>
            <w:top w:val="none" w:sz="0" w:space="0" w:color="auto"/>
            <w:left w:val="none" w:sz="0" w:space="0" w:color="auto"/>
            <w:bottom w:val="none" w:sz="0" w:space="0" w:color="auto"/>
            <w:right w:val="none" w:sz="0" w:space="0" w:color="auto"/>
          </w:divBdr>
        </w:div>
        <w:div w:id="811556845">
          <w:marLeft w:val="0"/>
          <w:marRight w:val="0"/>
          <w:marTop w:val="240"/>
          <w:marBottom w:val="120"/>
          <w:divBdr>
            <w:top w:val="none" w:sz="0" w:space="0" w:color="auto"/>
            <w:left w:val="none" w:sz="0" w:space="0" w:color="auto"/>
            <w:bottom w:val="single" w:sz="12" w:space="0" w:color="000000"/>
            <w:right w:val="none" w:sz="0" w:space="0" w:color="auto"/>
          </w:divBdr>
        </w:div>
        <w:div w:id="497228832">
          <w:marLeft w:val="0"/>
          <w:marRight w:val="0"/>
          <w:marTop w:val="120"/>
          <w:marBottom w:val="240"/>
          <w:divBdr>
            <w:top w:val="none" w:sz="0" w:space="0" w:color="auto"/>
            <w:left w:val="none" w:sz="0" w:space="0" w:color="auto"/>
            <w:bottom w:val="none" w:sz="0" w:space="0" w:color="auto"/>
            <w:right w:val="none" w:sz="0" w:space="0" w:color="auto"/>
          </w:divBdr>
        </w:div>
        <w:div w:id="167797473">
          <w:marLeft w:val="0"/>
          <w:marRight w:val="0"/>
          <w:marTop w:val="240"/>
          <w:marBottom w:val="120"/>
          <w:divBdr>
            <w:top w:val="none" w:sz="0" w:space="0" w:color="auto"/>
            <w:left w:val="none" w:sz="0" w:space="0" w:color="auto"/>
            <w:bottom w:val="single" w:sz="12" w:space="0" w:color="000000"/>
            <w:right w:val="none" w:sz="0" w:space="0" w:color="auto"/>
          </w:divBdr>
        </w:div>
        <w:div w:id="1967662877">
          <w:marLeft w:val="0"/>
          <w:marRight w:val="0"/>
          <w:marTop w:val="120"/>
          <w:marBottom w:val="240"/>
          <w:divBdr>
            <w:top w:val="none" w:sz="0" w:space="0" w:color="auto"/>
            <w:left w:val="none" w:sz="0" w:space="0" w:color="auto"/>
            <w:bottom w:val="none" w:sz="0" w:space="0" w:color="auto"/>
            <w:right w:val="none" w:sz="0" w:space="0" w:color="auto"/>
          </w:divBdr>
        </w:div>
        <w:div w:id="515585465">
          <w:marLeft w:val="0"/>
          <w:marRight w:val="0"/>
          <w:marTop w:val="240"/>
          <w:marBottom w:val="120"/>
          <w:divBdr>
            <w:top w:val="none" w:sz="0" w:space="0" w:color="auto"/>
            <w:left w:val="none" w:sz="0" w:space="0" w:color="auto"/>
            <w:bottom w:val="single" w:sz="12" w:space="0" w:color="000000"/>
            <w:right w:val="none" w:sz="0" w:space="0" w:color="auto"/>
          </w:divBdr>
        </w:div>
        <w:div w:id="291139603">
          <w:marLeft w:val="0"/>
          <w:marRight w:val="0"/>
          <w:marTop w:val="120"/>
          <w:marBottom w:val="240"/>
          <w:divBdr>
            <w:top w:val="none" w:sz="0" w:space="0" w:color="auto"/>
            <w:left w:val="none" w:sz="0" w:space="0" w:color="auto"/>
            <w:bottom w:val="none" w:sz="0" w:space="0" w:color="auto"/>
            <w:right w:val="none" w:sz="0" w:space="0" w:color="auto"/>
          </w:divBdr>
        </w:div>
        <w:div w:id="1027103898">
          <w:marLeft w:val="0"/>
          <w:marRight w:val="0"/>
          <w:marTop w:val="240"/>
          <w:marBottom w:val="120"/>
          <w:divBdr>
            <w:top w:val="none" w:sz="0" w:space="0" w:color="auto"/>
            <w:left w:val="none" w:sz="0" w:space="0" w:color="auto"/>
            <w:bottom w:val="single" w:sz="12" w:space="0" w:color="000000"/>
            <w:right w:val="none" w:sz="0" w:space="0" w:color="auto"/>
          </w:divBdr>
        </w:div>
        <w:div w:id="630937583">
          <w:marLeft w:val="0"/>
          <w:marRight w:val="0"/>
          <w:marTop w:val="120"/>
          <w:marBottom w:val="240"/>
          <w:divBdr>
            <w:top w:val="none" w:sz="0" w:space="0" w:color="auto"/>
            <w:left w:val="none" w:sz="0" w:space="0" w:color="auto"/>
            <w:bottom w:val="none" w:sz="0" w:space="0" w:color="auto"/>
            <w:right w:val="none" w:sz="0" w:space="0" w:color="auto"/>
          </w:divBdr>
        </w:div>
        <w:div w:id="47073464">
          <w:marLeft w:val="0"/>
          <w:marRight w:val="0"/>
          <w:marTop w:val="240"/>
          <w:marBottom w:val="120"/>
          <w:divBdr>
            <w:top w:val="none" w:sz="0" w:space="0" w:color="auto"/>
            <w:left w:val="none" w:sz="0" w:space="0" w:color="auto"/>
            <w:bottom w:val="single" w:sz="12" w:space="0" w:color="000000"/>
            <w:right w:val="none" w:sz="0" w:space="0" w:color="auto"/>
          </w:divBdr>
        </w:div>
        <w:div w:id="1304428549">
          <w:marLeft w:val="0"/>
          <w:marRight w:val="0"/>
          <w:marTop w:val="120"/>
          <w:marBottom w:val="240"/>
          <w:divBdr>
            <w:top w:val="none" w:sz="0" w:space="0" w:color="auto"/>
            <w:left w:val="none" w:sz="0" w:space="0" w:color="auto"/>
            <w:bottom w:val="none" w:sz="0" w:space="0" w:color="auto"/>
            <w:right w:val="none" w:sz="0" w:space="0" w:color="auto"/>
          </w:divBdr>
        </w:div>
        <w:div w:id="918564294">
          <w:marLeft w:val="0"/>
          <w:marRight w:val="0"/>
          <w:marTop w:val="240"/>
          <w:marBottom w:val="120"/>
          <w:divBdr>
            <w:top w:val="none" w:sz="0" w:space="0" w:color="auto"/>
            <w:left w:val="none" w:sz="0" w:space="0" w:color="auto"/>
            <w:bottom w:val="single" w:sz="12" w:space="0" w:color="000000"/>
            <w:right w:val="none" w:sz="0" w:space="0" w:color="auto"/>
          </w:divBdr>
        </w:div>
        <w:div w:id="731004581">
          <w:marLeft w:val="0"/>
          <w:marRight w:val="0"/>
          <w:marTop w:val="120"/>
          <w:marBottom w:val="240"/>
          <w:divBdr>
            <w:top w:val="none" w:sz="0" w:space="0" w:color="auto"/>
            <w:left w:val="none" w:sz="0" w:space="0" w:color="auto"/>
            <w:bottom w:val="none" w:sz="0" w:space="0" w:color="auto"/>
            <w:right w:val="none" w:sz="0" w:space="0" w:color="auto"/>
          </w:divBdr>
        </w:div>
        <w:div w:id="1436554903">
          <w:marLeft w:val="0"/>
          <w:marRight w:val="0"/>
          <w:marTop w:val="240"/>
          <w:marBottom w:val="120"/>
          <w:divBdr>
            <w:top w:val="none" w:sz="0" w:space="0" w:color="auto"/>
            <w:left w:val="none" w:sz="0" w:space="0" w:color="auto"/>
            <w:bottom w:val="single" w:sz="12" w:space="0" w:color="000000"/>
            <w:right w:val="none" w:sz="0" w:space="0" w:color="auto"/>
          </w:divBdr>
        </w:div>
        <w:div w:id="519196466">
          <w:marLeft w:val="0"/>
          <w:marRight w:val="0"/>
          <w:marTop w:val="120"/>
          <w:marBottom w:val="240"/>
          <w:divBdr>
            <w:top w:val="none" w:sz="0" w:space="0" w:color="auto"/>
            <w:left w:val="none" w:sz="0" w:space="0" w:color="auto"/>
            <w:bottom w:val="none" w:sz="0" w:space="0" w:color="auto"/>
            <w:right w:val="none" w:sz="0" w:space="0" w:color="auto"/>
          </w:divBdr>
        </w:div>
        <w:div w:id="1502117088">
          <w:marLeft w:val="0"/>
          <w:marRight w:val="0"/>
          <w:marTop w:val="240"/>
          <w:marBottom w:val="120"/>
          <w:divBdr>
            <w:top w:val="none" w:sz="0" w:space="0" w:color="auto"/>
            <w:left w:val="none" w:sz="0" w:space="0" w:color="auto"/>
            <w:bottom w:val="single" w:sz="12" w:space="0" w:color="000000"/>
            <w:right w:val="none" w:sz="0" w:space="0" w:color="auto"/>
          </w:divBdr>
        </w:div>
        <w:div w:id="1504198848">
          <w:marLeft w:val="0"/>
          <w:marRight w:val="0"/>
          <w:marTop w:val="120"/>
          <w:marBottom w:val="240"/>
          <w:divBdr>
            <w:top w:val="none" w:sz="0" w:space="0" w:color="auto"/>
            <w:left w:val="none" w:sz="0" w:space="0" w:color="auto"/>
            <w:bottom w:val="none" w:sz="0" w:space="0" w:color="auto"/>
            <w:right w:val="none" w:sz="0" w:space="0" w:color="auto"/>
          </w:divBdr>
        </w:div>
        <w:div w:id="447971248">
          <w:marLeft w:val="0"/>
          <w:marRight w:val="0"/>
          <w:marTop w:val="240"/>
          <w:marBottom w:val="120"/>
          <w:divBdr>
            <w:top w:val="none" w:sz="0" w:space="0" w:color="auto"/>
            <w:left w:val="none" w:sz="0" w:space="0" w:color="auto"/>
            <w:bottom w:val="single" w:sz="12" w:space="0" w:color="000000"/>
            <w:right w:val="none" w:sz="0" w:space="0" w:color="auto"/>
          </w:divBdr>
        </w:div>
        <w:div w:id="1031033845">
          <w:marLeft w:val="0"/>
          <w:marRight w:val="0"/>
          <w:marTop w:val="120"/>
          <w:marBottom w:val="240"/>
          <w:divBdr>
            <w:top w:val="none" w:sz="0" w:space="0" w:color="auto"/>
            <w:left w:val="none" w:sz="0" w:space="0" w:color="auto"/>
            <w:bottom w:val="none" w:sz="0" w:space="0" w:color="auto"/>
            <w:right w:val="none" w:sz="0" w:space="0" w:color="auto"/>
          </w:divBdr>
        </w:div>
        <w:div w:id="2054422689">
          <w:marLeft w:val="0"/>
          <w:marRight w:val="0"/>
          <w:marTop w:val="240"/>
          <w:marBottom w:val="120"/>
          <w:divBdr>
            <w:top w:val="none" w:sz="0" w:space="0" w:color="auto"/>
            <w:left w:val="none" w:sz="0" w:space="0" w:color="auto"/>
            <w:bottom w:val="single" w:sz="12" w:space="0" w:color="000000"/>
            <w:right w:val="none" w:sz="0" w:space="0" w:color="auto"/>
          </w:divBdr>
        </w:div>
        <w:div w:id="746155154">
          <w:marLeft w:val="0"/>
          <w:marRight w:val="0"/>
          <w:marTop w:val="120"/>
          <w:marBottom w:val="240"/>
          <w:divBdr>
            <w:top w:val="none" w:sz="0" w:space="0" w:color="auto"/>
            <w:left w:val="none" w:sz="0" w:space="0" w:color="auto"/>
            <w:bottom w:val="none" w:sz="0" w:space="0" w:color="auto"/>
            <w:right w:val="none" w:sz="0" w:space="0" w:color="auto"/>
          </w:divBdr>
        </w:div>
        <w:div w:id="1074232374">
          <w:marLeft w:val="0"/>
          <w:marRight w:val="0"/>
          <w:marTop w:val="240"/>
          <w:marBottom w:val="120"/>
          <w:divBdr>
            <w:top w:val="none" w:sz="0" w:space="0" w:color="auto"/>
            <w:left w:val="none" w:sz="0" w:space="0" w:color="auto"/>
            <w:bottom w:val="single" w:sz="12" w:space="0" w:color="000000"/>
            <w:right w:val="none" w:sz="0" w:space="0" w:color="auto"/>
          </w:divBdr>
        </w:div>
        <w:div w:id="1228802703">
          <w:marLeft w:val="0"/>
          <w:marRight w:val="0"/>
          <w:marTop w:val="120"/>
          <w:marBottom w:val="240"/>
          <w:divBdr>
            <w:top w:val="none" w:sz="0" w:space="0" w:color="auto"/>
            <w:left w:val="none" w:sz="0" w:space="0" w:color="auto"/>
            <w:bottom w:val="none" w:sz="0" w:space="0" w:color="auto"/>
            <w:right w:val="none" w:sz="0" w:space="0" w:color="auto"/>
          </w:divBdr>
        </w:div>
        <w:div w:id="740760025">
          <w:marLeft w:val="0"/>
          <w:marRight w:val="0"/>
          <w:marTop w:val="240"/>
          <w:marBottom w:val="120"/>
          <w:divBdr>
            <w:top w:val="none" w:sz="0" w:space="0" w:color="auto"/>
            <w:left w:val="none" w:sz="0" w:space="0" w:color="auto"/>
            <w:bottom w:val="single" w:sz="12" w:space="0" w:color="000000"/>
            <w:right w:val="none" w:sz="0" w:space="0" w:color="auto"/>
          </w:divBdr>
        </w:div>
        <w:div w:id="984553745">
          <w:marLeft w:val="0"/>
          <w:marRight w:val="0"/>
          <w:marTop w:val="120"/>
          <w:marBottom w:val="240"/>
          <w:divBdr>
            <w:top w:val="none" w:sz="0" w:space="0" w:color="auto"/>
            <w:left w:val="none" w:sz="0" w:space="0" w:color="auto"/>
            <w:bottom w:val="none" w:sz="0" w:space="0" w:color="auto"/>
            <w:right w:val="none" w:sz="0" w:space="0" w:color="auto"/>
          </w:divBdr>
        </w:div>
        <w:div w:id="762920021">
          <w:marLeft w:val="0"/>
          <w:marRight w:val="0"/>
          <w:marTop w:val="240"/>
          <w:marBottom w:val="120"/>
          <w:divBdr>
            <w:top w:val="none" w:sz="0" w:space="0" w:color="auto"/>
            <w:left w:val="none" w:sz="0" w:space="0" w:color="auto"/>
            <w:bottom w:val="single" w:sz="12" w:space="0" w:color="000000"/>
            <w:right w:val="none" w:sz="0" w:space="0" w:color="auto"/>
          </w:divBdr>
        </w:div>
        <w:div w:id="665789495">
          <w:marLeft w:val="0"/>
          <w:marRight w:val="0"/>
          <w:marTop w:val="120"/>
          <w:marBottom w:val="240"/>
          <w:divBdr>
            <w:top w:val="none" w:sz="0" w:space="0" w:color="auto"/>
            <w:left w:val="none" w:sz="0" w:space="0" w:color="auto"/>
            <w:bottom w:val="none" w:sz="0" w:space="0" w:color="auto"/>
            <w:right w:val="none" w:sz="0" w:space="0" w:color="auto"/>
          </w:divBdr>
        </w:div>
        <w:div w:id="1932271113">
          <w:marLeft w:val="0"/>
          <w:marRight w:val="0"/>
          <w:marTop w:val="240"/>
          <w:marBottom w:val="120"/>
          <w:divBdr>
            <w:top w:val="none" w:sz="0" w:space="0" w:color="auto"/>
            <w:left w:val="none" w:sz="0" w:space="0" w:color="auto"/>
            <w:bottom w:val="single" w:sz="12" w:space="0" w:color="000000"/>
            <w:right w:val="none" w:sz="0" w:space="0" w:color="auto"/>
          </w:divBdr>
        </w:div>
        <w:div w:id="1099327439">
          <w:marLeft w:val="0"/>
          <w:marRight w:val="0"/>
          <w:marTop w:val="120"/>
          <w:marBottom w:val="240"/>
          <w:divBdr>
            <w:top w:val="none" w:sz="0" w:space="0" w:color="auto"/>
            <w:left w:val="none" w:sz="0" w:space="0" w:color="auto"/>
            <w:bottom w:val="none" w:sz="0" w:space="0" w:color="auto"/>
            <w:right w:val="none" w:sz="0" w:space="0" w:color="auto"/>
          </w:divBdr>
        </w:div>
        <w:div w:id="357894555">
          <w:marLeft w:val="0"/>
          <w:marRight w:val="0"/>
          <w:marTop w:val="240"/>
          <w:marBottom w:val="120"/>
          <w:divBdr>
            <w:top w:val="none" w:sz="0" w:space="0" w:color="auto"/>
            <w:left w:val="none" w:sz="0" w:space="0" w:color="auto"/>
            <w:bottom w:val="single" w:sz="12" w:space="0" w:color="000000"/>
            <w:right w:val="none" w:sz="0" w:space="0" w:color="auto"/>
          </w:divBdr>
        </w:div>
        <w:div w:id="486438848">
          <w:marLeft w:val="0"/>
          <w:marRight w:val="0"/>
          <w:marTop w:val="120"/>
          <w:marBottom w:val="240"/>
          <w:divBdr>
            <w:top w:val="none" w:sz="0" w:space="0" w:color="auto"/>
            <w:left w:val="none" w:sz="0" w:space="0" w:color="auto"/>
            <w:bottom w:val="none" w:sz="0" w:space="0" w:color="auto"/>
            <w:right w:val="none" w:sz="0" w:space="0" w:color="auto"/>
          </w:divBdr>
        </w:div>
        <w:div w:id="841697699">
          <w:marLeft w:val="0"/>
          <w:marRight w:val="0"/>
          <w:marTop w:val="240"/>
          <w:marBottom w:val="120"/>
          <w:divBdr>
            <w:top w:val="none" w:sz="0" w:space="0" w:color="auto"/>
            <w:left w:val="none" w:sz="0" w:space="0" w:color="auto"/>
            <w:bottom w:val="single" w:sz="12" w:space="0" w:color="000000"/>
            <w:right w:val="none" w:sz="0" w:space="0" w:color="auto"/>
          </w:divBdr>
        </w:div>
        <w:div w:id="358164268">
          <w:marLeft w:val="0"/>
          <w:marRight w:val="0"/>
          <w:marTop w:val="120"/>
          <w:marBottom w:val="240"/>
          <w:divBdr>
            <w:top w:val="none" w:sz="0" w:space="0" w:color="auto"/>
            <w:left w:val="none" w:sz="0" w:space="0" w:color="auto"/>
            <w:bottom w:val="none" w:sz="0" w:space="0" w:color="auto"/>
            <w:right w:val="none" w:sz="0" w:space="0" w:color="auto"/>
          </w:divBdr>
        </w:div>
        <w:div w:id="1718044674">
          <w:marLeft w:val="0"/>
          <w:marRight w:val="0"/>
          <w:marTop w:val="240"/>
          <w:marBottom w:val="120"/>
          <w:divBdr>
            <w:top w:val="none" w:sz="0" w:space="0" w:color="auto"/>
            <w:left w:val="none" w:sz="0" w:space="0" w:color="auto"/>
            <w:bottom w:val="single" w:sz="12" w:space="0" w:color="000000"/>
            <w:right w:val="none" w:sz="0" w:space="0" w:color="auto"/>
          </w:divBdr>
        </w:div>
        <w:div w:id="114830680">
          <w:marLeft w:val="0"/>
          <w:marRight w:val="0"/>
          <w:marTop w:val="120"/>
          <w:marBottom w:val="240"/>
          <w:divBdr>
            <w:top w:val="none" w:sz="0" w:space="0" w:color="auto"/>
            <w:left w:val="none" w:sz="0" w:space="0" w:color="auto"/>
            <w:bottom w:val="none" w:sz="0" w:space="0" w:color="auto"/>
            <w:right w:val="none" w:sz="0" w:space="0" w:color="auto"/>
          </w:divBdr>
        </w:div>
        <w:div w:id="493032692">
          <w:marLeft w:val="0"/>
          <w:marRight w:val="0"/>
          <w:marTop w:val="240"/>
          <w:marBottom w:val="120"/>
          <w:divBdr>
            <w:top w:val="none" w:sz="0" w:space="0" w:color="auto"/>
            <w:left w:val="none" w:sz="0" w:space="0" w:color="auto"/>
            <w:bottom w:val="single" w:sz="12" w:space="0" w:color="000000"/>
            <w:right w:val="none" w:sz="0" w:space="0" w:color="auto"/>
          </w:divBdr>
        </w:div>
        <w:div w:id="1884094478">
          <w:marLeft w:val="0"/>
          <w:marRight w:val="0"/>
          <w:marTop w:val="120"/>
          <w:marBottom w:val="240"/>
          <w:divBdr>
            <w:top w:val="none" w:sz="0" w:space="0" w:color="auto"/>
            <w:left w:val="none" w:sz="0" w:space="0" w:color="auto"/>
            <w:bottom w:val="none" w:sz="0" w:space="0" w:color="auto"/>
            <w:right w:val="none" w:sz="0" w:space="0" w:color="auto"/>
          </w:divBdr>
        </w:div>
        <w:div w:id="261183939">
          <w:marLeft w:val="0"/>
          <w:marRight w:val="0"/>
          <w:marTop w:val="240"/>
          <w:marBottom w:val="120"/>
          <w:divBdr>
            <w:top w:val="none" w:sz="0" w:space="0" w:color="auto"/>
            <w:left w:val="none" w:sz="0" w:space="0" w:color="auto"/>
            <w:bottom w:val="single" w:sz="12" w:space="0" w:color="000000"/>
            <w:right w:val="none" w:sz="0" w:space="0" w:color="auto"/>
          </w:divBdr>
        </w:div>
        <w:div w:id="598874605">
          <w:marLeft w:val="0"/>
          <w:marRight w:val="0"/>
          <w:marTop w:val="120"/>
          <w:marBottom w:val="240"/>
          <w:divBdr>
            <w:top w:val="none" w:sz="0" w:space="0" w:color="auto"/>
            <w:left w:val="none" w:sz="0" w:space="0" w:color="auto"/>
            <w:bottom w:val="none" w:sz="0" w:space="0" w:color="auto"/>
            <w:right w:val="none" w:sz="0" w:space="0" w:color="auto"/>
          </w:divBdr>
        </w:div>
        <w:div w:id="830557726">
          <w:marLeft w:val="0"/>
          <w:marRight w:val="0"/>
          <w:marTop w:val="240"/>
          <w:marBottom w:val="120"/>
          <w:divBdr>
            <w:top w:val="none" w:sz="0" w:space="0" w:color="auto"/>
            <w:left w:val="none" w:sz="0" w:space="0" w:color="auto"/>
            <w:bottom w:val="single" w:sz="12" w:space="0" w:color="000000"/>
            <w:right w:val="none" w:sz="0" w:space="0" w:color="auto"/>
          </w:divBdr>
        </w:div>
        <w:div w:id="1854145763">
          <w:marLeft w:val="0"/>
          <w:marRight w:val="0"/>
          <w:marTop w:val="120"/>
          <w:marBottom w:val="240"/>
          <w:divBdr>
            <w:top w:val="none" w:sz="0" w:space="0" w:color="auto"/>
            <w:left w:val="none" w:sz="0" w:space="0" w:color="auto"/>
            <w:bottom w:val="none" w:sz="0" w:space="0" w:color="auto"/>
            <w:right w:val="none" w:sz="0" w:space="0" w:color="auto"/>
          </w:divBdr>
        </w:div>
        <w:div w:id="2123375701">
          <w:marLeft w:val="0"/>
          <w:marRight w:val="0"/>
          <w:marTop w:val="240"/>
          <w:marBottom w:val="120"/>
          <w:divBdr>
            <w:top w:val="none" w:sz="0" w:space="0" w:color="auto"/>
            <w:left w:val="none" w:sz="0" w:space="0" w:color="auto"/>
            <w:bottom w:val="single" w:sz="12" w:space="0" w:color="000000"/>
            <w:right w:val="none" w:sz="0" w:space="0" w:color="auto"/>
          </w:divBdr>
        </w:div>
        <w:div w:id="1642463826">
          <w:marLeft w:val="0"/>
          <w:marRight w:val="0"/>
          <w:marTop w:val="120"/>
          <w:marBottom w:val="240"/>
          <w:divBdr>
            <w:top w:val="none" w:sz="0" w:space="0" w:color="auto"/>
            <w:left w:val="none" w:sz="0" w:space="0" w:color="auto"/>
            <w:bottom w:val="none" w:sz="0" w:space="0" w:color="auto"/>
            <w:right w:val="none" w:sz="0" w:space="0" w:color="auto"/>
          </w:divBdr>
        </w:div>
        <w:div w:id="2141726283">
          <w:marLeft w:val="0"/>
          <w:marRight w:val="0"/>
          <w:marTop w:val="240"/>
          <w:marBottom w:val="120"/>
          <w:divBdr>
            <w:top w:val="none" w:sz="0" w:space="0" w:color="auto"/>
            <w:left w:val="none" w:sz="0" w:space="0" w:color="auto"/>
            <w:bottom w:val="single" w:sz="12" w:space="0" w:color="000000"/>
            <w:right w:val="none" w:sz="0" w:space="0" w:color="auto"/>
          </w:divBdr>
        </w:div>
        <w:div w:id="526404252">
          <w:marLeft w:val="0"/>
          <w:marRight w:val="0"/>
          <w:marTop w:val="120"/>
          <w:marBottom w:val="240"/>
          <w:divBdr>
            <w:top w:val="none" w:sz="0" w:space="0" w:color="auto"/>
            <w:left w:val="none" w:sz="0" w:space="0" w:color="auto"/>
            <w:bottom w:val="none" w:sz="0" w:space="0" w:color="auto"/>
            <w:right w:val="none" w:sz="0" w:space="0" w:color="auto"/>
          </w:divBdr>
        </w:div>
        <w:div w:id="1663007369">
          <w:marLeft w:val="0"/>
          <w:marRight w:val="0"/>
          <w:marTop w:val="240"/>
          <w:marBottom w:val="120"/>
          <w:divBdr>
            <w:top w:val="none" w:sz="0" w:space="0" w:color="auto"/>
            <w:left w:val="none" w:sz="0" w:space="0" w:color="auto"/>
            <w:bottom w:val="single" w:sz="12" w:space="0" w:color="000000"/>
            <w:right w:val="none" w:sz="0" w:space="0" w:color="auto"/>
          </w:divBdr>
        </w:div>
        <w:div w:id="142477630">
          <w:marLeft w:val="0"/>
          <w:marRight w:val="0"/>
          <w:marTop w:val="120"/>
          <w:marBottom w:val="240"/>
          <w:divBdr>
            <w:top w:val="none" w:sz="0" w:space="0" w:color="auto"/>
            <w:left w:val="none" w:sz="0" w:space="0" w:color="auto"/>
            <w:bottom w:val="none" w:sz="0" w:space="0" w:color="auto"/>
            <w:right w:val="none" w:sz="0" w:space="0" w:color="auto"/>
          </w:divBdr>
        </w:div>
        <w:div w:id="625624400">
          <w:marLeft w:val="0"/>
          <w:marRight w:val="0"/>
          <w:marTop w:val="240"/>
          <w:marBottom w:val="120"/>
          <w:divBdr>
            <w:top w:val="none" w:sz="0" w:space="0" w:color="auto"/>
            <w:left w:val="none" w:sz="0" w:space="0" w:color="auto"/>
            <w:bottom w:val="single" w:sz="12" w:space="0" w:color="000000"/>
            <w:right w:val="none" w:sz="0" w:space="0" w:color="auto"/>
          </w:divBdr>
        </w:div>
        <w:div w:id="987586960">
          <w:marLeft w:val="0"/>
          <w:marRight w:val="0"/>
          <w:marTop w:val="120"/>
          <w:marBottom w:val="240"/>
          <w:divBdr>
            <w:top w:val="none" w:sz="0" w:space="0" w:color="auto"/>
            <w:left w:val="none" w:sz="0" w:space="0" w:color="auto"/>
            <w:bottom w:val="none" w:sz="0" w:space="0" w:color="auto"/>
            <w:right w:val="none" w:sz="0" w:space="0" w:color="auto"/>
          </w:divBdr>
        </w:div>
        <w:div w:id="34238583">
          <w:marLeft w:val="0"/>
          <w:marRight w:val="0"/>
          <w:marTop w:val="240"/>
          <w:marBottom w:val="120"/>
          <w:divBdr>
            <w:top w:val="none" w:sz="0" w:space="0" w:color="auto"/>
            <w:left w:val="none" w:sz="0" w:space="0" w:color="auto"/>
            <w:bottom w:val="single" w:sz="12" w:space="0" w:color="000000"/>
            <w:right w:val="none" w:sz="0" w:space="0" w:color="auto"/>
          </w:divBdr>
        </w:div>
        <w:div w:id="824668940">
          <w:marLeft w:val="0"/>
          <w:marRight w:val="0"/>
          <w:marTop w:val="120"/>
          <w:marBottom w:val="240"/>
          <w:divBdr>
            <w:top w:val="none" w:sz="0" w:space="0" w:color="auto"/>
            <w:left w:val="none" w:sz="0" w:space="0" w:color="auto"/>
            <w:bottom w:val="none" w:sz="0" w:space="0" w:color="auto"/>
            <w:right w:val="none" w:sz="0" w:space="0" w:color="auto"/>
          </w:divBdr>
        </w:div>
        <w:div w:id="918558030">
          <w:marLeft w:val="0"/>
          <w:marRight w:val="0"/>
          <w:marTop w:val="240"/>
          <w:marBottom w:val="120"/>
          <w:divBdr>
            <w:top w:val="none" w:sz="0" w:space="0" w:color="auto"/>
            <w:left w:val="none" w:sz="0" w:space="0" w:color="auto"/>
            <w:bottom w:val="single" w:sz="12" w:space="0" w:color="000000"/>
            <w:right w:val="none" w:sz="0" w:space="0" w:color="auto"/>
          </w:divBdr>
        </w:div>
        <w:div w:id="1320305581">
          <w:marLeft w:val="0"/>
          <w:marRight w:val="0"/>
          <w:marTop w:val="120"/>
          <w:marBottom w:val="240"/>
          <w:divBdr>
            <w:top w:val="none" w:sz="0" w:space="0" w:color="auto"/>
            <w:left w:val="none" w:sz="0" w:space="0" w:color="auto"/>
            <w:bottom w:val="none" w:sz="0" w:space="0" w:color="auto"/>
            <w:right w:val="none" w:sz="0" w:space="0" w:color="auto"/>
          </w:divBdr>
        </w:div>
        <w:div w:id="1798254296">
          <w:marLeft w:val="0"/>
          <w:marRight w:val="0"/>
          <w:marTop w:val="240"/>
          <w:marBottom w:val="120"/>
          <w:divBdr>
            <w:top w:val="none" w:sz="0" w:space="0" w:color="auto"/>
            <w:left w:val="none" w:sz="0" w:space="0" w:color="auto"/>
            <w:bottom w:val="single" w:sz="12" w:space="0" w:color="000000"/>
            <w:right w:val="none" w:sz="0" w:space="0" w:color="auto"/>
          </w:divBdr>
        </w:div>
        <w:div w:id="1026062110">
          <w:marLeft w:val="0"/>
          <w:marRight w:val="0"/>
          <w:marTop w:val="120"/>
          <w:marBottom w:val="240"/>
          <w:divBdr>
            <w:top w:val="none" w:sz="0" w:space="0" w:color="auto"/>
            <w:left w:val="none" w:sz="0" w:space="0" w:color="auto"/>
            <w:bottom w:val="none" w:sz="0" w:space="0" w:color="auto"/>
            <w:right w:val="none" w:sz="0" w:space="0" w:color="auto"/>
          </w:divBdr>
        </w:div>
        <w:div w:id="1617982972">
          <w:marLeft w:val="0"/>
          <w:marRight w:val="0"/>
          <w:marTop w:val="240"/>
          <w:marBottom w:val="120"/>
          <w:divBdr>
            <w:top w:val="none" w:sz="0" w:space="0" w:color="auto"/>
            <w:left w:val="none" w:sz="0" w:space="0" w:color="auto"/>
            <w:bottom w:val="single" w:sz="12" w:space="0" w:color="000000"/>
            <w:right w:val="none" w:sz="0" w:space="0" w:color="auto"/>
          </w:divBdr>
        </w:div>
        <w:div w:id="1893612084">
          <w:marLeft w:val="0"/>
          <w:marRight w:val="0"/>
          <w:marTop w:val="120"/>
          <w:marBottom w:val="240"/>
          <w:divBdr>
            <w:top w:val="none" w:sz="0" w:space="0" w:color="auto"/>
            <w:left w:val="none" w:sz="0" w:space="0" w:color="auto"/>
            <w:bottom w:val="none" w:sz="0" w:space="0" w:color="auto"/>
            <w:right w:val="none" w:sz="0" w:space="0" w:color="auto"/>
          </w:divBdr>
        </w:div>
        <w:div w:id="154539426">
          <w:marLeft w:val="0"/>
          <w:marRight w:val="0"/>
          <w:marTop w:val="240"/>
          <w:marBottom w:val="120"/>
          <w:divBdr>
            <w:top w:val="none" w:sz="0" w:space="0" w:color="auto"/>
            <w:left w:val="none" w:sz="0" w:space="0" w:color="auto"/>
            <w:bottom w:val="single" w:sz="12" w:space="0" w:color="000000"/>
            <w:right w:val="none" w:sz="0" w:space="0" w:color="auto"/>
          </w:divBdr>
        </w:div>
        <w:div w:id="1964075868">
          <w:marLeft w:val="0"/>
          <w:marRight w:val="0"/>
          <w:marTop w:val="120"/>
          <w:marBottom w:val="240"/>
          <w:divBdr>
            <w:top w:val="none" w:sz="0" w:space="0" w:color="auto"/>
            <w:left w:val="none" w:sz="0" w:space="0" w:color="auto"/>
            <w:bottom w:val="none" w:sz="0" w:space="0" w:color="auto"/>
            <w:right w:val="none" w:sz="0" w:space="0" w:color="auto"/>
          </w:divBdr>
        </w:div>
        <w:div w:id="1658268503">
          <w:marLeft w:val="0"/>
          <w:marRight w:val="0"/>
          <w:marTop w:val="240"/>
          <w:marBottom w:val="120"/>
          <w:divBdr>
            <w:top w:val="none" w:sz="0" w:space="0" w:color="auto"/>
            <w:left w:val="none" w:sz="0" w:space="0" w:color="auto"/>
            <w:bottom w:val="single" w:sz="12" w:space="0" w:color="000000"/>
            <w:right w:val="none" w:sz="0" w:space="0" w:color="auto"/>
          </w:divBdr>
        </w:div>
        <w:div w:id="860321033">
          <w:marLeft w:val="0"/>
          <w:marRight w:val="0"/>
          <w:marTop w:val="120"/>
          <w:marBottom w:val="240"/>
          <w:divBdr>
            <w:top w:val="none" w:sz="0" w:space="0" w:color="auto"/>
            <w:left w:val="none" w:sz="0" w:space="0" w:color="auto"/>
            <w:bottom w:val="none" w:sz="0" w:space="0" w:color="auto"/>
            <w:right w:val="none" w:sz="0" w:space="0" w:color="auto"/>
          </w:divBdr>
        </w:div>
        <w:div w:id="2105372480">
          <w:marLeft w:val="0"/>
          <w:marRight w:val="0"/>
          <w:marTop w:val="240"/>
          <w:marBottom w:val="120"/>
          <w:divBdr>
            <w:top w:val="none" w:sz="0" w:space="0" w:color="auto"/>
            <w:left w:val="none" w:sz="0" w:space="0" w:color="auto"/>
            <w:bottom w:val="single" w:sz="12" w:space="0" w:color="000000"/>
            <w:right w:val="none" w:sz="0" w:space="0" w:color="auto"/>
          </w:divBdr>
        </w:div>
        <w:div w:id="591862225">
          <w:marLeft w:val="0"/>
          <w:marRight w:val="0"/>
          <w:marTop w:val="120"/>
          <w:marBottom w:val="240"/>
          <w:divBdr>
            <w:top w:val="none" w:sz="0" w:space="0" w:color="auto"/>
            <w:left w:val="none" w:sz="0" w:space="0" w:color="auto"/>
            <w:bottom w:val="none" w:sz="0" w:space="0" w:color="auto"/>
            <w:right w:val="none" w:sz="0" w:space="0" w:color="auto"/>
          </w:divBdr>
        </w:div>
        <w:div w:id="1991857630">
          <w:marLeft w:val="0"/>
          <w:marRight w:val="0"/>
          <w:marTop w:val="240"/>
          <w:marBottom w:val="120"/>
          <w:divBdr>
            <w:top w:val="none" w:sz="0" w:space="0" w:color="auto"/>
            <w:left w:val="none" w:sz="0" w:space="0" w:color="auto"/>
            <w:bottom w:val="single" w:sz="12" w:space="0" w:color="000000"/>
            <w:right w:val="none" w:sz="0" w:space="0" w:color="auto"/>
          </w:divBdr>
        </w:div>
        <w:div w:id="910582511">
          <w:marLeft w:val="0"/>
          <w:marRight w:val="0"/>
          <w:marTop w:val="120"/>
          <w:marBottom w:val="240"/>
          <w:divBdr>
            <w:top w:val="none" w:sz="0" w:space="0" w:color="auto"/>
            <w:left w:val="none" w:sz="0" w:space="0" w:color="auto"/>
            <w:bottom w:val="none" w:sz="0" w:space="0" w:color="auto"/>
            <w:right w:val="none" w:sz="0" w:space="0" w:color="auto"/>
          </w:divBdr>
        </w:div>
        <w:div w:id="127162127">
          <w:marLeft w:val="0"/>
          <w:marRight w:val="0"/>
          <w:marTop w:val="240"/>
          <w:marBottom w:val="120"/>
          <w:divBdr>
            <w:top w:val="none" w:sz="0" w:space="0" w:color="auto"/>
            <w:left w:val="none" w:sz="0" w:space="0" w:color="auto"/>
            <w:bottom w:val="single" w:sz="12" w:space="0" w:color="000000"/>
            <w:right w:val="none" w:sz="0" w:space="0" w:color="auto"/>
          </w:divBdr>
        </w:div>
        <w:div w:id="102501152">
          <w:marLeft w:val="0"/>
          <w:marRight w:val="0"/>
          <w:marTop w:val="120"/>
          <w:marBottom w:val="240"/>
          <w:divBdr>
            <w:top w:val="none" w:sz="0" w:space="0" w:color="auto"/>
            <w:left w:val="none" w:sz="0" w:space="0" w:color="auto"/>
            <w:bottom w:val="none" w:sz="0" w:space="0" w:color="auto"/>
            <w:right w:val="none" w:sz="0" w:space="0" w:color="auto"/>
          </w:divBdr>
        </w:div>
        <w:div w:id="1200824295">
          <w:marLeft w:val="0"/>
          <w:marRight w:val="0"/>
          <w:marTop w:val="240"/>
          <w:marBottom w:val="120"/>
          <w:divBdr>
            <w:top w:val="none" w:sz="0" w:space="0" w:color="auto"/>
            <w:left w:val="none" w:sz="0" w:space="0" w:color="auto"/>
            <w:bottom w:val="single" w:sz="12" w:space="0" w:color="000000"/>
            <w:right w:val="none" w:sz="0" w:space="0" w:color="auto"/>
          </w:divBdr>
        </w:div>
        <w:div w:id="1991667435">
          <w:marLeft w:val="0"/>
          <w:marRight w:val="0"/>
          <w:marTop w:val="120"/>
          <w:marBottom w:val="240"/>
          <w:divBdr>
            <w:top w:val="none" w:sz="0" w:space="0" w:color="auto"/>
            <w:left w:val="none" w:sz="0" w:space="0" w:color="auto"/>
            <w:bottom w:val="none" w:sz="0" w:space="0" w:color="auto"/>
            <w:right w:val="none" w:sz="0" w:space="0" w:color="auto"/>
          </w:divBdr>
        </w:div>
        <w:div w:id="1475171815">
          <w:marLeft w:val="0"/>
          <w:marRight w:val="0"/>
          <w:marTop w:val="240"/>
          <w:marBottom w:val="120"/>
          <w:divBdr>
            <w:top w:val="none" w:sz="0" w:space="0" w:color="auto"/>
            <w:left w:val="none" w:sz="0" w:space="0" w:color="auto"/>
            <w:bottom w:val="single" w:sz="12" w:space="0" w:color="000000"/>
            <w:right w:val="none" w:sz="0" w:space="0" w:color="auto"/>
          </w:divBdr>
        </w:div>
        <w:div w:id="686058098">
          <w:marLeft w:val="0"/>
          <w:marRight w:val="0"/>
          <w:marTop w:val="120"/>
          <w:marBottom w:val="240"/>
          <w:divBdr>
            <w:top w:val="none" w:sz="0" w:space="0" w:color="auto"/>
            <w:left w:val="none" w:sz="0" w:space="0" w:color="auto"/>
            <w:bottom w:val="none" w:sz="0" w:space="0" w:color="auto"/>
            <w:right w:val="none" w:sz="0" w:space="0" w:color="auto"/>
          </w:divBdr>
        </w:div>
        <w:div w:id="1265263698">
          <w:marLeft w:val="0"/>
          <w:marRight w:val="0"/>
          <w:marTop w:val="240"/>
          <w:marBottom w:val="120"/>
          <w:divBdr>
            <w:top w:val="none" w:sz="0" w:space="0" w:color="auto"/>
            <w:left w:val="none" w:sz="0" w:space="0" w:color="auto"/>
            <w:bottom w:val="single" w:sz="12" w:space="0" w:color="000000"/>
            <w:right w:val="none" w:sz="0" w:space="0" w:color="auto"/>
          </w:divBdr>
        </w:div>
        <w:div w:id="1125345170">
          <w:marLeft w:val="0"/>
          <w:marRight w:val="0"/>
          <w:marTop w:val="120"/>
          <w:marBottom w:val="240"/>
          <w:divBdr>
            <w:top w:val="none" w:sz="0" w:space="0" w:color="auto"/>
            <w:left w:val="none" w:sz="0" w:space="0" w:color="auto"/>
            <w:bottom w:val="none" w:sz="0" w:space="0" w:color="auto"/>
            <w:right w:val="none" w:sz="0" w:space="0" w:color="auto"/>
          </w:divBdr>
        </w:div>
        <w:div w:id="1949970086">
          <w:marLeft w:val="0"/>
          <w:marRight w:val="0"/>
          <w:marTop w:val="240"/>
          <w:marBottom w:val="120"/>
          <w:divBdr>
            <w:top w:val="none" w:sz="0" w:space="0" w:color="auto"/>
            <w:left w:val="none" w:sz="0" w:space="0" w:color="auto"/>
            <w:bottom w:val="single" w:sz="12" w:space="0" w:color="000000"/>
            <w:right w:val="none" w:sz="0" w:space="0" w:color="auto"/>
          </w:divBdr>
        </w:div>
        <w:div w:id="926117401">
          <w:marLeft w:val="0"/>
          <w:marRight w:val="0"/>
          <w:marTop w:val="120"/>
          <w:marBottom w:val="240"/>
          <w:divBdr>
            <w:top w:val="none" w:sz="0" w:space="0" w:color="auto"/>
            <w:left w:val="none" w:sz="0" w:space="0" w:color="auto"/>
            <w:bottom w:val="none" w:sz="0" w:space="0" w:color="auto"/>
            <w:right w:val="none" w:sz="0" w:space="0" w:color="auto"/>
          </w:divBdr>
        </w:div>
        <w:div w:id="145632695">
          <w:marLeft w:val="0"/>
          <w:marRight w:val="0"/>
          <w:marTop w:val="240"/>
          <w:marBottom w:val="120"/>
          <w:divBdr>
            <w:top w:val="none" w:sz="0" w:space="0" w:color="auto"/>
            <w:left w:val="none" w:sz="0" w:space="0" w:color="auto"/>
            <w:bottom w:val="single" w:sz="12" w:space="0" w:color="000000"/>
            <w:right w:val="none" w:sz="0" w:space="0" w:color="auto"/>
          </w:divBdr>
        </w:div>
        <w:div w:id="1605729550">
          <w:marLeft w:val="0"/>
          <w:marRight w:val="0"/>
          <w:marTop w:val="120"/>
          <w:marBottom w:val="240"/>
          <w:divBdr>
            <w:top w:val="none" w:sz="0" w:space="0" w:color="auto"/>
            <w:left w:val="none" w:sz="0" w:space="0" w:color="auto"/>
            <w:bottom w:val="none" w:sz="0" w:space="0" w:color="auto"/>
            <w:right w:val="none" w:sz="0" w:space="0" w:color="auto"/>
          </w:divBdr>
        </w:div>
        <w:div w:id="371197025">
          <w:marLeft w:val="0"/>
          <w:marRight w:val="0"/>
          <w:marTop w:val="240"/>
          <w:marBottom w:val="120"/>
          <w:divBdr>
            <w:top w:val="none" w:sz="0" w:space="0" w:color="auto"/>
            <w:left w:val="none" w:sz="0" w:space="0" w:color="auto"/>
            <w:bottom w:val="single" w:sz="12" w:space="0" w:color="000000"/>
            <w:right w:val="none" w:sz="0" w:space="0" w:color="auto"/>
          </w:divBdr>
        </w:div>
        <w:div w:id="127817152">
          <w:marLeft w:val="0"/>
          <w:marRight w:val="0"/>
          <w:marTop w:val="120"/>
          <w:marBottom w:val="240"/>
          <w:divBdr>
            <w:top w:val="none" w:sz="0" w:space="0" w:color="auto"/>
            <w:left w:val="none" w:sz="0" w:space="0" w:color="auto"/>
            <w:bottom w:val="none" w:sz="0" w:space="0" w:color="auto"/>
            <w:right w:val="none" w:sz="0" w:space="0" w:color="auto"/>
          </w:divBdr>
        </w:div>
        <w:div w:id="1140810570">
          <w:marLeft w:val="0"/>
          <w:marRight w:val="0"/>
          <w:marTop w:val="240"/>
          <w:marBottom w:val="120"/>
          <w:divBdr>
            <w:top w:val="none" w:sz="0" w:space="0" w:color="auto"/>
            <w:left w:val="none" w:sz="0" w:space="0" w:color="auto"/>
            <w:bottom w:val="single" w:sz="12" w:space="0" w:color="000000"/>
            <w:right w:val="none" w:sz="0" w:space="0" w:color="auto"/>
          </w:divBdr>
        </w:div>
        <w:div w:id="1148092294">
          <w:marLeft w:val="0"/>
          <w:marRight w:val="0"/>
          <w:marTop w:val="120"/>
          <w:marBottom w:val="240"/>
          <w:divBdr>
            <w:top w:val="none" w:sz="0" w:space="0" w:color="auto"/>
            <w:left w:val="none" w:sz="0" w:space="0" w:color="auto"/>
            <w:bottom w:val="none" w:sz="0" w:space="0" w:color="auto"/>
            <w:right w:val="none" w:sz="0" w:space="0" w:color="auto"/>
          </w:divBdr>
        </w:div>
        <w:div w:id="1689912139">
          <w:marLeft w:val="0"/>
          <w:marRight w:val="0"/>
          <w:marTop w:val="240"/>
          <w:marBottom w:val="120"/>
          <w:divBdr>
            <w:top w:val="none" w:sz="0" w:space="0" w:color="auto"/>
            <w:left w:val="none" w:sz="0" w:space="0" w:color="auto"/>
            <w:bottom w:val="single" w:sz="12" w:space="0" w:color="000000"/>
            <w:right w:val="none" w:sz="0" w:space="0" w:color="auto"/>
          </w:divBdr>
        </w:div>
        <w:div w:id="1759713932">
          <w:marLeft w:val="0"/>
          <w:marRight w:val="0"/>
          <w:marTop w:val="120"/>
          <w:marBottom w:val="240"/>
          <w:divBdr>
            <w:top w:val="none" w:sz="0" w:space="0" w:color="auto"/>
            <w:left w:val="none" w:sz="0" w:space="0" w:color="auto"/>
            <w:bottom w:val="none" w:sz="0" w:space="0" w:color="auto"/>
            <w:right w:val="none" w:sz="0" w:space="0" w:color="auto"/>
          </w:divBdr>
        </w:div>
        <w:div w:id="165023016">
          <w:marLeft w:val="0"/>
          <w:marRight w:val="0"/>
          <w:marTop w:val="240"/>
          <w:marBottom w:val="120"/>
          <w:divBdr>
            <w:top w:val="none" w:sz="0" w:space="0" w:color="auto"/>
            <w:left w:val="none" w:sz="0" w:space="0" w:color="auto"/>
            <w:bottom w:val="single" w:sz="12" w:space="0" w:color="000000"/>
            <w:right w:val="none" w:sz="0" w:space="0" w:color="auto"/>
          </w:divBdr>
        </w:div>
        <w:div w:id="881016106">
          <w:marLeft w:val="0"/>
          <w:marRight w:val="0"/>
          <w:marTop w:val="120"/>
          <w:marBottom w:val="240"/>
          <w:divBdr>
            <w:top w:val="none" w:sz="0" w:space="0" w:color="auto"/>
            <w:left w:val="none" w:sz="0" w:space="0" w:color="auto"/>
            <w:bottom w:val="none" w:sz="0" w:space="0" w:color="auto"/>
            <w:right w:val="none" w:sz="0" w:space="0" w:color="auto"/>
          </w:divBdr>
        </w:div>
        <w:div w:id="543174319">
          <w:marLeft w:val="0"/>
          <w:marRight w:val="0"/>
          <w:marTop w:val="240"/>
          <w:marBottom w:val="120"/>
          <w:divBdr>
            <w:top w:val="none" w:sz="0" w:space="0" w:color="auto"/>
            <w:left w:val="none" w:sz="0" w:space="0" w:color="auto"/>
            <w:bottom w:val="single" w:sz="12" w:space="0" w:color="000000"/>
            <w:right w:val="none" w:sz="0" w:space="0" w:color="auto"/>
          </w:divBdr>
        </w:div>
        <w:div w:id="68813650">
          <w:marLeft w:val="0"/>
          <w:marRight w:val="0"/>
          <w:marTop w:val="120"/>
          <w:marBottom w:val="240"/>
          <w:divBdr>
            <w:top w:val="none" w:sz="0" w:space="0" w:color="auto"/>
            <w:left w:val="none" w:sz="0" w:space="0" w:color="auto"/>
            <w:bottom w:val="none" w:sz="0" w:space="0" w:color="auto"/>
            <w:right w:val="none" w:sz="0" w:space="0" w:color="auto"/>
          </w:divBdr>
        </w:div>
        <w:div w:id="1686322704">
          <w:marLeft w:val="0"/>
          <w:marRight w:val="0"/>
          <w:marTop w:val="240"/>
          <w:marBottom w:val="120"/>
          <w:divBdr>
            <w:top w:val="none" w:sz="0" w:space="0" w:color="auto"/>
            <w:left w:val="none" w:sz="0" w:space="0" w:color="auto"/>
            <w:bottom w:val="single" w:sz="12" w:space="0" w:color="000000"/>
            <w:right w:val="none" w:sz="0" w:space="0" w:color="auto"/>
          </w:divBdr>
        </w:div>
        <w:div w:id="402917384">
          <w:marLeft w:val="0"/>
          <w:marRight w:val="0"/>
          <w:marTop w:val="120"/>
          <w:marBottom w:val="240"/>
          <w:divBdr>
            <w:top w:val="none" w:sz="0" w:space="0" w:color="auto"/>
            <w:left w:val="none" w:sz="0" w:space="0" w:color="auto"/>
            <w:bottom w:val="none" w:sz="0" w:space="0" w:color="auto"/>
            <w:right w:val="none" w:sz="0" w:space="0" w:color="auto"/>
          </w:divBdr>
        </w:div>
        <w:div w:id="843401665">
          <w:marLeft w:val="0"/>
          <w:marRight w:val="0"/>
          <w:marTop w:val="240"/>
          <w:marBottom w:val="120"/>
          <w:divBdr>
            <w:top w:val="none" w:sz="0" w:space="0" w:color="auto"/>
            <w:left w:val="none" w:sz="0" w:space="0" w:color="auto"/>
            <w:bottom w:val="single" w:sz="12" w:space="0" w:color="000000"/>
            <w:right w:val="none" w:sz="0" w:space="0" w:color="auto"/>
          </w:divBdr>
        </w:div>
        <w:div w:id="219639155">
          <w:marLeft w:val="0"/>
          <w:marRight w:val="0"/>
          <w:marTop w:val="120"/>
          <w:marBottom w:val="240"/>
          <w:divBdr>
            <w:top w:val="none" w:sz="0" w:space="0" w:color="auto"/>
            <w:left w:val="none" w:sz="0" w:space="0" w:color="auto"/>
            <w:bottom w:val="none" w:sz="0" w:space="0" w:color="auto"/>
            <w:right w:val="none" w:sz="0" w:space="0" w:color="auto"/>
          </w:divBdr>
        </w:div>
        <w:div w:id="1531256694">
          <w:marLeft w:val="0"/>
          <w:marRight w:val="0"/>
          <w:marTop w:val="0"/>
          <w:marBottom w:val="0"/>
          <w:divBdr>
            <w:top w:val="none" w:sz="0" w:space="0" w:color="auto"/>
            <w:left w:val="none" w:sz="0" w:space="0" w:color="auto"/>
            <w:bottom w:val="none" w:sz="0" w:space="0" w:color="auto"/>
            <w:right w:val="none" w:sz="0" w:space="0" w:color="auto"/>
          </w:divBdr>
          <w:divsChild>
            <w:div w:id="160119204">
              <w:marLeft w:val="0"/>
              <w:marRight w:val="0"/>
              <w:marTop w:val="0"/>
              <w:marBottom w:val="0"/>
              <w:divBdr>
                <w:top w:val="single" w:sz="12" w:space="0" w:color="000000"/>
                <w:left w:val="none" w:sz="0" w:space="0" w:color="auto"/>
                <w:bottom w:val="none" w:sz="0" w:space="0" w:color="auto"/>
                <w:right w:val="none" w:sz="0" w:space="0" w:color="auto"/>
              </w:divBdr>
            </w:div>
          </w:divsChild>
        </w:div>
        <w:div w:id="99881288">
          <w:marLeft w:val="0"/>
          <w:marRight w:val="0"/>
          <w:marTop w:val="0"/>
          <w:marBottom w:val="0"/>
          <w:divBdr>
            <w:top w:val="none" w:sz="0" w:space="0" w:color="auto"/>
            <w:left w:val="none" w:sz="0" w:space="0" w:color="auto"/>
            <w:bottom w:val="none" w:sz="0" w:space="0" w:color="auto"/>
            <w:right w:val="none" w:sz="0" w:space="0" w:color="auto"/>
          </w:divBdr>
          <w:divsChild>
            <w:div w:id="218439782">
              <w:marLeft w:val="0"/>
              <w:marRight w:val="0"/>
              <w:marTop w:val="0"/>
              <w:marBottom w:val="0"/>
              <w:divBdr>
                <w:top w:val="single" w:sz="12" w:space="0" w:color="000000"/>
                <w:left w:val="none" w:sz="0" w:space="0" w:color="auto"/>
                <w:bottom w:val="none" w:sz="0" w:space="0" w:color="auto"/>
                <w:right w:val="none" w:sz="0" w:space="0" w:color="auto"/>
              </w:divBdr>
            </w:div>
          </w:divsChild>
        </w:div>
        <w:div w:id="251207603">
          <w:marLeft w:val="0"/>
          <w:marRight w:val="0"/>
          <w:marTop w:val="240"/>
          <w:marBottom w:val="120"/>
          <w:divBdr>
            <w:top w:val="none" w:sz="0" w:space="0" w:color="auto"/>
            <w:left w:val="none" w:sz="0" w:space="0" w:color="auto"/>
            <w:bottom w:val="single" w:sz="12" w:space="0" w:color="000000"/>
            <w:right w:val="none" w:sz="0" w:space="0" w:color="auto"/>
          </w:divBdr>
        </w:div>
        <w:div w:id="664892114">
          <w:marLeft w:val="0"/>
          <w:marRight w:val="0"/>
          <w:marTop w:val="120"/>
          <w:marBottom w:val="240"/>
          <w:divBdr>
            <w:top w:val="none" w:sz="0" w:space="0" w:color="auto"/>
            <w:left w:val="none" w:sz="0" w:space="0" w:color="auto"/>
            <w:bottom w:val="none" w:sz="0" w:space="0" w:color="auto"/>
            <w:right w:val="none" w:sz="0" w:space="0" w:color="auto"/>
          </w:divBdr>
        </w:div>
        <w:div w:id="705495077">
          <w:marLeft w:val="0"/>
          <w:marRight w:val="0"/>
          <w:marTop w:val="240"/>
          <w:marBottom w:val="120"/>
          <w:divBdr>
            <w:top w:val="none" w:sz="0" w:space="0" w:color="auto"/>
            <w:left w:val="none" w:sz="0" w:space="0" w:color="auto"/>
            <w:bottom w:val="single" w:sz="12" w:space="0" w:color="000000"/>
            <w:right w:val="none" w:sz="0" w:space="0" w:color="auto"/>
          </w:divBdr>
        </w:div>
        <w:div w:id="386874494">
          <w:marLeft w:val="0"/>
          <w:marRight w:val="0"/>
          <w:marTop w:val="120"/>
          <w:marBottom w:val="240"/>
          <w:divBdr>
            <w:top w:val="none" w:sz="0" w:space="0" w:color="auto"/>
            <w:left w:val="none" w:sz="0" w:space="0" w:color="auto"/>
            <w:bottom w:val="none" w:sz="0" w:space="0" w:color="auto"/>
            <w:right w:val="none" w:sz="0" w:space="0" w:color="auto"/>
          </w:divBdr>
        </w:div>
        <w:div w:id="1403261250">
          <w:marLeft w:val="0"/>
          <w:marRight w:val="0"/>
          <w:marTop w:val="240"/>
          <w:marBottom w:val="120"/>
          <w:divBdr>
            <w:top w:val="none" w:sz="0" w:space="0" w:color="auto"/>
            <w:left w:val="none" w:sz="0" w:space="0" w:color="auto"/>
            <w:bottom w:val="single" w:sz="12" w:space="0" w:color="000000"/>
            <w:right w:val="none" w:sz="0" w:space="0" w:color="auto"/>
          </w:divBdr>
        </w:div>
        <w:div w:id="598560515">
          <w:marLeft w:val="0"/>
          <w:marRight w:val="0"/>
          <w:marTop w:val="120"/>
          <w:marBottom w:val="240"/>
          <w:divBdr>
            <w:top w:val="none" w:sz="0" w:space="0" w:color="auto"/>
            <w:left w:val="none" w:sz="0" w:space="0" w:color="auto"/>
            <w:bottom w:val="none" w:sz="0" w:space="0" w:color="auto"/>
            <w:right w:val="none" w:sz="0" w:space="0" w:color="auto"/>
          </w:divBdr>
        </w:div>
        <w:div w:id="1397900891">
          <w:marLeft w:val="0"/>
          <w:marRight w:val="0"/>
          <w:marTop w:val="240"/>
          <w:marBottom w:val="120"/>
          <w:divBdr>
            <w:top w:val="none" w:sz="0" w:space="0" w:color="auto"/>
            <w:left w:val="none" w:sz="0" w:space="0" w:color="auto"/>
            <w:bottom w:val="single" w:sz="12" w:space="0" w:color="000000"/>
            <w:right w:val="none" w:sz="0" w:space="0" w:color="auto"/>
          </w:divBdr>
        </w:div>
        <w:div w:id="483159293">
          <w:marLeft w:val="0"/>
          <w:marRight w:val="0"/>
          <w:marTop w:val="120"/>
          <w:marBottom w:val="240"/>
          <w:divBdr>
            <w:top w:val="none" w:sz="0" w:space="0" w:color="auto"/>
            <w:left w:val="none" w:sz="0" w:space="0" w:color="auto"/>
            <w:bottom w:val="none" w:sz="0" w:space="0" w:color="auto"/>
            <w:right w:val="none" w:sz="0" w:space="0" w:color="auto"/>
          </w:divBdr>
        </w:div>
        <w:div w:id="1810241031">
          <w:marLeft w:val="0"/>
          <w:marRight w:val="0"/>
          <w:marTop w:val="240"/>
          <w:marBottom w:val="120"/>
          <w:divBdr>
            <w:top w:val="none" w:sz="0" w:space="0" w:color="auto"/>
            <w:left w:val="none" w:sz="0" w:space="0" w:color="auto"/>
            <w:bottom w:val="single" w:sz="12" w:space="0" w:color="000000"/>
            <w:right w:val="none" w:sz="0" w:space="0" w:color="auto"/>
          </w:divBdr>
        </w:div>
        <w:div w:id="638418628">
          <w:marLeft w:val="0"/>
          <w:marRight w:val="0"/>
          <w:marTop w:val="120"/>
          <w:marBottom w:val="240"/>
          <w:divBdr>
            <w:top w:val="none" w:sz="0" w:space="0" w:color="auto"/>
            <w:left w:val="none" w:sz="0" w:space="0" w:color="auto"/>
            <w:bottom w:val="none" w:sz="0" w:space="0" w:color="auto"/>
            <w:right w:val="none" w:sz="0" w:space="0" w:color="auto"/>
          </w:divBdr>
        </w:div>
        <w:div w:id="1140457486">
          <w:marLeft w:val="0"/>
          <w:marRight w:val="0"/>
          <w:marTop w:val="240"/>
          <w:marBottom w:val="120"/>
          <w:divBdr>
            <w:top w:val="none" w:sz="0" w:space="0" w:color="auto"/>
            <w:left w:val="none" w:sz="0" w:space="0" w:color="auto"/>
            <w:bottom w:val="single" w:sz="12" w:space="0" w:color="000000"/>
            <w:right w:val="none" w:sz="0" w:space="0" w:color="auto"/>
          </w:divBdr>
        </w:div>
        <w:div w:id="518548752">
          <w:marLeft w:val="0"/>
          <w:marRight w:val="0"/>
          <w:marTop w:val="120"/>
          <w:marBottom w:val="240"/>
          <w:divBdr>
            <w:top w:val="none" w:sz="0" w:space="0" w:color="auto"/>
            <w:left w:val="none" w:sz="0" w:space="0" w:color="auto"/>
            <w:bottom w:val="none" w:sz="0" w:space="0" w:color="auto"/>
            <w:right w:val="none" w:sz="0" w:space="0" w:color="auto"/>
          </w:divBdr>
        </w:div>
        <w:div w:id="745955829">
          <w:marLeft w:val="0"/>
          <w:marRight w:val="0"/>
          <w:marTop w:val="240"/>
          <w:marBottom w:val="120"/>
          <w:divBdr>
            <w:top w:val="none" w:sz="0" w:space="0" w:color="auto"/>
            <w:left w:val="none" w:sz="0" w:space="0" w:color="auto"/>
            <w:bottom w:val="single" w:sz="12" w:space="0" w:color="000000"/>
            <w:right w:val="none" w:sz="0" w:space="0" w:color="auto"/>
          </w:divBdr>
        </w:div>
        <w:div w:id="743338413">
          <w:marLeft w:val="0"/>
          <w:marRight w:val="0"/>
          <w:marTop w:val="120"/>
          <w:marBottom w:val="240"/>
          <w:divBdr>
            <w:top w:val="none" w:sz="0" w:space="0" w:color="auto"/>
            <w:left w:val="none" w:sz="0" w:space="0" w:color="auto"/>
            <w:bottom w:val="none" w:sz="0" w:space="0" w:color="auto"/>
            <w:right w:val="none" w:sz="0" w:space="0" w:color="auto"/>
          </w:divBdr>
        </w:div>
        <w:div w:id="403571452">
          <w:marLeft w:val="0"/>
          <w:marRight w:val="0"/>
          <w:marTop w:val="240"/>
          <w:marBottom w:val="120"/>
          <w:divBdr>
            <w:top w:val="none" w:sz="0" w:space="0" w:color="auto"/>
            <w:left w:val="none" w:sz="0" w:space="0" w:color="auto"/>
            <w:bottom w:val="single" w:sz="12" w:space="0" w:color="000000"/>
            <w:right w:val="none" w:sz="0" w:space="0" w:color="auto"/>
          </w:divBdr>
        </w:div>
        <w:div w:id="2145467863">
          <w:marLeft w:val="0"/>
          <w:marRight w:val="0"/>
          <w:marTop w:val="120"/>
          <w:marBottom w:val="240"/>
          <w:divBdr>
            <w:top w:val="none" w:sz="0" w:space="0" w:color="auto"/>
            <w:left w:val="none" w:sz="0" w:space="0" w:color="auto"/>
            <w:bottom w:val="none" w:sz="0" w:space="0" w:color="auto"/>
            <w:right w:val="none" w:sz="0" w:space="0" w:color="auto"/>
          </w:divBdr>
        </w:div>
        <w:div w:id="1822042883">
          <w:marLeft w:val="0"/>
          <w:marRight w:val="0"/>
          <w:marTop w:val="240"/>
          <w:marBottom w:val="120"/>
          <w:divBdr>
            <w:top w:val="none" w:sz="0" w:space="0" w:color="auto"/>
            <w:left w:val="none" w:sz="0" w:space="0" w:color="auto"/>
            <w:bottom w:val="single" w:sz="12" w:space="0" w:color="000000"/>
            <w:right w:val="none" w:sz="0" w:space="0" w:color="auto"/>
          </w:divBdr>
        </w:div>
        <w:div w:id="851337125">
          <w:marLeft w:val="0"/>
          <w:marRight w:val="0"/>
          <w:marTop w:val="120"/>
          <w:marBottom w:val="240"/>
          <w:divBdr>
            <w:top w:val="none" w:sz="0" w:space="0" w:color="auto"/>
            <w:left w:val="none" w:sz="0" w:space="0" w:color="auto"/>
            <w:bottom w:val="none" w:sz="0" w:space="0" w:color="auto"/>
            <w:right w:val="none" w:sz="0" w:space="0" w:color="auto"/>
          </w:divBdr>
        </w:div>
        <w:div w:id="1492480014">
          <w:marLeft w:val="0"/>
          <w:marRight w:val="0"/>
          <w:marTop w:val="240"/>
          <w:marBottom w:val="120"/>
          <w:divBdr>
            <w:top w:val="none" w:sz="0" w:space="0" w:color="auto"/>
            <w:left w:val="none" w:sz="0" w:space="0" w:color="auto"/>
            <w:bottom w:val="single" w:sz="12" w:space="0" w:color="000000"/>
            <w:right w:val="none" w:sz="0" w:space="0" w:color="auto"/>
          </w:divBdr>
        </w:div>
        <w:div w:id="1893879014">
          <w:marLeft w:val="0"/>
          <w:marRight w:val="0"/>
          <w:marTop w:val="120"/>
          <w:marBottom w:val="240"/>
          <w:divBdr>
            <w:top w:val="none" w:sz="0" w:space="0" w:color="auto"/>
            <w:left w:val="none" w:sz="0" w:space="0" w:color="auto"/>
            <w:bottom w:val="none" w:sz="0" w:space="0" w:color="auto"/>
            <w:right w:val="none" w:sz="0" w:space="0" w:color="auto"/>
          </w:divBdr>
        </w:div>
        <w:div w:id="1156532021">
          <w:marLeft w:val="0"/>
          <w:marRight w:val="0"/>
          <w:marTop w:val="240"/>
          <w:marBottom w:val="120"/>
          <w:divBdr>
            <w:top w:val="none" w:sz="0" w:space="0" w:color="auto"/>
            <w:left w:val="none" w:sz="0" w:space="0" w:color="auto"/>
            <w:bottom w:val="single" w:sz="12" w:space="0" w:color="000000"/>
            <w:right w:val="none" w:sz="0" w:space="0" w:color="auto"/>
          </w:divBdr>
        </w:div>
        <w:div w:id="1821194964">
          <w:marLeft w:val="0"/>
          <w:marRight w:val="0"/>
          <w:marTop w:val="120"/>
          <w:marBottom w:val="240"/>
          <w:divBdr>
            <w:top w:val="none" w:sz="0" w:space="0" w:color="auto"/>
            <w:left w:val="none" w:sz="0" w:space="0" w:color="auto"/>
            <w:bottom w:val="none" w:sz="0" w:space="0" w:color="auto"/>
            <w:right w:val="none" w:sz="0" w:space="0" w:color="auto"/>
          </w:divBdr>
        </w:div>
        <w:div w:id="2029483727">
          <w:marLeft w:val="0"/>
          <w:marRight w:val="0"/>
          <w:marTop w:val="240"/>
          <w:marBottom w:val="120"/>
          <w:divBdr>
            <w:top w:val="none" w:sz="0" w:space="0" w:color="auto"/>
            <w:left w:val="none" w:sz="0" w:space="0" w:color="auto"/>
            <w:bottom w:val="single" w:sz="12" w:space="0" w:color="000000"/>
            <w:right w:val="none" w:sz="0" w:space="0" w:color="auto"/>
          </w:divBdr>
        </w:div>
        <w:div w:id="372535857">
          <w:marLeft w:val="0"/>
          <w:marRight w:val="0"/>
          <w:marTop w:val="120"/>
          <w:marBottom w:val="240"/>
          <w:divBdr>
            <w:top w:val="none" w:sz="0" w:space="0" w:color="auto"/>
            <w:left w:val="none" w:sz="0" w:space="0" w:color="auto"/>
            <w:bottom w:val="none" w:sz="0" w:space="0" w:color="auto"/>
            <w:right w:val="none" w:sz="0" w:space="0" w:color="auto"/>
          </w:divBdr>
        </w:div>
        <w:div w:id="732191667">
          <w:marLeft w:val="0"/>
          <w:marRight w:val="0"/>
          <w:marTop w:val="240"/>
          <w:marBottom w:val="120"/>
          <w:divBdr>
            <w:top w:val="none" w:sz="0" w:space="0" w:color="auto"/>
            <w:left w:val="none" w:sz="0" w:space="0" w:color="auto"/>
            <w:bottom w:val="single" w:sz="12" w:space="0" w:color="000000"/>
            <w:right w:val="none" w:sz="0" w:space="0" w:color="auto"/>
          </w:divBdr>
        </w:div>
        <w:div w:id="2095588186">
          <w:marLeft w:val="0"/>
          <w:marRight w:val="0"/>
          <w:marTop w:val="120"/>
          <w:marBottom w:val="240"/>
          <w:divBdr>
            <w:top w:val="none" w:sz="0" w:space="0" w:color="auto"/>
            <w:left w:val="none" w:sz="0" w:space="0" w:color="auto"/>
            <w:bottom w:val="none" w:sz="0" w:space="0" w:color="auto"/>
            <w:right w:val="none" w:sz="0" w:space="0" w:color="auto"/>
          </w:divBdr>
        </w:div>
        <w:div w:id="1113286162">
          <w:marLeft w:val="0"/>
          <w:marRight w:val="0"/>
          <w:marTop w:val="240"/>
          <w:marBottom w:val="120"/>
          <w:divBdr>
            <w:top w:val="none" w:sz="0" w:space="0" w:color="auto"/>
            <w:left w:val="none" w:sz="0" w:space="0" w:color="auto"/>
            <w:bottom w:val="single" w:sz="12" w:space="0" w:color="000000"/>
            <w:right w:val="none" w:sz="0" w:space="0" w:color="auto"/>
          </w:divBdr>
        </w:div>
        <w:div w:id="1535390325">
          <w:marLeft w:val="0"/>
          <w:marRight w:val="0"/>
          <w:marTop w:val="120"/>
          <w:marBottom w:val="240"/>
          <w:divBdr>
            <w:top w:val="none" w:sz="0" w:space="0" w:color="auto"/>
            <w:left w:val="none" w:sz="0" w:space="0" w:color="auto"/>
            <w:bottom w:val="none" w:sz="0" w:space="0" w:color="auto"/>
            <w:right w:val="none" w:sz="0" w:space="0" w:color="auto"/>
          </w:divBdr>
        </w:div>
        <w:div w:id="1869954175">
          <w:marLeft w:val="0"/>
          <w:marRight w:val="0"/>
          <w:marTop w:val="0"/>
          <w:marBottom w:val="60"/>
          <w:divBdr>
            <w:top w:val="none" w:sz="0" w:space="0" w:color="auto"/>
            <w:left w:val="none" w:sz="0" w:space="0" w:color="auto"/>
            <w:bottom w:val="none" w:sz="0" w:space="0" w:color="auto"/>
            <w:right w:val="none" w:sz="0" w:space="0" w:color="auto"/>
          </w:divBdr>
          <w:divsChild>
            <w:div w:id="1144736833">
              <w:marLeft w:val="0"/>
              <w:marRight w:val="0"/>
              <w:marTop w:val="0"/>
              <w:marBottom w:val="0"/>
              <w:divBdr>
                <w:top w:val="single" w:sz="12" w:space="0" w:color="000000"/>
                <w:left w:val="none" w:sz="0" w:space="0" w:color="auto"/>
                <w:bottom w:val="none" w:sz="0" w:space="0" w:color="auto"/>
                <w:right w:val="none" w:sz="0" w:space="0" w:color="auto"/>
              </w:divBdr>
            </w:div>
          </w:divsChild>
        </w:div>
        <w:div w:id="2074547369">
          <w:marLeft w:val="0"/>
          <w:marRight w:val="0"/>
          <w:marTop w:val="0"/>
          <w:marBottom w:val="60"/>
          <w:divBdr>
            <w:top w:val="none" w:sz="0" w:space="0" w:color="auto"/>
            <w:left w:val="none" w:sz="0" w:space="0" w:color="auto"/>
            <w:bottom w:val="none" w:sz="0" w:space="0" w:color="auto"/>
            <w:right w:val="none" w:sz="0" w:space="0" w:color="auto"/>
          </w:divBdr>
          <w:divsChild>
            <w:div w:id="1844735687">
              <w:marLeft w:val="0"/>
              <w:marRight w:val="0"/>
              <w:marTop w:val="0"/>
              <w:marBottom w:val="0"/>
              <w:divBdr>
                <w:top w:val="single" w:sz="12" w:space="0" w:color="000000"/>
                <w:left w:val="none" w:sz="0" w:space="0" w:color="auto"/>
                <w:bottom w:val="none" w:sz="0" w:space="0" w:color="auto"/>
                <w:right w:val="none" w:sz="0" w:space="0" w:color="auto"/>
              </w:divBdr>
            </w:div>
          </w:divsChild>
        </w:div>
        <w:div w:id="645277662">
          <w:marLeft w:val="0"/>
          <w:marRight w:val="0"/>
          <w:marTop w:val="240"/>
          <w:marBottom w:val="120"/>
          <w:divBdr>
            <w:top w:val="none" w:sz="0" w:space="0" w:color="auto"/>
            <w:left w:val="none" w:sz="0" w:space="0" w:color="auto"/>
            <w:bottom w:val="single" w:sz="12" w:space="0" w:color="000000"/>
            <w:right w:val="none" w:sz="0" w:space="0" w:color="auto"/>
          </w:divBdr>
        </w:div>
        <w:div w:id="1627812286">
          <w:marLeft w:val="0"/>
          <w:marRight w:val="0"/>
          <w:marTop w:val="240"/>
          <w:marBottom w:val="120"/>
          <w:divBdr>
            <w:top w:val="none" w:sz="0" w:space="0" w:color="auto"/>
            <w:left w:val="none" w:sz="0" w:space="0" w:color="auto"/>
            <w:bottom w:val="single" w:sz="12" w:space="0" w:color="000000"/>
            <w:right w:val="none" w:sz="0" w:space="0" w:color="auto"/>
          </w:divBdr>
        </w:div>
        <w:div w:id="166289414">
          <w:marLeft w:val="0"/>
          <w:marRight w:val="0"/>
          <w:marTop w:val="240"/>
          <w:marBottom w:val="120"/>
          <w:divBdr>
            <w:top w:val="none" w:sz="0" w:space="0" w:color="auto"/>
            <w:left w:val="none" w:sz="0" w:space="0" w:color="auto"/>
            <w:bottom w:val="single" w:sz="12" w:space="0" w:color="000000"/>
            <w:right w:val="none" w:sz="0" w:space="0" w:color="auto"/>
          </w:divBdr>
        </w:div>
        <w:div w:id="248588658">
          <w:marLeft w:val="0"/>
          <w:marRight w:val="0"/>
          <w:marTop w:val="240"/>
          <w:marBottom w:val="120"/>
          <w:divBdr>
            <w:top w:val="none" w:sz="0" w:space="0" w:color="auto"/>
            <w:left w:val="none" w:sz="0" w:space="0" w:color="auto"/>
            <w:bottom w:val="single" w:sz="12" w:space="0" w:color="000000"/>
            <w:right w:val="none" w:sz="0" w:space="0" w:color="auto"/>
          </w:divBdr>
        </w:div>
        <w:div w:id="1970012628">
          <w:marLeft w:val="0"/>
          <w:marRight w:val="0"/>
          <w:marTop w:val="240"/>
          <w:marBottom w:val="120"/>
          <w:divBdr>
            <w:top w:val="none" w:sz="0" w:space="0" w:color="auto"/>
            <w:left w:val="none" w:sz="0" w:space="0" w:color="auto"/>
            <w:bottom w:val="single" w:sz="12" w:space="0" w:color="000000"/>
            <w:right w:val="none" w:sz="0" w:space="0" w:color="auto"/>
          </w:divBdr>
        </w:div>
        <w:div w:id="910121168">
          <w:marLeft w:val="0"/>
          <w:marRight w:val="0"/>
          <w:marTop w:val="240"/>
          <w:marBottom w:val="120"/>
          <w:divBdr>
            <w:top w:val="none" w:sz="0" w:space="0" w:color="auto"/>
            <w:left w:val="none" w:sz="0" w:space="0" w:color="auto"/>
            <w:bottom w:val="single" w:sz="12" w:space="0" w:color="000000"/>
            <w:right w:val="none" w:sz="0" w:space="0" w:color="auto"/>
          </w:divBdr>
        </w:div>
        <w:div w:id="1431270361">
          <w:marLeft w:val="0"/>
          <w:marRight w:val="0"/>
          <w:marTop w:val="240"/>
          <w:marBottom w:val="120"/>
          <w:divBdr>
            <w:top w:val="none" w:sz="0" w:space="0" w:color="auto"/>
            <w:left w:val="none" w:sz="0" w:space="0" w:color="auto"/>
            <w:bottom w:val="single" w:sz="12" w:space="0" w:color="000000"/>
            <w:right w:val="none" w:sz="0" w:space="0" w:color="auto"/>
          </w:divBdr>
        </w:div>
        <w:div w:id="97869400">
          <w:marLeft w:val="0"/>
          <w:marRight w:val="0"/>
          <w:marTop w:val="240"/>
          <w:marBottom w:val="120"/>
          <w:divBdr>
            <w:top w:val="none" w:sz="0" w:space="0" w:color="auto"/>
            <w:left w:val="none" w:sz="0" w:space="0" w:color="auto"/>
            <w:bottom w:val="single" w:sz="12" w:space="0" w:color="000000"/>
            <w:right w:val="none" w:sz="0" w:space="0" w:color="auto"/>
          </w:divBdr>
        </w:div>
        <w:div w:id="160661322">
          <w:marLeft w:val="0"/>
          <w:marRight w:val="0"/>
          <w:marTop w:val="120"/>
          <w:marBottom w:val="240"/>
          <w:divBdr>
            <w:top w:val="none" w:sz="0" w:space="0" w:color="auto"/>
            <w:left w:val="none" w:sz="0" w:space="0" w:color="auto"/>
            <w:bottom w:val="none" w:sz="0" w:space="0" w:color="auto"/>
            <w:right w:val="none" w:sz="0" w:space="0" w:color="auto"/>
          </w:divBdr>
        </w:div>
        <w:div w:id="1836457772">
          <w:marLeft w:val="0"/>
          <w:marRight w:val="0"/>
          <w:marTop w:val="240"/>
          <w:marBottom w:val="120"/>
          <w:divBdr>
            <w:top w:val="none" w:sz="0" w:space="0" w:color="auto"/>
            <w:left w:val="none" w:sz="0" w:space="0" w:color="auto"/>
            <w:bottom w:val="single" w:sz="12" w:space="0" w:color="000000"/>
            <w:right w:val="none" w:sz="0" w:space="0" w:color="auto"/>
          </w:divBdr>
        </w:div>
        <w:div w:id="2107071335">
          <w:marLeft w:val="0"/>
          <w:marRight w:val="0"/>
          <w:marTop w:val="120"/>
          <w:marBottom w:val="240"/>
          <w:divBdr>
            <w:top w:val="none" w:sz="0" w:space="0" w:color="auto"/>
            <w:left w:val="none" w:sz="0" w:space="0" w:color="auto"/>
            <w:bottom w:val="none" w:sz="0" w:space="0" w:color="auto"/>
            <w:right w:val="none" w:sz="0" w:space="0" w:color="auto"/>
          </w:divBdr>
        </w:div>
        <w:div w:id="1045176854">
          <w:marLeft w:val="0"/>
          <w:marRight w:val="0"/>
          <w:marTop w:val="240"/>
          <w:marBottom w:val="120"/>
          <w:divBdr>
            <w:top w:val="none" w:sz="0" w:space="0" w:color="auto"/>
            <w:left w:val="none" w:sz="0" w:space="0" w:color="auto"/>
            <w:bottom w:val="single" w:sz="12" w:space="0" w:color="000000"/>
            <w:right w:val="none" w:sz="0" w:space="0" w:color="auto"/>
          </w:divBdr>
        </w:div>
        <w:div w:id="1054697256">
          <w:marLeft w:val="0"/>
          <w:marRight w:val="0"/>
          <w:marTop w:val="120"/>
          <w:marBottom w:val="240"/>
          <w:divBdr>
            <w:top w:val="none" w:sz="0" w:space="0" w:color="auto"/>
            <w:left w:val="none" w:sz="0" w:space="0" w:color="auto"/>
            <w:bottom w:val="none" w:sz="0" w:space="0" w:color="auto"/>
            <w:right w:val="none" w:sz="0" w:space="0" w:color="auto"/>
          </w:divBdr>
        </w:div>
        <w:div w:id="592781196">
          <w:marLeft w:val="0"/>
          <w:marRight w:val="0"/>
          <w:marTop w:val="240"/>
          <w:marBottom w:val="120"/>
          <w:divBdr>
            <w:top w:val="none" w:sz="0" w:space="0" w:color="auto"/>
            <w:left w:val="none" w:sz="0" w:space="0" w:color="auto"/>
            <w:bottom w:val="single" w:sz="12" w:space="0" w:color="000000"/>
            <w:right w:val="none" w:sz="0" w:space="0" w:color="auto"/>
          </w:divBdr>
        </w:div>
        <w:div w:id="1140997897">
          <w:marLeft w:val="0"/>
          <w:marRight w:val="0"/>
          <w:marTop w:val="120"/>
          <w:marBottom w:val="240"/>
          <w:divBdr>
            <w:top w:val="none" w:sz="0" w:space="0" w:color="auto"/>
            <w:left w:val="none" w:sz="0" w:space="0" w:color="auto"/>
            <w:bottom w:val="none" w:sz="0" w:space="0" w:color="auto"/>
            <w:right w:val="none" w:sz="0" w:space="0" w:color="auto"/>
          </w:divBdr>
        </w:div>
        <w:div w:id="1595280821">
          <w:marLeft w:val="0"/>
          <w:marRight w:val="0"/>
          <w:marTop w:val="240"/>
          <w:marBottom w:val="120"/>
          <w:divBdr>
            <w:top w:val="none" w:sz="0" w:space="0" w:color="auto"/>
            <w:left w:val="none" w:sz="0" w:space="0" w:color="auto"/>
            <w:bottom w:val="single" w:sz="12" w:space="0" w:color="000000"/>
            <w:right w:val="none" w:sz="0" w:space="0" w:color="auto"/>
          </w:divBdr>
        </w:div>
        <w:div w:id="1849253865">
          <w:marLeft w:val="0"/>
          <w:marRight w:val="0"/>
          <w:marTop w:val="120"/>
          <w:marBottom w:val="240"/>
          <w:divBdr>
            <w:top w:val="none" w:sz="0" w:space="0" w:color="auto"/>
            <w:left w:val="none" w:sz="0" w:space="0" w:color="auto"/>
            <w:bottom w:val="none" w:sz="0" w:space="0" w:color="auto"/>
            <w:right w:val="none" w:sz="0" w:space="0" w:color="auto"/>
          </w:divBdr>
        </w:div>
        <w:div w:id="334501381">
          <w:marLeft w:val="0"/>
          <w:marRight w:val="0"/>
          <w:marTop w:val="240"/>
          <w:marBottom w:val="120"/>
          <w:divBdr>
            <w:top w:val="none" w:sz="0" w:space="0" w:color="auto"/>
            <w:left w:val="none" w:sz="0" w:space="0" w:color="auto"/>
            <w:bottom w:val="single" w:sz="12" w:space="0" w:color="000000"/>
            <w:right w:val="none" w:sz="0" w:space="0" w:color="auto"/>
          </w:divBdr>
        </w:div>
        <w:div w:id="1219707983">
          <w:marLeft w:val="0"/>
          <w:marRight w:val="0"/>
          <w:marTop w:val="240"/>
          <w:marBottom w:val="120"/>
          <w:divBdr>
            <w:top w:val="none" w:sz="0" w:space="0" w:color="auto"/>
            <w:left w:val="none" w:sz="0" w:space="0" w:color="auto"/>
            <w:bottom w:val="single" w:sz="12" w:space="0" w:color="000000"/>
            <w:right w:val="none" w:sz="0" w:space="0" w:color="auto"/>
          </w:divBdr>
        </w:div>
        <w:div w:id="886571061">
          <w:marLeft w:val="0"/>
          <w:marRight w:val="0"/>
          <w:marTop w:val="240"/>
          <w:marBottom w:val="120"/>
          <w:divBdr>
            <w:top w:val="none" w:sz="0" w:space="0" w:color="auto"/>
            <w:left w:val="none" w:sz="0" w:space="0" w:color="auto"/>
            <w:bottom w:val="single" w:sz="12" w:space="0" w:color="000000"/>
            <w:right w:val="none" w:sz="0" w:space="0" w:color="auto"/>
          </w:divBdr>
        </w:div>
        <w:div w:id="1046032391">
          <w:marLeft w:val="0"/>
          <w:marRight w:val="0"/>
          <w:marTop w:val="240"/>
          <w:marBottom w:val="120"/>
          <w:divBdr>
            <w:top w:val="none" w:sz="0" w:space="0" w:color="auto"/>
            <w:left w:val="none" w:sz="0" w:space="0" w:color="auto"/>
            <w:bottom w:val="single" w:sz="12" w:space="0" w:color="000000"/>
            <w:right w:val="none" w:sz="0" w:space="0" w:color="auto"/>
          </w:divBdr>
        </w:div>
        <w:div w:id="994574721">
          <w:marLeft w:val="0"/>
          <w:marRight w:val="0"/>
          <w:marTop w:val="240"/>
          <w:marBottom w:val="120"/>
          <w:divBdr>
            <w:top w:val="none" w:sz="0" w:space="0" w:color="auto"/>
            <w:left w:val="none" w:sz="0" w:space="0" w:color="auto"/>
            <w:bottom w:val="single" w:sz="12" w:space="0" w:color="000000"/>
            <w:right w:val="none" w:sz="0" w:space="0" w:color="auto"/>
          </w:divBdr>
        </w:div>
        <w:div w:id="338191465">
          <w:marLeft w:val="0"/>
          <w:marRight w:val="0"/>
          <w:marTop w:val="240"/>
          <w:marBottom w:val="120"/>
          <w:divBdr>
            <w:top w:val="none" w:sz="0" w:space="0" w:color="auto"/>
            <w:left w:val="none" w:sz="0" w:space="0" w:color="auto"/>
            <w:bottom w:val="single" w:sz="12" w:space="0" w:color="000000"/>
            <w:right w:val="none" w:sz="0" w:space="0" w:color="auto"/>
          </w:divBdr>
        </w:div>
        <w:div w:id="619066311">
          <w:marLeft w:val="0"/>
          <w:marRight w:val="0"/>
          <w:marTop w:val="0"/>
          <w:marBottom w:val="0"/>
          <w:divBdr>
            <w:top w:val="none" w:sz="0" w:space="0" w:color="auto"/>
            <w:left w:val="none" w:sz="0" w:space="0" w:color="auto"/>
            <w:bottom w:val="none" w:sz="0" w:space="0" w:color="auto"/>
            <w:right w:val="none" w:sz="0" w:space="0" w:color="auto"/>
          </w:divBdr>
          <w:divsChild>
            <w:div w:id="1013268575">
              <w:marLeft w:val="0"/>
              <w:marRight w:val="0"/>
              <w:marTop w:val="0"/>
              <w:marBottom w:val="0"/>
              <w:divBdr>
                <w:top w:val="single" w:sz="12" w:space="0" w:color="000000"/>
                <w:left w:val="none" w:sz="0" w:space="0" w:color="auto"/>
                <w:bottom w:val="none" w:sz="0" w:space="0" w:color="auto"/>
                <w:right w:val="none" w:sz="0" w:space="0" w:color="auto"/>
              </w:divBdr>
            </w:div>
          </w:divsChild>
        </w:div>
        <w:div w:id="2076539108">
          <w:marLeft w:val="0"/>
          <w:marRight w:val="0"/>
          <w:marTop w:val="240"/>
          <w:marBottom w:val="120"/>
          <w:divBdr>
            <w:top w:val="none" w:sz="0" w:space="0" w:color="auto"/>
            <w:left w:val="none" w:sz="0" w:space="0" w:color="auto"/>
            <w:bottom w:val="single" w:sz="12" w:space="0" w:color="000000"/>
            <w:right w:val="none" w:sz="0" w:space="0" w:color="auto"/>
          </w:divBdr>
        </w:div>
        <w:div w:id="370493761">
          <w:marLeft w:val="0"/>
          <w:marRight w:val="0"/>
          <w:marTop w:val="0"/>
          <w:marBottom w:val="0"/>
          <w:divBdr>
            <w:top w:val="none" w:sz="0" w:space="0" w:color="auto"/>
            <w:left w:val="none" w:sz="0" w:space="0" w:color="auto"/>
            <w:bottom w:val="none" w:sz="0" w:space="0" w:color="auto"/>
            <w:right w:val="none" w:sz="0" w:space="0" w:color="auto"/>
          </w:divBdr>
          <w:divsChild>
            <w:div w:id="422799084">
              <w:marLeft w:val="0"/>
              <w:marRight w:val="0"/>
              <w:marTop w:val="0"/>
              <w:marBottom w:val="0"/>
              <w:divBdr>
                <w:top w:val="single" w:sz="12" w:space="0" w:color="000000"/>
                <w:left w:val="none" w:sz="0" w:space="0" w:color="auto"/>
                <w:bottom w:val="none" w:sz="0" w:space="0" w:color="auto"/>
                <w:right w:val="none" w:sz="0" w:space="0" w:color="auto"/>
              </w:divBdr>
            </w:div>
          </w:divsChild>
        </w:div>
        <w:div w:id="159010785">
          <w:marLeft w:val="0"/>
          <w:marRight w:val="0"/>
          <w:marTop w:val="240"/>
          <w:marBottom w:val="120"/>
          <w:divBdr>
            <w:top w:val="none" w:sz="0" w:space="0" w:color="auto"/>
            <w:left w:val="none" w:sz="0" w:space="0" w:color="auto"/>
            <w:bottom w:val="single" w:sz="12" w:space="0" w:color="000000"/>
            <w:right w:val="none" w:sz="0" w:space="0" w:color="auto"/>
          </w:divBdr>
        </w:div>
      </w:divsChild>
    </w:div>
    <w:div w:id="2085181236">
      <w:marLeft w:val="0"/>
      <w:marRight w:val="0"/>
      <w:marTop w:val="0"/>
      <w:marBottom w:val="0"/>
      <w:divBdr>
        <w:top w:val="none" w:sz="0" w:space="0" w:color="auto"/>
        <w:left w:val="none" w:sz="0" w:space="0" w:color="auto"/>
        <w:bottom w:val="none" w:sz="0" w:space="0" w:color="auto"/>
        <w:right w:val="none" w:sz="0" w:space="0" w:color="auto"/>
      </w:divBdr>
      <w:divsChild>
        <w:div w:id="144709880">
          <w:marLeft w:val="0"/>
          <w:marRight w:val="0"/>
          <w:marTop w:val="240"/>
          <w:marBottom w:val="120"/>
          <w:divBdr>
            <w:top w:val="none" w:sz="0" w:space="0" w:color="auto"/>
            <w:left w:val="none" w:sz="0" w:space="0" w:color="auto"/>
            <w:bottom w:val="single" w:sz="12" w:space="0" w:color="000000"/>
            <w:right w:val="none" w:sz="0" w:space="0" w:color="auto"/>
          </w:divBdr>
        </w:div>
        <w:div w:id="1735007652">
          <w:marLeft w:val="0"/>
          <w:marRight w:val="0"/>
          <w:marTop w:val="120"/>
          <w:marBottom w:val="240"/>
          <w:divBdr>
            <w:top w:val="none" w:sz="0" w:space="0" w:color="auto"/>
            <w:left w:val="none" w:sz="0" w:space="0" w:color="auto"/>
            <w:bottom w:val="none" w:sz="0" w:space="0" w:color="auto"/>
            <w:right w:val="none" w:sz="0" w:space="0" w:color="auto"/>
          </w:divBdr>
        </w:div>
        <w:div w:id="812058967">
          <w:marLeft w:val="0"/>
          <w:marRight w:val="0"/>
          <w:marTop w:val="240"/>
          <w:marBottom w:val="120"/>
          <w:divBdr>
            <w:top w:val="none" w:sz="0" w:space="0" w:color="auto"/>
            <w:left w:val="none" w:sz="0" w:space="0" w:color="auto"/>
            <w:bottom w:val="single" w:sz="12" w:space="0" w:color="000000"/>
            <w:right w:val="none" w:sz="0" w:space="0" w:color="auto"/>
          </w:divBdr>
        </w:div>
        <w:div w:id="1553882644">
          <w:marLeft w:val="0"/>
          <w:marRight w:val="0"/>
          <w:marTop w:val="120"/>
          <w:marBottom w:val="240"/>
          <w:divBdr>
            <w:top w:val="none" w:sz="0" w:space="0" w:color="auto"/>
            <w:left w:val="none" w:sz="0" w:space="0" w:color="auto"/>
            <w:bottom w:val="none" w:sz="0" w:space="0" w:color="auto"/>
            <w:right w:val="none" w:sz="0" w:space="0" w:color="auto"/>
          </w:divBdr>
        </w:div>
        <w:div w:id="1392581585">
          <w:marLeft w:val="0"/>
          <w:marRight w:val="0"/>
          <w:marTop w:val="240"/>
          <w:marBottom w:val="120"/>
          <w:divBdr>
            <w:top w:val="none" w:sz="0" w:space="0" w:color="auto"/>
            <w:left w:val="none" w:sz="0" w:space="0" w:color="auto"/>
            <w:bottom w:val="single" w:sz="12" w:space="0" w:color="000000"/>
            <w:right w:val="none" w:sz="0" w:space="0" w:color="auto"/>
          </w:divBdr>
        </w:div>
        <w:div w:id="532349232">
          <w:marLeft w:val="0"/>
          <w:marRight w:val="0"/>
          <w:marTop w:val="120"/>
          <w:marBottom w:val="240"/>
          <w:divBdr>
            <w:top w:val="none" w:sz="0" w:space="0" w:color="auto"/>
            <w:left w:val="none" w:sz="0" w:space="0" w:color="auto"/>
            <w:bottom w:val="none" w:sz="0" w:space="0" w:color="auto"/>
            <w:right w:val="none" w:sz="0" w:space="0" w:color="auto"/>
          </w:divBdr>
        </w:div>
        <w:div w:id="597055868">
          <w:marLeft w:val="0"/>
          <w:marRight w:val="0"/>
          <w:marTop w:val="240"/>
          <w:marBottom w:val="120"/>
          <w:divBdr>
            <w:top w:val="none" w:sz="0" w:space="0" w:color="auto"/>
            <w:left w:val="none" w:sz="0" w:space="0" w:color="auto"/>
            <w:bottom w:val="single" w:sz="12" w:space="0" w:color="000000"/>
            <w:right w:val="none" w:sz="0" w:space="0" w:color="auto"/>
          </w:divBdr>
        </w:div>
        <w:div w:id="493842483">
          <w:marLeft w:val="0"/>
          <w:marRight w:val="0"/>
          <w:marTop w:val="120"/>
          <w:marBottom w:val="240"/>
          <w:divBdr>
            <w:top w:val="none" w:sz="0" w:space="0" w:color="auto"/>
            <w:left w:val="none" w:sz="0" w:space="0" w:color="auto"/>
            <w:bottom w:val="none" w:sz="0" w:space="0" w:color="auto"/>
            <w:right w:val="none" w:sz="0" w:space="0" w:color="auto"/>
          </w:divBdr>
        </w:div>
        <w:div w:id="25451217">
          <w:marLeft w:val="0"/>
          <w:marRight w:val="0"/>
          <w:marTop w:val="240"/>
          <w:marBottom w:val="120"/>
          <w:divBdr>
            <w:top w:val="none" w:sz="0" w:space="0" w:color="auto"/>
            <w:left w:val="none" w:sz="0" w:space="0" w:color="auto"/>
            <w:bottom w:val="single" w:sz="12" w:space="0" w:color="000000"/>
            <w:right w:val="none" w:sz="0" w:space="0" w:color="auto"/>
          </w:divBdr>
        </w:div>
        <w:div w:id="446580480">
          <w:marLeft w:val="0"/>
          <w:marRight w:val="0"/>
          <w:marTop w:val="120"/>
          <w:marBottom w:val="240"/>
          <w:divBdr>
            <w:top w:val="none" w:sz="0" w:space="0" w:color="auto"/>
            <w:left w:val="none" w:sz="0" w:space="0" w:color="auto"/>
            <w:bottom w:val="none" w:sz="0" w:space="0" w:color="auto"/>
            <w:right w:val="none" w:sz="0" w:space="0" w:color="auto"/>
          </w:divBdr>
        </w:div>
        <w:div w:id="1505391331">
          <w:marLeft w:val="0"/>
          <w:marRight w:val="0"/>
          <w:marTop w:val="240"/>
          <w:marBottom w:val="120"/>
          <w:divBdr>
            <w:top w:val="none" w:sz="0" w:space="0" w:color="auto"/>
            <w:left w:val="none" w:sz="0" w:space="0" w:color="auto"/>
            <w:bottom w:val="single" w:sz="12" w:space="0" w:color="000000"/>
            <w:right w:val="none" w:sz="0" w:space="0" w:color="auto"/>
          </w:divBdr>
        </w:div>
        <w:div w:id="186332278">
          <w:marLeft w:val="0"/>
          <w:marRight w:val="0"/>
          <w:marTop w:val="120"/>
          <w:marBottom w:val="240"/>
          <w:divBdr>
            <w:top w:val="none" w:sz="0" w:space="0" w:color="auto"/>
            <w:left w:val="none" w:sz="0" w:space="0" w:color="auto"/>
            <w:bottom w:val="none" w:sz="0" w:space="0" w:color="auto"/>
            <w:right w:val="none" w:sz="0" w:space="0" w:color="auto"/>
          </w:divBdr>
        </w:div>
        <w:div w:id="594097933">
          <w:marLeft w:val="0"/>
          <w:marRight w:val="0"/>
          <w:marTop w:val="240"/>
          <w:marBottom w:val="120"/>
          <w:divBdr>
            <w:top w:val="none" w:sz="0" w:space="0" w:color="auto"/>
            <w:left w:val="none" w:sz="0" w:space="0" w:color="auto"/>
            <w:bottom w:val="single" w:sz="12" w:space="0" w:color="000000"/>
            <w:right w:val="none" w:sz="0" w:space="0" w:color="auto"/>
          </w:divBdr>
        </w:div>
        <w:div w:id="196820601">
          <w:marLeft w:val="0"/>
          <w:marRight w:val="0"/>
          <w:marTop w:val="120"/>
          <w:marBottom w:val="240"/>
          <w:divBdr>
            <w:top w:val="none" w:sz="0" w:space="0" w:color="auto"/>
            <w:left w:val="none" w:sz="0" w:space="0" w:color="auto"/>
            <w:bottom w:val="none" w:sz="0" w:space="0" w:color="auto"/>
            <w:right w:val="none" w:sz="0" w:space="0" w:color="auto"/>
          </w:divBdr>
        </w:div>
        <w:div w:id="987589477">
          <w:marLeft w:val="0"/>
          <w:marRight w:val="0"/>
          <w:marTop w:val="240"/>
          <w:marBottom w:val="120"/>
          <w:divBdr>
            <w:top w:val="none" w:sz="0" w:space="0" w:color="auto"/>
            <w:left w:val="none" w:sz="0" w:space="0" w:color="auto"/>
            <w:bottom w:val="single" w:sz="12" w:space="0" w:color="000000"/>
            <w:right w:val="none" w:sz="0" w:space="0" w:color="auto"/>
          </w:divBdr>
        </w:div>
        <w:div w:id="962079115">
          <w:marLeft w:val="0"/>
          <w:marRight w:val="0"/>
          <w:marTop w:val="120"/>
          <w:marBottom w:val="240"/>
          <w:divBdr>
            <w:top w:val="none" w:sz="0" w:space="0" w:color="auto"/>
            <w:left w:val="none" w:sz="0" w:space="0" w:color="auto"/>
            <w:bottom w:val="none" w:sz="0" w:space="0" w:color="auto"/>
            <w:right w:val="none" w:sz="0" w:space="0" w:color="auto"/>
          </w:divBdr>
        </w:div>
        <w:div w:id="1181973293">
          <w:marLeft w:val="0"/>
          <w:marRight w:val="0"/>
          <w:marTop w:val="240"/>
          <w:marBottom w:val="120"/>
          <w:divBdr>
            <w:top w:val="none" w:sz="0" w:space="0" w:color="auto"/>
            <w:left w:val="none" w:sz="0" w:space="0" w:color="auto"/>
            <w:bottom w:val="single" w:sz="12" w:space="0" w:color="000000"/>
            <w:right w:val="none" w:sz="0" w:space="0" w:color="auto"/>
          </w:divBdr>
        </w:div>
        <w:div w:id="404644002">
          <w:marLeft w:val="0"/>
          <w:marRight w:val="0"/>
          <w:marTop w:val="120"/>
          <w:marBottom w:val="240"/>
          <w:divBdr>
            <w:top w:val="none" w:sz="0" w:space="0" w:color="auto"/>
            <w:left w:val="none" w:sz="0" w:space="0" w:color="auto"/>
            <w:bottom w:val="none" w:sz="0" w:space="0" w:color="auto"/>
            <w:right w:val="none" w:sz="0" w:space="0" w:color="auto"/>
          </w:divBdr>
        </w:div>
        <w:div w:id="1377269941">
          <w:marLeft w:val="0"/>
          <w:marRight w:val="0"/>
          <w:marTop w:val="240"/>
          <w:marBottom w:val="120"/>
          <w:divBdr>
            <w:top w:val="none" w:sz="0" w:space="0" w:color="auto"/>
            <w:left w:val="none" w:sz="0" w:space="0" w:color="auto"/>
            <w:bottom w:val="single" w:sz="12" w:space="0" w:color="000000"/>
            <w:right w:val="none" w:sz="0" w:space="0" w:color="auto"/>
          </w:divBdr>
        </w:div>
        <w:div w:id="1527594649">
          <w:marLeft w:val="0"/>
          <w:marRight w:val="0"/>
          <w:marTop w:val="120"/>
          <w:marBottom w:val="240"/>
          <w:divBdr>
            <w:top w:val="none" w:sz="0" w:space="0" w:color="auto"/>
            <w:left w:val="none" w:sz="0" w:space="0" w:color="auto"/>
            <w:bottom w:val="none" w:sz="0" w:space="0" w:color="auto"/>
            <w:right w:val="none" w:sz="0" w:space="0" w:color="auto"/>
          </w:divBdr>
        </w:div>
        <w:div w:id="174660628">
          <w:marLeft w:val="0"/>
          <w:marRight w:val="0"/>
          <w:marTop w:val="240"/>
          <w:marBottom w:val="120"/>
          <w:divBdr>
            <w:top w:val="none" w:sz="0" w:space="0" w:color="auto"/>
            <w:left w:val="none" w:sz="0" w:space="0" w:color="auto"/>
            <w:bottom w:val="single" w:sz="12" w:space="0" w:color="000000"/>
            <w:right w:val="none" w:sz="0" w:space="0" w:color="auto"/>
          </w:divBdr>
        </w:div>
        <w:div w:id="1159999221">
          <w:marLeft w:val="0"/>
          <w:marRight w:val="0"/>
          <w:marTop w:val="120"/>
          <w:marBottom w:val="240"/>
          <w:divBdr>
            <w:top w:val="none" w:sz="0" w:space="0" w:color="auto"/>
            <w:left w:val="none" w:sz="0" w:space="0" w:color="auto"/>
            <w:bottom w:val="none" w:sz="0" w:space="0" w:color="auto"/>
            <w:right w:val="none" w:sz="0" w:space="0" w:color="auto"/>
          </w:divBdr>
        </w:div>
        <w:div w:id="2070494982">
          <w:marLeft w:val="0"/>
          <w:marRight w:val="0"/>
          <w:marTop w:val="240"/>
          <w:marBottom w:val="120"/>
          <w:divBdr>
            <w:top w:val="none" w:sz="0" w:space="0" w:color="auto"/>
            <w:left w:val="none" w:sz="0" w:space="0" w:color="auto"/>
            <w:bottom w:val="single" w:sz="12" w:space="0" w:color="000000"/>
            <w:right w:val="none" w:sz="0" w:space="0" w:color="auto"/>
          </w:divBdr>
        </w:div>
        <w:div w:id="1506477103">
          <w:marLeft w:val="0"/>
          <w:marRight w:val="0"/>
          <w:marTop w:val="120"/>
          <w:marBottom w:val="240"/>
          <w:divBdr>
            <w:top w:val="none" w:sz="0" w:space="0" w:color="auto"/>
            <w:left w:val="none" w:sz="0" w:space="0" w:color="auto"/>
            <w:bottom w:val="none" w:sz="0" w:space="0" w:color="auto"/>
            <w:right w:val="none" w:sz="0" w:space="0" w:color="auto"/>
          </w:divBdr>
        </w:div>
        <w:div w:id="377360715">
          <w:marLeft w:val="0"/>
          <w:marRight w:val="0"/>
          <w:marTop w:val="240"/>
          <w:marBottom w:val="120"/>
          <w:divBdr>
            <w:top w:val="none" w:sz="0" w:space="0" w:color="auto"/>
            <w:left w:val="none" w:sz="0" w:space="0" w:color="auto"/>
            <w:bottom w:val="single" w:sz="12" w:space="0" w:color="000000"/>
            <w:right w:val="none" w:sz="0" w:space="0" w:color="auto"/>
          </w:divBdr>
        </w:div>
        <w:div w:id="2093162746">
          <w:marLeft w:val="0"/>
          <w:marRight w:val="0"/>
          <w:marTop w:val="120"/>
          <w:marBottom w:val="240"/>
          <w:divBdr>
            <w:top w:val="none" w:sz="0" w:space="0" w:color="auto"/>
            <w:left w:val="none" w:sz="0" w:space="0" w:color="auto"/>
            <w:bottom w:val="none" w:sz="0" w:space="0" w:color="auto"/>
            <w:right w:val="none" w:sz="0" w:space="0" w:color="auto"/>
          </w:divBdr>
        </w:div>
        <w:div w:id="665746498">
          <w:marLeft w:val="0"/>
          <w:marRight w:val="0"/>
          <w:marTop w:val="240"/>
          <w:marBottom w:val="120"/>
          <w:divBdr>
            <w:top w:val="none" w:sz="0" w:space="0" w:color="auto"/>
            <w:left w:val="none" w:sz="0" w:space="0" w:color="auto"/>
            <w:bottom w:val="single" w:sz="12" w:space="0" w:color="000000"/>
            <w:right w:val="none" w:sz="0" w:space="0" w:color="auto"/>
          </w:divBdr>
        </w:div>
        <w:div w:id="609817852">
          <w:marLeft w:val="0"/>
          <w:marRight w:val="0"/>
          <w:marTop w:val="120"/>
          <w:marBottom w:val="240"/>
          <w:divBdr>
            <w:top w:val="none" w:sz="0" w:space="0" w:color="auto"/>
            <w:left w:val="none" w:sz="0" w:space="0" w:color="auto"/>
            <w:bottom w:val="none" w:sz="0" w:space="0" w:color="auto"/>
            <w:right w:val="none" w:sz="0" w:space="0" w:color="auto"/>
          </w:divBdr>
        </w:div>
        <w:div w:id="103968298">
          <w:marLeft w:val="0"/>
          <w:marRight w:val="0"/>
          <w:marTop w:val="240"/>
          <w:marBottom w:val="120"/>
          <w:divBdr>
            <w:top w:val="none" w:sz="0" w:space="0" w:color="auto"/>
            <w:left w:val="none" w:sz="0" w:space="0" w:color="auto"/>
            <w:bottom w:val="single" w:sz="12" w:space="0" w:color="000000"/>
            <w:right w:val="none" w:sz="0" w:space="0" w:color="auto"/>
          </w:divBdr>
        </w:div>
        <w:div w:id="1514804728">
          <w:marLeft w:val="0"/>
          <w:marRight w:val="0"/>
          <w:marTop w:val="120"/>
          <w:marBottom w:val="240"/>
          <w:divBdr>
            <w:top w:val="none" w:sz="0" w:space="0" w:color="auto"/>
            <w:left w:val="none" w:sz="0" w:space="0" w:color="auto"/>
            <w:bottom w:val="none" w:sz="0" w:space="0" w:color="auto"/>
            <w:right w:val="none" w:sz="0" w:space="0" w:color="auto"/>
          </w:divBdr>
        </w:div>
        <w:div w:id="1602227040">
          <w:marLeft w:val="0"/>
          <w:marRight w:val="0"/>
          <w:marTop w:val="240"/>
          <w:marBottom w:val="120"/>
          <w:divBdr>
            <w:top w:val="none" w:sz="0" w:space="0" w:color="auto"/>
            <w:left w:val="none" w:sz="0" w:space="0" w:color="auto"/>
            <w:bottom w:val="single" w:sz="12" w:space="0" w:color="000000"/>
            <w:right w:val="none" w:sz="0" w:space="0" w:color="auto"/>
          </w:divBdr>
        </w:div>
        <w:div w:id="1664313827">
          <w:marLeft w:val="0"/>
          <w:marRight w:val="0"/>
          <w:marTop w:val="120"/>
          <w:marBottom w:val="240"/>
          <w:divBdr>
            <w:top w:val="none" w:sz="0" w:space="0" w:color="auto"/>
            <w:left w:val="none" w:sz="0" w:space="0" w:color="auto"/>
            <w:bottom w:val="none" w:sz="0" w:space="0" w:color="auto"/>
            <w:right w:val="none" w:sz="0" w:space="0" w:color="auto"/>
          </w:divBdr>
        </w:div>
        <w:div w:id="1203904409">
          <w:marLeft w:val="0"/>
          <w:marRight w:val="0"/>
          <w:marTop w:val="240"/>
          <w:marBottom w:val="120"/>
          <w:divBdr>
            <w:top w:val="none" w:sz="0" w:space="0" w:color="auto"/>
            <w:left w:val="none" w:sz="0" w:space="0" w:color="auto"/>
            <w:bottom w:val="single" w:sz="12" w:space="0" w:color="000000"/>
            <w:right w:val="none" w:sz="0" w:space="0" w:color="auto"/>
          </w:divBdr>
        </w:div>
        <w:div w:id="885331782">
          <w:marLeft w:val="0"/>
          <w:marRight w:val="0"/>
          <w:marTop w:val="120"/>
          <w:marBottom w:val="240"/>
          <w:divBdr>
            <w:top w:val="none" w:sz="0" w:space="0" w:color="auto"/>
            <w:left w:val="none" w:sz="0" w:space="0" w:color="auto"/>
            <w:bottom w:val="none" w:sz="0" w:space="0" w:color="auto"/>
            <w:right w:val="none" w:sz="0" w:space="0" w:color="auto"/>
          </w:divBdr>
        </w:div>
        <w:div w:id="1872453465">
          <w:marLeft w:val="0"/>
          <w:marRight w:val="0"/>
          <w:marTop w:val="240"/>
          <w:marBottom w:val="120"/>
          <w:divBdr>
            <w:top w:val="none" w:sz="0" w:space="0" w:color="auto"/>
            <w:left w:val="none" w:sz="0" w:space="0" w:color="auto"/>
            <w:bottom w:val="single" w:sz="12" w:space="0" w:color="000000"/>
            <w:right w:val="none" w:sz="0" w:space="0" w:color="auto"/>
          </w:divBdr>
        </w:div>
        <w:div w:id="1921138199">
          <w:marLeft w:val="0"/>
          <w:marRight w:val="0"/>
          <w:marTop w:val="120"/>
          <w:marBottom w:val="240"/>
          <w:divBdr>
            <w:top w:val="none" w:sz="0" w:space="0" w:color="auto"/>
            <w:left w:val="none" w:sz="0" w:space="0" w:color="auto"/>
            <w:bottom w:val="none" w:sz="0" w:space="0" w:color="auto"/>
            <w:right w:val="none" w:sz="0" w:space="0" w:color="auto"/>
          </w:divBdr>
        </w:div>
        <w:div w:id="42213571">
          <w:marLeft w:val="0"/>
          <w:marRight w:val="0"/>
          <w:marTop w:val="240"/>
          <w:marBottom w:val="120"/>
          <w:divBdr>
            <w:top w:val="none" w:sz="0" w:space="0" w:color="auto"/>
            <w:left w:val="none" w:sz="0" w:space="0" w:color="auto"/>
            <w:bottom w:val="single" w:sz="12" w:space="0" w:color="000000"/>
            <w:right w:val="none" w:sz="0" w:space="0" w:color="auto"/>
          </w:divBdr>
        </w:div>
        <w:div w:id="1717466723">
          <w:marLeft w:val="0"/>
          <w:marRight w:val="0"/>
          <w:marTop w:val="120"/>
          <w:marBottom w:val="240"/>
          <w:divBdr>
            <w:top w:val="none" w:sz="0" w:space="0" w:color="auto"/>
            <w:left w:val="none" w:sz="0" w:space="0" w:color="auto"/>
            <w:bottom w:val="none" w:sz="0" w:space="0" w:color="auto"/>
            <w:right w:val="none" w:sz="0" w:space="0" w:color="auto"/>
          </w:divBdr>
        </w:div>
        <w:div w:id="1560897610">
          <w:marLeft w:val="0"/>
          <w:marRight w:val="0"/>
          <w:marTop w:val="240"/>
          <w:marBottom w:val="120"/>
          <w:divBdr>
            <w:top w:val="none" w:sz="0" w:space="0" w:color="auto"/>
            <w:left w:val="none" w:sz="0" w:space="0" w:color="auto"/>
            <w:bottom w:val="single" w:sz="12" w:space="0" w:color="000000"/>
            <w:right w:val="none" w:sz="0" w:space="0" w:color="auto"/>
          </w:divBdr>
        </w:div>
        <w:div w:id="353850000">
          <w:marLeft w:val="0"/>
          <w:marRight w:val="0"/>
          <w:marTop w:val="120"/>
          <w:marBottom w:val="240"/>
          <w:divBdr>
            <w:top w:val="none" w:sz="0" w:space="0" w:color="auto"/>
            <w:left w:val="none" w:sz="0" w:space="0" w:color="auto"/>
            <w:bottom w:val="none" w:sz="0" w:space="0" w:color="auto"/>
            <w:right w:val="none" w:sz="0" w:space="0" w:color="auto"/>
          </w:divBdr>
        </w:div>
        <w:div w:id="2030788322">
          <w:marLeft w:val="0"/>
          <w:marRight w:val="0"/>
          <w:marTop w:val="240"/>
          <w:marBottom w:val="120"/>
          <w:divBdr>
            <w:top w:val="none" w:sz="0" w:space="0" w:color="auto"/>
            <w:left w:val="none" w:sz="0" w:space="0" w:color="auto"/>
            <w:bottom w:val="single" w:sz="12" w:space="0" w:color="000000"/>
            <w:right w:val="none" w:sz="0" w:space="0" w:color="auto"/>
          </w:divBdr>
        </w:div>
        <w:div w:id="639920808">
          <w:marLeft w:val="0"/>
          <w:marRight w:val="0"/>
          <w:marTop w:val="120"/>
          <w:marBottom w:val="240"/>
          <w:divBdr>
            <w:top w:val="none" w:sz="0" w:space="0" w:color="auto"/>
            <w:left w:val="none" w:sz="0" w:space="0" w:color="auto"/>
            <w:bottom w:val="none" w:sz="0" w:space="0" w:color="auto"/>
            <w:right w:val="none" w:sz="0" w:space="0" w:color="auto"/>
          </w:divBdr>
        </w:div>
        <w:div w:id="1258170935">
          <w:marLeft w:val="0"/>
          <w:marRight w:val="0"/>
          <w:marTop w:val="240"/>
          <w:marBottom w:val="120"/>
          <w:divBdr>
            <w:top w:val="none" w:sz="0" w:space="0" w:color="auto"/>
            <w:left w:val="none" w:sz="0" w:space="0" w:color="auto"/>
            <w:bottom w:val="single" w:sz="12" w:space="0" w:color="000000"/>
            <w:right w:val="none" w:sz="0" w:space="0" w:color="auto"/>
          </w:divBdr>
        </w:div>
        <w:div w:id="71388834">
          <w:marLeft w:val="0"/>
          <w:marRight w:val="0"/>
          <w:marTop w:val="120"/>
          <w:marBottom w:val="240"/>
          <w:divBdr>
            <w:top w:val="none" w:sz="0" w:space="0" w:color="auto"/>
            <w:left w:val="none" w:sz="0" w:space="0" w:color="auto"/>
            <w:bottom w:val="none" w:sz="0" w:space="0" w:color="auto"/>
            <w:right w:val="none" w:sz="0" w:space="0" w:color="auto"/>
          </w:divBdr>
        </w:div>
        <w:div w:id="811095286">
          <w:marLeft w:val="0"/>
          <w:marRight w:val="0"/>
          <w:marTop w:val="240"/>
          <w:marBottom w:val="120"/>
          <w:divBdr>
            <w:top w:val="none" w:sz="0" w:space="0" w:color="auto"/>
            <w:left w:val="none" w:sz="0" w:space="0" w:color="auto"/>
            <w:bottom w:val="single" w:sz="12" w:space="0" w:color="000000"/>
            <w:right w:val="none" w:sz="0" w:space="0" w:color="auto"/>
          </w:divBdr>
        </w:div>
      </w:divsChild>
    </w:div>
  </w:divs>
  <w:encoding w:val="us-ascii"/>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ec.gov/Archives/edgar/data/1946399/000121390026048876/ea028799001ex99-22.htm" TargetMode="External"/><Relationship Id="rId18" Type="http://schemas.openxmlformats.org/officeDocument/2006/relationships/hyperlink" Target="http://www.sec.gov/Archives/edgar/data/1946399/000121390025103261/ea026254001ex99-7_crystal.htm" TargetMode="External"/><Relationship Id="rId26" Type="http://schemas.openxmlformats.org/officeDocument/2006/relationships/image" Target="media/image5.jpeg"/><Relationship Id="rId39" Type="http://schemas.openxmlformats.org/officeDocument/2006/relationships/image" Target="media/image18.jpeg"/><Relationship Id="rId21" Type="http://schemas.openxmlformats.org/officeDocument/2006/relationships/hyperlink" Target="http://www.sec.gov/ix?doc=/Archives/edgar/data/1946399/000121390025115118/ea026690601ex-fee_lake.htm" TargetMode="External"/><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fontTable" Target="fontTable.xml"/><Relationship Id="rId7" Type="http://schemas.openxmlformats.org/officeDocument/2006/relationships/hyperlink" Target="http://www.sec.gov/Archives/edgar/data/1946399/000121390026013010/ea027593701ex99-2_lakeshore.htm" TargetMode="External"/><Relationship Id="rId2" Type="http://schemas.openxmlformats.org/officeDocument/2006/relationships/settings" Target="settings.xml"/><Relationship Id="rId16" Type="http://schemas.openxmlformats.org/officeDocument/2006/relationships/hyperlink" Target="http://www.sec.gov/Archives/edgar/data/1946399/000121390025103261/ea026254001ex99-4_crystal.htm" TargetMode="External"/><Relationship Id="rId29" Type="http://schemas.openxmlformats.org/officeDocument/2006/relationships/image" Target="media/image8.jpeg"/><Relationship Id="rId1" Type="http://schemas.openxmlformats.org/officeDocument/2006/relationships/styles" Target="styles.xml"/><Relationship Id="rId6" Type="http://schemas.openxmlformats.org/officeDocument/2006/relationships/hyperlink" Target="http://www.sec.gov/Archives/edgar/data/1946399/000121390026013010/ea027593701ex99-1_lakeshore.htm" TargetMode="External"/><Relationship Id="rId11" Type="http://schemas.openxmlformats.org/officeDocument/2006/relationships/hyperlink" Target="http://www.sec.gov/Archives/edgar/data/1946399/000121390026005369/ea027328501ex99-a1_lake.htm" TargetMode="External"/><Relationship Id="rId24" Type="http://schemas.openxmlformats.org/officeDocument/2006/relationships/image" Target="media/image3.jpe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 Type="http://schemas.openxmlformats.org/officeDocument/2006/relationships/hyperlink" Target="http://www.sec.gov/Archives/edgar/data/1946399/000121390026009144/ea0274575-6k_lakeshore.htm" TargetMode="External"/><Relationship Id="rId15" Type="http://schemas.openxmlformats.org/officeDocument/2006/relationships/hyperlink" Target="http://www.sec.gov/Archives/edgar/data/1946399/000121390025105655/ea026355001ex99-15_lake.htm" TargetMode="Externa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image" Target="media/image15.jpeg"/><Relationship Id="rId10" Type="http://schemas.openxmlformats.org/officeDocument/2006/relationships/hyperlink" Target="http://www.sec.gov/Archives/edgar/data/1946399/000121390025115118/ea026690601ex99-c2_lake.htm" TargetMode="External"/><Relationship Id="rId19" Type="http://schemas.openxmlformats.org/officeDocument/2006/relationships/hyperlink" Target="http://www.sec.gov/Archives/edgar/data/1946399/000121390025103261/ea026254001ex99-8_crystal.htm" TargetMode="External"/><Relationship Id="rId31" Type="http://schemas.openxmlformats.org/officeDocument/2006/relationships/image" Target="media/image10.jpeg"/><Relationship Id="rId44" Type="http://schemas.openxmlformats.org/officeDocument/2006/relationships/image" Target="media/image23.jpeg"/><Relationship Id="rId4" Type="http://schemas.openxmlformats.org/officeDocument/2006/relationships/hyperlink" Target="http://www.sec.gov/Archives/edgar/data/1946399/000121390025105603/ea026359201ex99-1_lakeshore.htm" TargetMode="External"/><Relationship Id="rId9" Type="http://schemas.openxmlformats.org/officeDocument/2006/relationships/hyperlink" Target="http://www.sec.gov/Archives/edgar/data/1946399/000121390026005369/ea027328501ex99-a1_lake.htm" TargetMode="External"/><Relationship Id="rId14" Type="http://schemas.openxmlformats.org/officeDocument/2006/relationships/hyperlink" Target="http://www.sec.gov/Archives/edgar/data/1946399/000121390026048876/ea028799001ex99-23.htm" TargetMode="External"/><Relationship Id="rId22" Type="http://schemas.openxmlformats.org/officeDocument/2006/relationships/image" Target="media/image1.jpeg"/><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theme" Target="theme/theme1.xml"/><Relationship Id="rId8" Type="http://schemas.openxmlformats.org/officeDocument/2006/relationships/hyperlink" Target="http://www.sec.gov/Archives/edgar/data/1946399/000121390026033849/ea028337501ex99-1.htm" TargetMode="External"/><Relationship Id="rId3" Type="http://schemas.openxmlformats.org/officeDocument/2006/relationships/webSettings" Target="webSettings.xml"/><Relationship Id="rId12" Type="http://schemas.openxmlformats.org/officeDocument/2006/relationships/hyperlink" Target="http://www.sec.gov/Archives/edgar/data/1946399/000121390026048876/ea028799001ex99-21.htm" TargetMode="External"/><Relationship Id="rId17" Type="http://schemas.openxmlformats.org/officeDocument/2006/relationships/hyperlink" Target="http://www.sec.gov/Archives/edgar/data/1946399/000121390025103261/ea026254001ex99-6_crystal.htm" TargetMode="External"/><Relationship Id="rId25" Type="http://schemas.openxmlformats.org/officeDocument/2006/relationships/image" Target="media/image4.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20" Type="http://schemas.openxmlformats.org/officeDocument/2006/relationships/hyperlink" Target="http://www.sec.gov/Archives/edgar/data/1946399/000121390025103261/ea026254001ex99-9_crystal.htm" TargetMode="External"/><Relationship Id="rId41"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268</Pages>
  <Words>146391</Words>
  <Characters>818026</Characters>
  <Application>Microsoft Office Word</Application>
  <DocSecurity>0</DocSecurity>
  <Lines>6816</Lines>
  <Paragraphs>1924</Paragraphs>
  <ScaleCrop>false</ScaleCrop>
  <Company/>
  <LinksUpToDate>false</LinksUpToDate>
  <CharactersWithSpaces>962493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Submission Proof - ea0289617-01</dc:title>
  <dc:subject/>
  <dc:creator>David Jackson</dc:creator>
  <cp:keywords/>
  <dc:description/>
  <cp:lastModifiedBy>David Jackson</cp:lastModifiedBy>
  <cp:revision>2</cp:revision>
  <dcterms:created xsi:type="dcterms:W3CDTF">2026-05-08T13:16:00Z</dcterms:created>
  <dcterms:modified xsi:type="dcterms:W3CDTF">2026-05-08T13:16:00Z</dcterms:modified>
</cp:coreProperties>
</file>